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Neugeborn Yoram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 IRODOU ATTIKOU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KIFISIA, ATHENS</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GREECE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 Ship Lease, Inc.</w:t>
              </w:r>
            </w:hyperlink>
            <w:r>
              <w:rPr/>
              <w:t xml:space="preserve"> [ </w:t>
            </w:r>
            <w:r>
              <w:rPr>
                <w:rFonts w:ascii="Times;serif" w:hAnsi="Times;serif"/>
                <w:color w:val="0000FF"/>
                <w:sz w:val="24"/>
                <w:shd w:fill="FFFFFF" w:val="clear"/>
              </w:rPr>
              <w:t>GSL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92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41.1272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3,174</w:t>
            </w:r>
            <w:r>
              <w:rPr>
                <w:rFonts w:ascii="Times;serif" w:hAnsi="Times;serif"/>
                <w:color w:val="008000"/>
                <w:position w:val="7"/>
                <w:sz w:val="16"/>
                <w:sz w:val="20"/>
                <w:shd w:fill="FFFFFF" w:val="clear"/>
              </w:rPr>
              <w:t>(1)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Shares, par value of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20,769</w:t>
            </w:r>
            <w:r>
              <w:rPr>
                <w:rFonts w:ascii="Times;serif" w:hAnsi="Times;serif"/>
                <w:color w:val="008000"/>
                <w:position w:val="7"/>
                <w:sz w:val="16"/>
                <w:sz w:val="20"/>
                <w:shd w:fill="FFFFFF" w:val="clear"/>
              </w:rPr>
              <w:t>(2)</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577 Class A Common Shares of Global Ship Lease, Inc. (the "Issuer") granted to the reporting person pursuant to the Issuer's 2019 Omnibus Incentive Plan, as amended and restated (the "Plan") that have vested on June 30, 2026 but have not yet been issued.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Unvested awards of Class A Common Shares of the Issuer granted to the reporting person pursuant to the Plan, consisting of (i) 5,769 shares which vest quarterly, pro rata, commencing from the quarter ended September 30, 2026, conditioned on the reporting person's continued service, (ii) 7,500 shares, of which approximately 1/3 are earned upon the Issuer's achievement of a specified annualized return on equity that is measured as of December 31 of 2026, 2027 and 2028, respectively, after which, such earned shares are notionally divided into a number of quarterly installments within the 3.25 year period beginning October 1, 2025 (the "Term") and are eligible to vest on this basis, and (iii) 7,500 shares which vest at December 31, 2028 based on the Issuer's achievement of a specified return on equity over the full Term.</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Yoram Neugeborn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0593" TargetMode="External"/><Relationship Id="rId5" Type="http://schemas.openxmlformats.org/officeDocument/2006/relationships/hyperlink" Target="http://www.sec.gov/cgi-bin/browse-edgar?action=getcompany&amp;CIK=0001430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763</Words>
  <Characters>4060</Characters>
  <CharactersWithSpaces>4753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