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260" w:hanging="452"/>
        <w:spacing w:after="0" w:line="397" w:lineRule="auto"/>
        <w:tabs>
          <w:tab w:leader="none" w:pos="44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2012</w:t>
      </w: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2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71" w:lineRule="exact"/>
        <w:rPr>
          <w:sz w:val="24"/>
          <w:szCs w:val="24"/>
          <w:color w:val="auto"/>
        </w:rPr>
      </w:pP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3842385</wp:posOffset>
            </wp:positionH>
            <wp:positionV relativeFrom="paragraph">
              <wp:posOffset>-10160</wp:posOffset>
            </wp:positionV>
            <wp:extent cx="104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3" w:lineRule="exact"/>
        <w:rPr>
          <w:sz w:val="24"/>
          <w:szCs w:val="24"/>
          <w:color w:val="auto"/>
        </w:rPr>
      </w:pPr>
    </w:p>
    <w:tbl>
      <w:tblPr>
        <w:tblLayout w:type="fixed"/>
        <w:tblInd w:w="8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960" w:type="dxa"/>
            <w:vAlign w:val="bottom"/>
            <w:gridSpan w:val="2"/>
          </w:tcPr>
          <w:p>
            <w:pPr>
              <w:jc w:val="center"/>
              <w:ind w:right="3812"/>
              <w:spacing w:after="0"/>
              <w:rPr>
                <w:sz w:val="20"/>
                <w:szCs w:val="20"/>
                <w:color w:val="auto"/>
              </w:rPr>
            </w:pPr>
            <w:r>
              <w:rPr>
                <w:rFonts w:ascii="Arial" w:cs="Arial" w:eastAsia="Arial" w:hAnsi="Arial"/>
                <w:sz w:val="14"/>
                <w:szCs w:val="14"/>
                <w:b w:val="1"/>
                <w:bCs w:val="1"/>
                <w:color w:val="auto"/>
                <w:w w:val="84"/>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22"/>
        </w:trPr>
        <w:tc>
          <w:tcPr>
            <w:tcW w:w="1480" w:type="dxa"/>
            <w:vAlign w:val="bottom"/>
          </w:tcPr>
          <w:p>
            <w:pPr>
              <w:spacing w:after="0"/>
              <w:rPr>
                <w:sz w:val="20"/>
                <w:szCs w:val="20"/>
                <w:color w:val="auto"/>
              </w:rPr>
            </w:pPr>
            <w:r>
              <w:rPr>
                <w:rFonts w:ascii="Arial" w:cs="Arial" w:eastAsia="Arial" w:hAnsi="Arial"/>
                <w:sz w:val="18"/>
                <w:szCs w:val="18"/>
                <w:b w:val="1"/>
                <w:bCs w:val="1"/>
                <w:color w:val="auto"/>
                <w:w w:val="97"/>
              </w:rPr>
              <w:t>Class A 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72"/>
              </w:rPr>
              <w:t>Shares, par value</w:t>
            </w:r>
          </w:p>
        </w:tc>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of $0.01 per share</w:t>
            </w: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4"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47,481,864 Class A Common Shares, par value of $0.01 per share</w:t>
      </w:r>
    </w:p>
    <w:p>
      <w:pPr>
        <w:spacing w:after="0" w:line="171"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139" w:lineRule="exact"/>
        <w:rPr>
          <w:sz w:val="24"/>
          <w:szCs w:val="24"/>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560"/>
        <w:spacing w:after="0" w:line="229"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40"/>
        <w:spacing w:after="0" w:line="37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ectPr>
          <w:pgSz w:w="11900" w:h="16840" w:orient="portrait"/>
          <w:cols w:equalWidth="0" w:num="1">
            <w:col w:w="11260"/>
          </w:cols>
          <w:pgMar w:left="240" w:top="230" w:right="399" w:bottom="0" w:gutter="0" w:footer="0" w:header="0"/>
        </w:sectPr>
      </w:pPr>
    </w:p>
    <w:bookmarkStart w:id="1" w:name="page2"/>
    <w:bookmarkEnd w:id="1"/>
    <w:p>
      <w:pPr>
        <w:spacing w:after="0" w:line="207" w:lineRule="exact"/>
        <w:tabs>
          <w:tab w:leader="none" w:pos="1320" w:val="left"/>
          <w:tab w:leader="none" w:pos="2000" w:val="left"/>
        </w:tabs>
        <w:rPr>
          <w:sz w:val="20"/>
          <w:szCs w:val="20"/>
          <w:color w:val="auto"/>
        </w:rPr>
      </w:pPr>
      <w:r>
        <w:rPr>
          <w:rFonts w:ascii="Arial" w:cs="Arial" w:eastAsia="Arial" w:hAnsi="Arial"/>
          <w:sz w:val="18"/>
          <w:szCs w:val="18"/>
          <w:color w:val="auto"/>
        </w:rPr>
        <w:t>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5" w:lineRule="exact"/>
        <w:rPr>
          <w:sz w:val="20"/>
          <w:szCs w:val="20"/>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0"/>
          <w:szCs w:val="20"/>
          <w:color w:val="auto"/>
        </w:rPr>
      </w:pPr>
    </w:p>
    <w:p>
      <w:pPr>
        <w:spacing w:after="0" w:line="207" w:lineRule="exact"/>
        <w:tabs>
          <w:tab w:leader="none" w:pos="1940" w:val="left"/>
          <w:tab w:leader="none" w:pos="4020" w:val="left"/>
          <w:tab w:leader="none" w:pos="5500" w:val="left"/>
          <w:tab w:leader="none" w:pos="7660" w:val="left"/>
          <w:tab w:leader="none" w:pos="94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39" w:lineRule="exact"/>
        <w:rPr>
          <w:sz w:val="20"/>
          <w:szCs w:val="20"/>
          <w:color w:val="auto"/>
        </w:rPr>
      </w:pPr>
    </w:p>
    <w:p>
      <w:pPr>
        <w:spacing w:after="0" w:line="207" w:lineRule="exact"/>
        <w:tabs>
          <w:tab w:leader="none" w:pos="1240" w:val="left"/>
          <w:tab w:leader="none" w:pos="892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r>
        <w:rPr>
          <w:rFonts w:ascii="Arial" w:cs="Arial" w:eastAsia="Arial" w:hAnsi="Arial"/>
          <w:sz w:val="16"/>
          <w:szCs w:val="16"/>
          <w:color w:val="auto"/>
        </w:rPr>
        <w:tab/>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62" w:lineRule="exact"/>
        <w:rPr>
          <w:sz w:val="20"/>
          <w:szCs w:val="20"/>
          <w:color w:val="auto"/>
        </w:rPr>
      </w:pPr>
    </w:p>
    <w:p>
      <w:pPr>
        <w:ind w:left="460"/>
        <w:spacing w:after="0" w:line="207" w:lineRule="exact"/>
        <w:tabs>
          <w:tab w:leader="none" w:pos="142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line="207" w:lineRule="exact"/>
        <w:tabs>
          <w:tab w:leader="none" w:pos="9980" w:val="left"/>
          <w:tab w:leader="none" w:pos="1066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REPORT ON FORM 20-F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8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40" w:type="dxa"/>
            <w:vAlign w:val="bottom"/>
            <w:gridSpan w:val="29"/>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6">
              <w:r>
                <w:rPr>
                  <w:rFonts w:ascii="Arial" w:cs="Arial" w:eastAsia="Arial" w:hAnsi="Arial"/>
                  <w:sz w:val="18"/>
                  <w:szCs w:val="18"/>
                  <w:color w:val="0000EE"/>
                </w:rPr>
                <w:t>Identity of Directors, Senior Management and Advisors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9"/>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6">
              <w:r>
                <w:rPr>
                  <w:rFonts w:ascii="Arial" w:cs="Arial" w:eastAsia="Arial" w:hAnsi="Arial"/>
                  <w:sz w:val="18"/>
                  <w:szCs w:val="18"/>
                  <w:color w:val="0000EE"/>
                </w:rPr>
                <w:t>Offer Statistics and Expected Timetable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11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Key Information</w:t>
              </w:r>
            </w:hyperlink>
          </w:p>
        </w:tc>
        <w:tc>
          <w:tcPr>
            <w:tcW w:w="1620" w:type="dxa"/>
            <w:vAlign w:val="bottom"/>
            <w:tcBorders>
              <w:top w:val="single" w:sz="8" w:color="0000EE"/>
            </w:tcBorders>
            <w:gridSpan w:val="17"/>
          </w:tcPr>
          <w:p>
            <w:pPr>
              <w:spacing w:after="0"/>
              <w:rPr>
                <w:sz w:val="24"/>
                <w:szCs w:val="24"/>
                <w:color w:val="auto"/>
              </w:rPr>
            </w:pPr>
          </w:p>
        </w:tc>
        <w:tc>
          <w:tcPr>
            <w:tcW w:w="70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 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6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B. Capitalization and Indebtedness</w:t>
              </w:r>
            </w:hyperlink>
          </w:p>
        </w:tc>
        <w:tc>
          <w:tcPr>
            <w:tcW w:w="74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2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 Reasons for the Offer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0" w:type="dxa"/>
            <w:vAlign w:val="bottom"/>
            <w:tcBorders>
              <w:top w:val="single" w:sz="8" w:color="0000EE"/>
            </w:tcBorders>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 Risk Factors</w:t>
              </w:r>
            </w:hyperlink>
          </w:p>
        </w:tc>
        <w:tc>
          <w:tcPr>
            <w:tcW w:w="66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9"/>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8">
              <w:r>
                <w:rPr>
                  <w:rFonts w:ascii="Arial" w:cs="Arial" w:eastAsia="Arial" w:hAnsi="Arial"/>
                  <w:sz w:val="18"/>
                  <w:szCs w:val="18"/>
                  <w:color w:val="0000EE"/>
                </w:rPr>
                <w:t>Information on the Company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2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 History and Development of the Company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0" w:type="dxa"/>
            <w:vAlign w:val="bottom"/>
            <w:tcBorders>
              <w:top w:val="single" w:sz="8" w:color="0000EE"/>
            </w:tcBorders>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B. Business Overview</w:t>
              </w:r>
            </w:hyperlink>
          </w:p>
        </w:tc>
        <w:tc>
          <w:tcPr>
            <w:tcW w:w="66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 Organizational Structure</w:t>
              </w:r>
            </w:hyperlink>
          </w:p>
        </w:tc>
        <w:tc>
          <w:tcPr>
            <w:tcW w:w="792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D. Property, Plants and Equipment</w:t>
              </w:r>
            </w:hyperlink>
          </w:p>
        </w:tc>
        <w:tc>
          <w:tcPr>
            <w:tcW w:w="74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040" w:type="dxa"/>
            <w:vAlign w:val="bottom"/>
            <w:gridSpan w:val="29"/>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5">
              <w:r>
                <w:rPr>
                  <w:rFonts w:ascii="Arial" w:cs="Arial" w:eastAsia="Arial" w:hAnsi="Arial"/>
                  <w:sz w:val="18"/>
                  <w:szCs w:val="18"/>
                  <w:color w:val="0000EE"/>
                </w:rPr>
                <w:t>Operating and Financial Review and Prospects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A. Results of Operations</w:t>
              </w:r>
            </w:hyperlink>
          </w:p>
        </w:tc>
        <w:tc>
          <w:tcPr>
            <w:tcW w:w="1560" w:type="dxa"/>
            <w:vAlign w:val="bottom"/>
            <w:tcBorders>
              <w:top w:val="single" w:sz="8" w:color="0000EE"/>
            </w:tcBorders>
            <w:gridSpan w:val="14"/>
          </w:tcPr>
          <w:p>
            <w:pPr>
              <w:spacing w:after="0"/>
              <w:rPr>
                <w:sz w:val="24"/>
                <w:szCs w:val="24"/>
                <w:color w:val="auto"/>
              </w:rPr>
            </w:pPr>
          </w:p>
        </w:tc>
        <w:tc>
          <w:tcPr>
            <w:tcW w:w="65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B. Liquidity and Capital Resources</w:t>
              </w:r>
            </w:hyperlink>
          </w:p>
        </w:tc>
        <w:tc>
          <w:tcPr>
            <w:tcW w:w="73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59">
              <w:r>
                <w:rPr>
                  <w:rFonts w:ascii="Arial" w:cs="Arial" w:eastAsia="Arial" w:hAnsi="Arial"/>
                  <w:sz w:val="18"/>
                  <w:szCs w:val="18"/>
                  <w:color w:val="0000EE"/>
                  <w:w w:val="86"/>
                </w:rPr>
                <w:t>C. Research and Development</w:t>
              </w:r>
            </w:hyperlink>
          </w:p>
        </w:tc>
        <w:tc>
          <w:tcPr>
            <w:tcW w:w="77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D. Trend Information</w:t>
              </w:r>
            </w:hyperlink>
          </w:p>
        </w:tc>
        <w:tc>
          <w:tcPr>
            <w:tcW w:w="832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E. Off-Balance Sheet Arrangements</w:t>
              </w:r>
            </w:hyperlink>
          </w:p>
        </w:tc>
        <w:tc>
          <w:tcPr>
            <w:tcW w:w="73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F. Contractual Obligations</w:t>
              </w:r>
            </w:hyperlink>
          </w:p>
        </w:tc>
        <w:tc>
          <w:tcPr>
            <w:tcW w:w="798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11040" w:type="dxa"/>
            <w:vAlign w:val="bottom"/>
            <w:gridSpan w:val="29"/>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61">
              <w:r>
                <w:rPr>
                  <w:rFonts w:ascii="Arial" w:cs="Arial" w:eastAsia="Arial" w:hAnsi="Arial"/>
                  <w:sz w:val="18"/>
                  <w:szCs w:val="18"/>
                  <w:color w:val="0000EE"/>
                </w:rPr>
                <w:t>Directors, Senior Management and Employees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A. Directors and Senior Management</w:t>
              </w:r>
            </w:hyperlink>
          </w:p>
        </w:tc>
        <w:tc>
          <w:tcPr>
            <w:tcW w:w="640" w:type="dxa"/>
            <w:vAlign w:val="bottom"/>
            <w:tcBorders>
              <w:top w:val="single" w:sz="8" w:color="0000EE"/>
            </w:tcBorders>
            <w:gridSpan w:val="3"/>
          </w:tcPr>
          <w:p>
            <w:pPr>
              <w:spacing w:after="0"/>
              <w:rPr>
                <w:sz w:val="24"/>
                <w:szCs w:val="24"/>
                <w:color w:val="auto"/>
              </w:rPr>
            </w:pPr>
          </w:p>
        </w:tc>
        <w:tc>
          <w:tcPr>
            <w:tcW w:w="65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2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B.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64">
              <w:r>
                <w:rPr>
                  <w:rFonts w:ascii="Arial" w:cs="Arial" w:eastAsia="Arial" w:hAnsi="Arial"/>
                  <w:sz w:val="18"/>
                  <w:szCs w:val="18"/>
                  <w:color w:val="0000EE"/>
                  <w:w w:val="86"/>
                </w:rPr>
                <w:t>C. Board Practices</w:t>
              </w:r>
            </w:hyperlink>
          </w:p>
        </w:tc>
        <w:tc>
          <w:tcPr>
            <w:tcW w:w="854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0000EE"/>
            </w:tcBorders>
          </w:tcPr>
          <w:p>
            <w:pPr>
              <w:spacing w:after="0"/>
              <w:rPr>
                <w:rFonts w:ascii="Arial" w:cs="Arial" w:eastAsia="Arial" w:hAnsi="Arial"/>
                <w:sz w:val="18"/>
                <w:szCs w:val="18"/>
                <w:color w:val="0000EE"/>
                <w:w w:val="87"/>
              </w:rPr>
            </w:pPr>
            <w:hyperlink w:anchor="page65">
              <w:r>
                <w:rPr>
                  <w:rFonts w:ascii="Arial" w:cs="Arial" w:eastAsia="Arial" w:hAnsi="Arial"/>
                  <w:sz w:val="18"/>
                  <w:szCs w:val="18"/>
                  <w:color w:val="0000EE"/>
                  <w:w w:val="87"/>
                </w:rPr>
                <w:t>D. Employees</w:t>
              </w:r>
            </w:hyperlink>
          </w:p>
        </w:tc>
        <w:tc>
          <w:tcPr>
            <w:tcW w:w="886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65">
              <w:r>
                <w:rPr>
                  <w:rFonts w:ascii="Arial" w:cs="Arial" w:eastAsia="Arial" w:hAnsi="Arial"/>
                  <w:sz w:val="18"/>
                  <w:szCs w:val="18"/>
                  <w:color w:val="0000EE"/>
                  <w:w w:val="86"/>
                </w:rPr>
                <w:t>E. Share Ownership</w:t>
              </w:r>
            </w:hyperlink>
          </w:p>
        </w:tc>
        <w:tc>
          <w:tcPr>
            <w:tcW w:w="844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1040" w:type="dxa"/>
            <w:vAlign w:val="bottom"/>
            <w:gridSpan w:val="29"/>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7.   </w:t>
            </w:r>
            <w:hyperlink w:anchor="page66">
              <w:r>
                <w:rPr>
                  <w:rFonts w:ascii="Arial" w:cs="Arial" w:eastAsia="Arial" w:hAnsi="Arial"/>
                  <w:sz w:val="18"/>
                  <w:szCs w:val="18"/>
                  <w:color w:val="0000EE"/>
                </w:rPr>
                <w:t>Major Shareholders and Related Party Transactions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20" w:type="dxa"/>
            <w:vAlign w:val="bottom"/>
            <w:tcBorders>
              <w:top w:val="single" w:sz="8" w:color="0000EE"/>
            </w:tcBorders>
            <w:gridSpan w:val="2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A. Major Shareholders</w:t>
              </w:r>
            </w:hyperlink>
          </w:p>
        </w:tc>
        <w:tc>
          <w:tcPr>
            <w:tcW w:w="6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900" w:type="dxa"/>
            <w:vAlign w:val="bottom"/>
            <w:gridSpan w:val="13"/>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66">
              <w:r>
                <w:rPr>
                  <w:rFonts w:ascii="Arial" w:cs="Arial" w:eastAsia="Arial" w:hAnsi="Arial"/>
                  <w:sz w:val="18"/>
                  <w:szCs w:val="18"/>
                  <w:color w:val="0000EE"/>
                  <w:w w:val="86"/>
                </w:rPr>
                <w:t>B. Related Party Transactions</w:t>
              </w:r>
            </w:hyperlink>
          </w:p>
        </w:tc>
        <w:tc>
          <w:tcPr>
            <w:tcW w:w="77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1180" w:type="dxa"/>
            <w:vAlign w:val="bottom"/>
            <w:gridSpan w:val="2"/>
          </w:tcPr>
          <w:p>
            <w:pPr>
              <w:ind w:left="440"/>
              <w:spacing w:after="0"/>
              <w:rPr>
                <w:sz w:val="20"/>
                <w:szCs w:val="20"/>
                <w:color w:val="auto"/>
              </w:rPr>
            </w:pPr>
            <w:r>
              <w:rPr>
                <w:rFonts w:ascii="Arial" w:cs="Arial" w:eastAsia="Arial" w:hAnsi="Arial"/>
                <w:sz w:val="18"/>
                <w:szCs w:val="18"/>
                <w:color w:val="auto"/>
              </w:rPr>
              <w:t>Item 8.</w:t>
            </w:r>
          </w:p>
        </w:tc>
        <w:tc>
          <w:tcPr>
            <w:tcW w:w="15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Financial Information</w:t>
              </w:r>
            </w:hyperlink>
          </w:p>
        </w:tc>
        <w:tc>
          <w:tcPr>
            <w:tcW w:w="832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2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A. Financial Statements and Other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0" w:type="dxa"/>
            <w:vAlign w:val="bottom"/>
            <w:tcBorders>
              <w:top w:val="single" w:sz="8" w:color="0000EE"/>
            </w:tcBorders>
            <w:gridSpan w:val="2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B. Significant Changes</w:t>
              </w:r>
            </w:hyperlink>
          </w:p>
        </w:tc>
        <w:tc>
          <w:tcPr>
            <w:tcW w:w="5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54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240" w:type="dxa"/>
            <w:vAlign w:val="bottom"/>
            <w:gridSpan w:val="1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9"/>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9.   </w:t>
            </w:r>
            <w:hyperlink w:anchor="page69">
              <w:r>
                <w:rPr>
                  <w:rFonts w:ascii="Arial" w:cs="Arial" w:eastAsia="Arial" w:hAnsi="Arial"/>
                  <w:sz w:val="18"/>
                  <w:szCs w:val="18"/>
                  <w:color w:val="0000EE"/>
                </w:rPr>
                <w:t>The Offer and Listing</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vMerge w:val="restart"/>
          </w:tcPr>
          <w:p>
            <w:pPr>
              <w:ind w:left="440"/>
              <w:spacing w:after="0"/>
              <w:rPr>
                <w:sz w:val="20"/>
                <w:szCs w:val="20"/>
                <w:color w:val="auto"/>
              </w:rPr>
            </w:pPr>
            <w:r>
              <w:rPr>
                <w:rFonts w:ascii="Arial" w:cs="Arial" w:eastAsia="Arial" w:hAnsi="Arial"/>
                <w:sz w:val="18"/>
                <w:szCs w:val="18"/>
                <w:color w:val="auto"/>
              </w:rPr>
              <w:t>Item 10.</w:t>
            </w:r>
          </w:p>
        </w:tc>
        <w:tc>
          <w:tcPr>
            <w:tcW w:w="1640" w:type="dxa"/>
            <w:vAlign w:val="bottom"/>
            <w:gridSpan w:val="10"/>
            <w:vMerge w:val="restart"/>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Additional Information</w:t>
              </w:r>
            </w:hyperlink>
          </w:p>
        </w:tc>
        <w:tc>
          <w:tcPr>
            <w:tcW w:w="8040" w:type="dxa"/>
            <w:vAlign w:val="bottom"/>
            <w:gridSpan w:val="14"/>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360" w:type="dxa"/>
            <w:vAlign w:val="bottom"/>
            <w:gridSpan w:val="3"/>
            <w:vMerge w:val="continue"/>
          </w:tcPr>
          <w:p>
            <w:pPr>
              <w:spacing w:after="0"/>
              <w:rPr>
                <w:sz w:val="14"/>
                <w:szCs w:val="14"/>
                <w:color w:val="auto"/>
              </w:rPr>
            </w:pPr>
          </w:p>
        </w:tc>
        <w:tc>
          <w:tcPr>
            <w:tcW w:w="1640" w:type="dxa"/>
            <w:vAlign w:val="bottom"/>
            <w:tcBorders>
              <w:bottom w:val="single" w:sz="8" w:color="0000EE"/>
            </w:tcBorders>
            <w:gridSpan w:val="10"/>
            <w:vMerge w:val="continue"/>
          </w:tcPr>
          <w:p>
            <w:pPr>
              <w:spacing w:after="0"/>
              <w:rPr>
                <w:sz w:val="14"/>
                <w:szCs w:val="14"/>
                <w:color w:val="auto"/>
              </w:rPr>
            </w:pPr>
          </w:p>
        </w:tc>
        <w:tc>
          <w:tcPr>
            <w:tcW w:w="8040" w:type="dxa"/>
            <w:vAlign w:val="bottom"/>
            <w:gridSpan w:val="14"/>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A. Share Capital</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B. Memorandum and Articles of Association</w:t>
              </w:r>
            </w:hyperlink>
          </w:p>
        </w:tc>
        <w:tc>
          <w:tcPr>
            <w:tcW w:w="65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 Material Contracts</w:t>
              </w:r>
            </w:hyperlink>
          </w:p>
        </w:tc>
        <w:tc>
          <w:tcPr>
            <w:tcW w:w="81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D. Exchange Controls</w:t>
              </w:r>
            </w:hyperlink>
          </w:p>
        </w:tc>
        <w:tc>
          <w:tcPr>
            <w:tcW w:w="812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 Taxation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 Dividends and Paying Agents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Borders>
              <w:top w:val="single" w:sz="8" w:color="0000EE"/>
            </w:tcBorders>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G. Statements by Experts</w:t>
              </w:r>
            </w:hyperlink>
          </w:p>
        </w:tc>
        <w:tc>
          <w:tcPr>
            <w:tcW w:w="74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H. Documents on Display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11.</w:t>
            </w:r>
          </w:p>
        </w:tc>
        <w:tc>
          <w:tcPr>
            <w:tcW w:w="42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Quantitative and Qualitative Disclosures About Market Risk</w:t>
              </w:r>
            </w:hyperlink>
          </w:p>
        </w:tc>
        <w:tc>
          <w:tcPr>
            <w:tcW w:w="54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12.</w:t>
            </w:r>
          </w:p>
        </w:tc>
        <w:tc>
          <w:tcPr>
            <w:tcW w:w="9680" w:type="dxa"/>
            <w:vAlign w:val="bottom"/>
            <w:gridSpan w:val="2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Description of Securities Other than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360" w:type="dxa"/>
            <w:vAlign w:val="bottom"/>
            <w:gridSpan w:val="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PART II</w:t>
              </w:r>
            </w:hyperlink>
          </w:p>
        </w:tc>
        <w:tc>
          <w:tcPr>
            <w:tcW w:w="5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13.</w:t>
            </w:r>
          </w:p>
        </w:tc>
        <w:tc>
          <w:tcPr>
            <w:tcW w:w="35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Defaults, Dividend Arrearages and Delinquencies</w:t>
              </w:r>
            </w:hyperlink>
          </w:p>
        </w:tc>
        <w:tc>
          <w:tcPr>
            <w:tcW w:w="61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14.</w:t>
            </w:r>
          </w:p>
        </w:tc>
        <w:tc>
          <w:tcPr>
            <w:tcW w:w="9680" w:type="dxa"/>
            <w:vAlign w:val="bottom"/>
            <w:gridSpan w:val="2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Material Modifications to the Rights of Security Holders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15.</w:t>
            </w:r>
          </w:p>
        </w:tc>
        <w:tc>
          <w:tcPr>
            <w:tcW w:w="5460" w:type="dxa"/>
            <w:vAlign w:val="bottom"/>
            <w:tcBorders>
              <w:top w:val="single" w:sz="8" w:color="0000EE"/>
            </w:tcBorders>
            <w:gridSpan w:val="2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4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16A.</w:t>
            </w:r>
          </w:p>
        </w:tc>
        <w:tc>
          <w:tcPr>
            <w:tcW w:w="24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Audit Committee Financial Expert</w:t>
              </w:r>
            </w:hyperlink>
          </w:p>
        </w:tc>
        <w:tc>
          <w:tcPr>
            <w:tcW w:w="72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16B.</w:t>
            </w:r>
          </w:p>
        </w:tc>
        <w:tc>
          <w:tcPr>
            <w:tcW w:w="9680" w:type="dxa"/>
            <w:vAlign w:val="bottom"/>
            <w:gridSpan w:val="2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Code of Ethics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16C.</w:t>
            </w:r>
          </w:p>
        </w:tc>
        <w:tc>
          <w:tcPr>
            <w:tcW w:w="9680" w:type="dxa"/>
            <w:vAlign w:val="bottom"/>
            <w:gridSpan w:val="2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16D.</w:t>
            </w:r>
          </w:p>
        </w:tc>
        <w:tc>
          <w:tcPr>
            <w:tcW w:w="9680" w:type="dxa"/>
            <w:vAlign w:val="bottom"/>
            <w:gridSpan w:val="2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Exemptions from the Listing Standards for Audit Committees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gridSpan w:val="6"/>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16E.</w:t>
            </w:r>
          </w:p>
        </w:tc>
        <w:tc>
          <w:tcPr>
            <w:tcW w:w="9680" w:type="dxa"/>
            <w:vAlign w:val="bottom"/>
            <w:gridSpan w:val="2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Purchases of Equity Securities by the Issuer and Affiliated Purchasers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16F.</w:t>
            </w:r>
          </w:p>
        </w:tc>
        <w:tc>
          <w:tcPr>
            <w:tcW w:w="4900" w:type="dxa"/>
            <w:vAlign w:val="bottom"/>
            <w:tcBorders>
              <w:top w:val="single" w:sz="8" w:color="0000EE"/>
            </w:tcBorders>
            <w:gridSpan w:val="2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 in Registrants’ Certifying Accountant</w:t>
              </w:r>
            </w:hyperlink>
          </w:p>
        </w:tc>
        <w:tc>
          <w:tcPr>
            <w:tcW w:w="4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16G.</w:t>
            </w:r>
          </w:p>
        </w:tc>
        <w:tc>
          <w:tcPr>
            <w:tcW w:w="1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Corporate Governance</w:t>
              </w:r>
            </w:hyperlink>
          </w:p>
        </w:tc>
        <w:tc>
          <w:tcPr>
            <w:tcW w:w="1620" w:type="dxa"/>
            <w:vAlign w:val="bottom"/>
            <w:tcBorders>
              <w:top w:val="single" w:sz="8" w:color="0000EE"/>
            </w:tcBorders>
            <w:gridSpan w:val="8"/>
          </w:tcPr>
          <w:p>
            <w:pPr>
              <w:spacing w:after="0"/>
              <w:rPr>
                <w:sz w:val="24"/>
                <w:szCs w:val="24"/>
                <w:color w:val="auto"/>
              </w:rPr>
            </w:pPr>
          </w:p>
        </w:tc>
        <w:tc>
          <w:tcPr>
            <w:tcW w:w="64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16H.</w:t>
            </w:r>
          </w:p>
        </w:tc>
        <w:tc>
          <w:tcPr>
            <w:tcW w:w="9680" w:type="dxa"/>
            <w:vAlign w:val="bottom"/>
            <w:gridSpan w:val="2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360" w:type="dxa"/>
            <w:vAlign w:val="bottom"/>
            <w:gridSpan w:val="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PART III</w:t>
              </w:r>
            </w:hyperlink>
          </w:p>
        </w:tc>
        <w:tc>
          <w:tcPr>
            <w:tcW w:w="5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17.</w:t>
            </w:r>
          </w:p>
        </w:tc>
        <w:tc>
          <w:tcPr>
            <w:tcW w:w="14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Financial Statements</w:t>
              </w:r>
            </w:hyperlink>
          </w:p>
        </w:tc>
        <w:tc>
          <w:tcPr>
            <w:tcW w:w="82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18.</w:t>
            </w:r>
          </w:p>
        </w:tc>
        <w:tc>
          <w:tcPr>
            <w:tcW w:w="9680" w:type="dxa"/>
            <w:vAlign w:val="bottom"/>
            <w:gridSpan w:val="2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1360" w:type="dxa"/>
            <w:vAlign w:val="bottom"/>
            <w:gridSpan w:val="3"/>
          </w:tcPr>
          <w:p>
            <w:pPr>
              <w:ind w:left="440"/>
              <w:spacing w:after="0"/>
              <w:rPr>
                <w:sz w:val="20"/>
                <w:szCs w:val="20"/>
                <w:color w:val="auto"/>
              </w:rPr>
            </w:pPr>
            <w:r>
              <w:rPr>
                <w:rFonts w:ascii="Arial" w:cs="Arial" w:eastAsia="Arial" w:hAnsi="Arial"/>
                <w:sz w:val="18"/>
                <w:szCs w:val="18"/>
                <w:color w:val="auto"/>
              </w:rPr>
              <w:t>Item 19.</w:t>
            </w:r>
          </w:p>
        </w:tc>
        <w:tc>
          <w:tcPr>
            <w:tcW w:w="1460" w:type="dxa"/>
            <w:vAlign w:val="bottom"/>
            <w:tcBorders>
              <w:top w:val="single" w:sz="8" w:color="0000EE"/>
            </w:tcBorders>
            <w:gridSpan w:val="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822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4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 The risks and uncertainties include, but are not limited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health and condition of the U.S. and global financial markets;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condition and liquidity, including our ability to obtain additional waivers which might be necessary under the existing credit facility or obtain additional financing to fund capital expenditures, vessel acquisitions and other general corporate purposes;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financial covenants and repay our credit facility;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relating to dividend payments and forecasts of our ability to make such payments including the availability of cash and the impact of constraints under our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right="10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key employees and crew, number of off-hire days, drydocking and survey requirements, general and administrative costs and insurance costs;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our capital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expectations about the availability of ships to purchase, the time that it may take to construct new ships, or the useful lives of our ships;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ability to enter into or renew long-term, fixed-rate charters including the re-charterering of vessels on the expiry of existing charters, or to secure profitable employment for our vessels in the spot market;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capitalize on our management’s and board of directors’ relationships and reputations in the containership industry to our advantage;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environmental and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Accordingly, you should not unduly rely on these forward-looking statements, which speak only as of the date of this Annual Report. We undertake no obligation to publicly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Unless the context otherwise requires, references to “the company”, “we”, “us” or “our” refers to Global Ship Lease, Inc.; “CMA CGM” refers to CMA CGM S.A. and “Ship Manager” refers to CMA Ships, a wholly-owned subsidiary of CMA CGM and our current ship manager.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definition of certain terms used in this Annual Report, please see “Glossary of Shipping Terms” at the end of this Annual Report.</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Unless otherwise indicated, all references to “$” and “dollars” in this Annual Report are in United States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Selected Financial Data</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consolidated financial statements and notes thereto, which are referred to as our consolidated financial statements, included elsewhere in this Annual Report.</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selected historical consolidated financial and operating information gives effect to the merger of Global Ship Lease, Inc. and Marathon Acquisition Corp as described further below (“Merger”) as at August 14, 2008 and consequently the selected consolidated financial statements up to December 31, 2012 include two distinct reporting periods (i) January 1, 2008 through August 14, 2008 (“Predecessor”) and (ii) August 15, 2008 through December 31, 2012 (“Successor”), which relate to the period preceding the Merger and the period succeeding the Merger, respectively. Further, we derived all of our revenue in 2012, 2011, 2010 and 2009 and virtually all of our revenue in 2008 from chartering out our vessels under our continuing business of long-term fixed rate time charters. We use the term “Predecessor Group” to mean the container shipping services provided by the 10 secondhand vessels, which we purchased in December 2007, and two newly built vessels, which we purchased in January 2008, in our initial fleet when these vessels were owned and operated by CMA CGM and its subsidiaries rather than to mean any particular entity or entities.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There are significant differences between our business after the acquisition of our initial fleet of 12 vessels in December 2007 and January 2008, when we started our time charter business, and the business of our Predecessor Group when the vessels earned revenue from carrying containerized cargo for customers. Accordingly, the selected historical consolidated financial data up to August 14, 2008 includes for January 2008 the Predecessor Group’s trading activities of the two vessels up to the date of their purchase by us in that month when they earned revenue from carrying cargo for third party customers. The selected historical consolidated financial data up to that date is not indicative of the results we would have achieved had we historically operated solely as an independent ship-owning company earning charterhire or of our future results.</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consolidated financial statements for the Successor period after August 14, 2008 reflect the acquisition of Global Ship Lease, Inc., as a result of the Merger, under the purchase method of accounting. The results of the Successor are not comparable to the results of the Predecessor due to the difference in the basis of presentation under purchase accounting as compared to historical cost and due to the changes in capital and legal structure following the Merger including our becoming listed on the New York Stock Exchange.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historical selected consolidated financial data as of December 31, 2012, 2011, 2010, 2009 and 2008 and for each of the years then ended (2008 including two distinct reporting periods before and after the Merger) have been derived from our audited consolidated financial statements and have been prepared in accordance with United States generally accepted accounting principles. Certain financial information has been rounded, and, as a result, certain totals shown in this Annual Report may not equal the arithmetic sum of the figures that should otherwise aggregate to those totals.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This selected financial data should be read together with, and is qualified in its entirety by, our consolidated financial statements and the notes thereto included elsewhere in this Annual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August 15 to</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December</w:t>
            </w:r>
          </w:p>
        </w:tc>
        <w:tc>
          <w:tcPr>
            <w:tcW w:w="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rPr>
              <w:t>31</w:t>
            </w:r>
          </w:p>
        </w:tc>
        <w:tc>
          <w:tcPr>
            <w:tcW w:w="4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August 14</w:t>
            </w:r>
          </w:p>
        </w:tc>
        <w:tc>
          <w:tcPr>
            <w:tcW w:w="0" w:type="dxa"/>
            <w:vAlign w:val="bottom"/>
          </w:tcPr>
          <w:p>
            <w:pPr>
              <w:spacing w:after="0"/>
              <w:rPr>
                <w:sz w:val="1"/>
                <w:szCs w:val="1"/>
                <w:color w:val="auto"/>
              </w:rPr>
            </w:pPr>
          </w:p>
        </w:tc>
      </w:tr>
      <w:tr>
        <w:trPr>
          <w:trHeight w:val="16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(in millions of U.S. dollars, except per share data)</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Successor</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Successor</w:t>
            </w: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1"/>
              </w:rPr>
              <w:t>Successor</w:t>
            </w:r>
          </w:p>
        </w:tc>
        <w:tc>
          <w:tcPr>
            <w:tcW w:w="180" w:type="dxa"/>
            <w:vAlign w:val="bottom"/>
          </w:tcPr>
          <w:p>
            <w:pPr>
              <w:spacing w:after="0"/>
              <w:rPr>
                <w:sz w:val="19"/>
                <w:szCs w:val="19"/>
                <w:color w:val="auto"/>
              </w:rPr>
            </w:pPr>
          </w:p>
        </w:tc>
        <w:tc>
          <w:tcPr>
            <w:tcW w:w="1140" w:type="dxa"/>
            <w:vAlign w:val="bottom"/>
            <w:tcBorders>
              <w:right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87"/>
              </w:rPr>
              <w:t>Successor</w:t>
            </w:r>
          </w:p>
        </w:tc>
        <w:tc>
          <w:tcPr>
            <w:tcW w:w="30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Freight revenue (1)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Time charter revenue (2)</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153.2</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Voyage expenses (3)</w:t>
            </w:r>
          </w:p>
        </w:tc>
        <w:tc>
          <w:tcPr>
            <w:tcW w:w="1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Impairment charge (5)</w:t>
            </w:r>
          </w:p>
        </w:tc>
        <w:tc>
          <w:tcPr>
            <w:tcW w:w="1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(106.3)</w:t>
            </w:r>
          </w:p>
        </w:tc>
        <w:tc>
          <w:tcPr>
            <w:tcW w:w="10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(107.1)</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(87.0)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Non operating income (expense)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Unrealized gain (loss) on interest rate derivatives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(44.0)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in thousand $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9"/>
              </w:rPr>
              <w:t>Weighted average number of common shares outstanding</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(loss) per Class A common share in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Weighted average number of Class A common shares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in millions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Diluted in millions</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 in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Nil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tcBorders>
              <w:right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Basic and diluted in millions</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74.6</w:t>
            </w:r>
          </w:p>
        </w:tc>
        <w:tc>
          <w:tcPr>
            <w:tcW w:w="34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vessels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856.4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903.7</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1,027.4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966.6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 portion)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425.7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366.6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Number of vessels in operation at period end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Ownership days</w:t>
            </w:r>
          </w:p>
        </w:tc>
        <w:tc>
          <w:tcPr>
            <w:tcW w:w="12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6,222</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5,968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1,717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Utilization (7)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reports revenue earned by the Predecessor Group from carrying cargo on the vessels.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revenues earned from our chartering business following the purchase of our vessels commencing December 2007.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the voyage related expenses of carrying cargo by the Predecessor Group.</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consolidated financial statements include the general and administrative expenses incurred by our Predecessor Group related to its operations and such costs incurred by us as a wholly owned subsidiary of CMA CGM in the Predecessor period prior to the Merger. Subsequent to the completion of the Merger, we have incurred additional administrative expenses, including legal, accounting, treasury, premises, securities regulatory compliance and other costs normally incurred by an independent listed public entity. Accordingly, general and administrative expenses incurred by and allocated to the Predecessor Group and incurred in the Predecessor period do not purport to be indicative of future expenses.</w:t>
      </w:r>
    </w:p>
    <w:p>
      <w:pPr>
        <w:spacing w:after="0" w:line="3"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8, 2010, we signed agreements with the sellers of two 4,250 TEU container vessels which terminated our purchase obligations totaling $154.8 million. Under the agreements we (i) released deposits, including accrued interest and totaling approximately $8.1 million per vessel (ii) made a further cash payment of approximately $6.2 million per vessel and (iii) transferred to the sellers certain supplies purchased for the vessels which were valued at approximately $0.4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The purchase options were to be exercised by September 16, 2011 for one vessel and October 4, 2011 for the other vessel. Under U.S. GAAP (i) the estimated fair value of the two purchase options was recorded as an asset in the balance sheet as at December 31, 2010 at $13.6 million (ii) an impairment charge of $17.1 million was recognized in the fourth quarter 2010 which comprised $15.5 million released deposits, $1.3 million capitalized interest and $0.3 million other predelivery capital expenditure for the newbuildings. The purchase of these vessels was always predicated on achieving a strong return for shareholders by acquiring the vessels at an attractive price and with financing on favorable terms. As we considered it unlikely that we would be able to obtain committed finance on acceptable terms before the expiry of the options, the intangible assets totaling $13.6 million relating to these options were written off in the second quarter 2011. Both purchase options were allowed to expire.</w:t>
      </w:r>
    </w:p>
    <w:p>
      <w:pPr>
        <w:spacing w:after="0" w:line="8"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number of our common shares outstanding as of June 30, 2008 has been used for purposes of computing earnings per share for all periods prior to this date as financial information for 2007 was carved-out from our Predecessor Group.</w:t>
      </w:r>
    </w:p>
    <w:p>
      <w:pPr>
        <w:ind w:left="460" w:right="30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for any reason, including scheduled dry-dockings, breakdowns or repairs. Ownership days represent the number of days in the period that we owned the relevant vessels. These data are non-GAAP statistical measures used by management to assess operating performance and are not included in consolidated financial statements prepared under U.S. GAAP.</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Capitalization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highly dependent on charter payments from CMA CGM.</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of our vessels are chartered to CMA CGM. CMA CGM’s payments to us under the charters are currently our sole source of operating revenue. We are consequently highly dependent on the performance by CMA CGM of its obligation under the charters. The container shipping industry suffered a significant cyclical downturn in the second half of 2008 and through 2009, with positive industry conditions returning in 2010. The container shipping industry suffered a further cyclical downturn in 2011 and many container shipping companies reported substantial losses. Financial performance of container shipping companies improved in 2012 however, the industry remains under pressure due to oversupply of container ship capacity. CMA CGM announced on February 12, 2013 that it had finalized its financial restructuring launched in 2012 including a new covenant package taking into account the container shipping industry’s volatility. Further, we have experienced continued and, from time to time, increased delays in receiving charterhire payments from CMA CGM, where between one and three installments have been outstanding since January 1, 2012, which under the charter contracts are due to be paid every 15 days in advance.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for shorter durations. If such events occur, there would be significant uncertainty about our ability to continue as a going concern.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recharter our vessels at profitable rates, if at all, upon their time charter expiry.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time charters for two of our 17 containerships will expire as early as May 1, 2013. While we generally expect to be able to obtain new time charters for our vessels within a reasonable period prior to their expiry, we cannot be assured that this will occur in any particular case, or at all. In addition, demand for containerships has been weak with a significant number of vessels idle and charter rates in the spot market are depressed and we may not be able to secure charter rates at the same level as the current time charters. If we are unable to obtain new time charters for these containerships at favorable rates or are unable to secure new charters at all it could have a material adverse effect on our business, results of operations and financial condition.</w:t>
      </w:r>
    </w:p>
    <w:p>
      <w:pPr>
        <w:spacing w:after="0" w:line="110"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Our credit facility contains restrictive covenants including a maximum leverage ratio based on borrowings under the credit facility expressed as a percentage of charter-free market value of our secured vessels. If the leverage ratio under our credit facility exceeds the permitted level, the lenders under the credit facility may require us to make an additional prepayment of the borrowings or provide additional security, which we may not be able to do and would likely cause a default under the credit facility and which would raise substantial doubt about our ability to continue as a going concern.</w:t>
      </w:r>
    </w:p>
    <w:p>
      <w:pPr>
        <w:spacing w:after="0" w:line="9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credit facility with ABN AMRO Bank N.V. (also the “Agent”), Citibank Global Markets Limited, HSH Nordbank AG, Sumitomo Mitsui Banking Corporation, Brussels Branch, KFW Ipex Bank GmbH, DnB NOR Bank ASA and Bank of Scotland plc until October 2012, when it transferred its exposure to OCM Starfish Debtco S.àr.l. In February 2013, one member of the syndicate novated part of their commitment to FPA Hawkeye-7 Fund, FPA Crescent Fund, FPA Hawkeye Fund and FPA Value Partners Fund.</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of December 31, 2012, outstanding borrowings under the credit facility were $425.7 million. The credit facility contains restrictive financial and other covenants including minimum cash, minimum net worth, minimum EBITDA to debt service, maximum financial net debt to total capital and maximum leverage ratio, which is the ratio of borrowings under the credit facility to the charter-free market value of security posted.</w:t>
      </w:r>
    </w:p>
    <w:p>
      <w:pPr>
        <w:spacing w:after="0" w:line="10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If the leverage ratio when tested exceeds 75% or we are otherwise in potential default under the credit facility, and if an amendment to or waiver under the credit facility or other relief is not obtained, the Agent may require a prepayment of borrowings or the delivery of additional security. In such an event, we are likely to go into default under the credit facility, which would raise substantial doubt about our ability to continue as a going concern.</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container shipping industry is currently experiencing a significant cyclical downturn. As a consequence, there has been a decline in charter free market values of containerships. In anticipation of the scheduled test of the leverage ratio as at November 30, 2012 when we expected that it would exceed 75%, we agreed on November 9, 2012 with our lenders to waive the requirement to perform the leverage ratio test until December 1, 2014 (the “Credit Facility Waiver”). If charter free market values of containerships continue to be depressed, not-with-standing anticipated further reduction in the amount of debt outstanding due to amortization, we may require another waiver from the leverage ratio test as at December 1, 2014. There is no guarantee that such a waiver will be obtained.</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credit facility also imposes scheduled repayments and additional operating and financial restrictions on us. These restrictions may limit our ability to, among other things: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in the vessel owning subsidiaries, including through the issuance of guarantees;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management of our vessels without the prior consent of the lender;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liens on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our vessels or change the ownership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or consolidate with, or transfer all or substantially all our assets to, another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types of charters.</w:t>
      </w:r>
    </w:p>
    <w:p>
      <w:pPr>
        <w:spacing w:after="0" w:line="17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Therefore, we may need to seek consent from our lenders in order to engage in certain corporate actions. Our lenders’ interests may be different from ours and we cannot guarantee that we will be able to obtain our lenders’ consent when needed. This may limit our ability to pay dividends, finance our future operations, make acquisitions or pursue business opportunities. See Item 4.B. “Business Overview </w:t>
      </w:r>
      <w:r>
        <w:rPr>
          <w:rFonts w:ascii="Arial" w:cs="Arial" w:eastAsia="Arial" w:hAnsi="Arial"/>
          <w:sz w:val="16"/>
          <w:szCs w:val="16"/>
          <w:b w:val="1"/>
          <w:bCs w:val="1"/>
          <w:color w:val="auto"/>
        </w:rPr>
        <w:t>—</w:t>
      </w:r>
      <w:r>
        <w:rPr>
          <w:rFonts w:ascii="Arial" w:cs="Arial" w:eastAsia="Arial" w:hAnsi="Arial"/>
          <w:sz w:val="16"/>
          <w:szCs w:val="16"/>
          <w:color w:val="auto"/>
        </w:rPr>
        <w:t xml:space="preserve"> Our Credit Facility” for more information.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Credit Facility Waiver provides that we may not declare or pay common dividends before December 1, 2014 or until the leverage ratio is no more than 75%, whichever is later.</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Credit Facility Waiver provides that we may not declare or pay common dividends before December 1, 2014 or until the leverage ratio is no more than 75%, whichever is later. As a result, we are currently unable to pay dividends to common shareholders. Additionally, our credit facility provides that we may not pay dividends if there is a continuing default under the facility. We are also prohibited from paying dividends if the payment of the dividend would result in a default and any payments to be made into the retention account are not fully up to date. The charter free market value of our vessels can fluctuate substantially depending on market supply and demand for vessels. Since mid 2008, due to an excess of containership capacity, vessel market values have been substantially depressed. In addition, the market value of our vessels will decrease over time, as vessels generally decrease in value as they age. Consequently, the leverage ratio is volatile and will likely increase over time, which will negatively affect our ability to comply with our leverage ratio covenants. This, in turn, will impact our ability to resume dividend payments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give assurance that we will be able to refinance any indebtedness incurred under our credit facility.</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cannot assure you that at the credit facility’s final maturity date in August 2016 or when otherwise required, we will be able to refinance our indebtedness at all or on terms that are acceptable to us. The actual or perceived credit quality of our charterers, any defaults by them, and the market value of our fleet, among other things, may materially affect our ability to obtain new or replacement debt financing. If we are not able to refinance our indebtedness, we will have to dedicate all of our cash flow from operations to pay the principal and interest of our indebtedness. We cannot assure you that we will be able to generate cash flow in amounts that are sufficient for these purposes. If we are not able to satisfy our debt service obligations with our cash flow from operations, we may have to sell some or all of our assets, which may not be possible and which would have an adverse effect on our cash flows and results of operations. If we are unable to meet our debt obligations for any reason, our lenders could declare our debt, together with accrued interest and fees, to be immediately due and payable and foreclose on vessels in our fleet.</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Vessel values may fluctuate, which may adversely affect our financial condition, result in the incurrence of a loss upon disposal of a vessel or increase the cost of acquiring additional vessels.</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Vessel values may fluctuate due to a number of different factors, including: general economic and market conditions affecting the shipping industry; competition from other shipping companies; the types and sizes of available vessels; the availability of other modes of transportation; increases in the supply of vessel capacity; the cost of newbuildings; governmental or other regulations; prevailing freight rates, which are the rates paid to the shipowner by the charterer under a voyage charter, usually calculated either per ton loaded or as a lump sum amount; and the need to upgrade second hand and previously owned vessels as a result of charterer requirements, technological advances in vessel design or equipment, or otherwise. In addition, as vessels grow older, they generally decline in value. Due to the cyclical nature of the container market, if for any reason we sell any of our owned vessels at a time when prices are depressed, we could incur a loss and our business, results of operations, cash flow and financial condition could be adversely affected. Moreover, if the book value of a vessel is impaired due to unfavorable market conditions we may incur a loss that could adversely affect our operating results.</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and CMA Ships are privately held companies and there is little or no publicly available information about them.</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CMA CGM is our sole charterer and its wholly owned subsidiary, CMA Ships, is our ship manager. CMA CGM has guaranteed the performance of CMA Ships under the ship management agreements. CMA CGM’s ability to continue to pay charterhire and CMA Ships’ ability to render ship management services will depend in part on their own financial position.</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Circumstances beyond their control could impair CMA CGM’s and CMA Ships’ financial position, and because they are privately held companies, information about their financial position is not publicly available. As a result, we and an investor in our securities might have little advance warning of financial or other difficulties affecting CMA CGM or its wholly owned subsidiaries even though their financial or other difficulties could have a material adverse effect on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and CMA Ships have conflicts of interest with us which may make them favor their own interests to our detriment.</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Conflicts of interest may arise between us, on the one hand, and CMA CGM, our charterer, and CMA Ships, our ship manager,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our ship manager and our charterer.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reporting is dependent on CMA Ships.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the ship management agreements with CMA Ships, CMA Ships is obliged to provide us with requisite financial information on a timely basis so that we can meet our own reporting obligations under U.S. securities laws. CMA Ships and its parent company CMA CGM are privately held corporations with financial reporting arrangements different from ours. If CMA Ships or any of its affiliates is delayed in providing us with key financial information, we could fail to meet our financial reporting deadlines.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could compete with us.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Along with many other vessel-owning companies, CMA CGM, currently our sole charterer and largest holder of our common shares, could compete with us for the purchase of newbuildings and secondhand vessels. Further, CMA CGM is not precluded from acting as an owner in the direct chartering market. While we understand that CMA CGM currently has no intention of doing so, competition from CMA CGM may potentially harm our ability to grow the business and may decrease our results of operations.</w:t>
      </w:r>
    </w:p>
    <w:p>
      <w:pPr>
        <w:spacing w:after="0" w:line="137"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Certain terms in our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8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initial charters, the ship management agreements and the other contractual agreements we have entered into with CMA CGM and its wholly owned subsidiaries were made during an affiliated relationship in the context of a previously contemplated public offering of our Class A common shares in 2007, the Merger in August 2008 and other related transactions. Further, the new charters that came into effect in September 2012, after the Merger, for Ville d’Aquarius and Ville d’Orion were also agreed with CMA CGM, then a significant shareholder and related party.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11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Our growth depends on our ability to purchase further vessels, obtain new charters and maintain our relationship with CMA CGM. We will require additional financing to be able to grow and will face substantial competition.</w:t>
      </w:r>
    </w:p>
    <w:p>
      <w:pPr>
        <w:spacing w:after="0" w:line="126"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One of our objectives is to grow by acquiring additional vessels and chartering them out to container shipping companies potentially including CMA CGM. Acquisition of vessels will be challenging as, inter alia, we will need to obtain additional financing in order to complete vessel purchases. Due to the continuing effects on the banking sector of the economic downturn and the severe cyclical downturn in the container shipping industry, financing for investment in containerships, whether newbuildings or existing vessels, is severely limited. Further, the cost of any available financing increased significantly. In addition, in recent years, the number of lenders for shipping companies has decreased and ship-funding lenders have generally lowered their loan-to-value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process of obtaining further vessels and new charters is highly competitive. The purchase of vessels and gaining of new charters depends on a variety of factors relating to the vessel owner, including: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committed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containership experience and quality of ship operations (including cost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finance containerships at competitive rates and financial stability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vessels according to customer specifications.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will face substantial competition in expanding our business from a number of experienced companies. Many of these competitors may have greater financial resources than us, may also operate larger fleets, may have been established for longer and may be able to offer better charter rates. During any industry downturn there are an increased number of vessels available for charter, including many from owners with strong reputations and experience. The potential excess supply of vessels results in greater price competition for charters. As a result of these factors, we may be unable to purchase additional containerships, expand our relationships with CMA CGM or to obtain new charterers on a profitable basis, if at all, which would have a material adverse effect on our business, results of operations and financial condition.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may be unable to make or realize expected benefits from vessel acquisitions, and implementing our growth strategy through acquisitions which may harm our business, financial condition and operating results.</w:t>
      </w:r>
    </w:p>
    <w:p>
      <w:pPr>
        <w:spacing w:after="0" w:line="4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growth strategy includes, among other things, selectively acquiring newbuildings and secondhand vessels.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or have ship management agreements with similar or better terms than those we have obtained from CMA Ships or that we will not incur significant expenses and losses in connection with our future growth.</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Factors that may limit our ability to acquire additional vessels include competition from other owners,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Any acquisition of a vessel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 able to pay dividends.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may be reduced by the introduction of new accounting rules for leasing.</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International and U.S. accounting standard-setting organizations have proposed the elimination of allowing operating leases to not be recorded on the balance sheet. The proposals are still under discussion and a further draft of the accounting standard is expected to be issued during the first half of 2013. The date for implementation is now unlikely to be before 2016. If the proposals are adopted as currently proposed, they would have the effect of bringing most off-balance sheet operating leases, including time charters, onto a lessee’s balance sheet as liabilities. This proposed change could affect charterers by causing them to breach certain financial covenants. This may make them less likely to enter into time charters for our containerships, which could reduce our growth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upon certain individuals who may not necessarily continue to be affiliated with us.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current performance and future success depend to a significant extent upon our Chief Executive Officer, Ian J. Webber, our Chief Financial Officer, Susan J. Cook, our Chief Commercial Officer, Thomas A. Lister and our Chief Technical Officer, Vivek Puri. Mr. Webber, Ms. Cook, Mr. Lister and Mr. Puri have an aggregate of over 80 years of experience in the shipping industry and have worked with several of the world’s largest shipping companies. They and members of the board of directors are crucial to the execution of our 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our historical financial and operating data are not representative of our future results.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a limited operating history. The historical consolidated financial statements reflect our results as a vessel owner under our fixed-rate long-term charters, ship management agreements and our financing arrangements only from the date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individual transfer to us of the relevant vessels in December 2007 and January 2008. Further, our capital and legal structure changed significantly as a result of the Merger in August 2008, including our becoming listed on the New York Stock Exchange. Consequently, historical financial information prior to August 15, 2008 is not a meaningful representation of our future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did not perform and may not perform underwater inspections of vessels prior to purchase.</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performed physical inspections of the vessels prior to their purchase, we did not perform any underwater inspections. As a result, we will not be aware of any damage to a vessel that may have existed at the time of purchase and which could only be discovered through an underwater inspection. We purchased the vessels from CMA CGM between December 2007 and August 2009 on an “as is” basis, subject to CMA CGM being responsible for any class condition or recommendation that existed at the date of delivery of the vessels. However, if any damage is subsequently found, we could incur substantial costs to repair the damage which would not be recoverable from the sellers.</w:t>
      </w:r>
    </w:p>
    <w:p>
      <w:pPr>
        <w:spacing w:after="0" w:line="137"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We are a holding company and we depend on the ability of our subsidiaries to distribute funds to us in order to satisfy our financial and other obligations.</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make these distributions could be affected by a claim or other action by a third party, including a creditor, or by Marshall Islands or Cypriot law or the laws of any jurisdiction which regulates the payment of dividends by companies. If we are unable to obtain funds from our subsidiaries, we may not be able to meet our debt service obligations, pay dividends, including on our preferred shares or meet our other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crew and other vessel operating costs may adversely affect our profits.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Acquiring and renewing long-term time charters with leading liner companies depends on a number of factors, including our ability to man our containerships with suitably experienced, high quality masters, officers and crews. In recent years, the limited supply of and increased demand for well-qualified crew, due to the increase in the size of the global shipping fleet, has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fuel prices may have an adverse affect on our profits.</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cost of fuel is a significant factor in negotiating charter rates and can affect us in both direct and indirect ways. This cost will be borne by us when our containerships are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Even where the cost of fuel is borne by the charterer, which is the case with all of our existing time charters, that cost will affect the level of charter rates that charterers are prepared to pay.</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price of fuel is unpredictable and fluctuates based on events outside our control, including but not limited to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10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Because we generate all of our revenues in United States dollars but incur a significant portion of our expenses in other currencies, exchange rate fluctuations could hurt our results of operations.</w:t>
      </w:r>
    </w:p>
    <w:p>
      <w:pPr>
        <w:spacing w:after="0" w:line="12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 generate all of our revenues in United States dollars and some of our expenses are denominated in currencies other than United States dollars. This difference could lead to fluctuations in net income due to changes in the value of the United States dollar relative to other currencies, in particular the Euro. Expenses incurred in foreign currencies against which the United States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United States dollar versus the Euro could have a material effect on our operating expenses and net income.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must make substantial expenditures to maintain our fleet and to acquire vessels, which may reduce or eliminate the amount of cash for dividends to our stockholders.</w:t>
      </w:r>
    </w:p>
    <w:p>
      <w:pPr>
        <w:spacing w:after="0" w:line="12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We must make substantial expenditures to maintain our fleet and we generally expect to finance these maintenance expenditures from operating cashflow. In addition, we will need to make substantial capital expenditures to acquire vessels in accordance with our growth strategy. Maintenance expenditures could increase as a result of, among other things, the cost of labor and materials, customer requirements and governmental regulations and maritime self-regulatory organization standards relating to safety, security or the environment. Significant expenditures, including to maintain our fleet, may reduce or eliminate the amount of cash available for distribution to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our fleet ages, we may incur increased operating costs, which would adversely affect our earnings.</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Our current fleet of 17 vessels as of December 31, 2012 had an average age weighted by capacity of 8.8 years.</w:t>
      </w:r>
    </w:p>
    <w:p>
      <w:pPr>
        <w:spacing w:after="0" w:line="11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current fleet of 17 containerships as of December 31, 2012, had an average age weighted by capacity of 8.8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and our ability to pay dividends to our stockholders. Any reserves set aside for vessel replacement will not be available for dividends.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may be insufficient to cover losses that may occur to our property or result from our operations.</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shipping industry has inherent operational risks. Although we carry hull and machinery insurance, war risks insurance and protection and indemnity insurance (which includes coverage for environmental damage and pollution) and other insurances commonly used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the terms of our credit facility,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2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incorporated in the Republic of the Marshall Islands, which does not have a well-developed body of corporate law.</w:t>
      </w:r>
    </w:p>
    <w:p>
      <w:pPr>
        <w:spacing w:after="0" w:line="17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United States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United States jurisdiction.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Because we are organized under the laws of the Republic of the Marshall Islands, it may be difficult to serve us with legal process or enforce judgments against us, our directors or our management.</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organized under the laws of the Republic of the Marshall Islands, and substantially all of our assets are located outside of the United States. Our principal executive offices are located outside the United States and most of our directors and officers reside outside the United States. As a result, it may be difficult or impossible for you to bring an action against us or against our directors or our management in the United States if you believe that your rights have been infringed under securities laws or otherwise. Even if you are successful in bringing an action of this kind, the laws of the Republic of the Marshall Islands and of other jurisdictions may prevent or restrict you from enforcing a judgment against our assets or our directors and officers.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if and when we will resume paying dividends.</w:t>
      </w:r>
    </w:p>
    <w:p>
      <w:pPr>
        <w:spacing w:after="0" w:line="17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credit facility prohibits us from declaring or paying any common dividend unless the leverage ratio is no more than 75%. The Credit Facility Waiver waives the requirement to perform the leverage ratio test until December 1, 2014 and also prohibits the payment of any common dividend during the waiver period. The declaration and payment of dividends is also subject at all times to the discretion of our board of directors.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When permitted by the credit facility and other contractual obligations, we may resume the distribution of a portion of our cash flow to our shareholders, while retaining the remaining cash flow for reinvestment in our business, to fund vessel or fleet acquisitions, make debt repayments and for other purposes, as determined by our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timing and amount of any dividends declared will depend on, among other things (a) our earnings, financial condition, cash flow and cash requirements,</w:t>
      </w:r>
    </w:p>
    <w:p>
      <w:pPr>
        <w:spacing w:after="0" w:line="38" w:lineRule="exact"/>
        <w:rPr>
          <w:sz w:val="20"/>
          <w:szCs w:val="20"/>
          <w:color w:val="auto"/>
        </w:rPr>
      </w:pPr>
    </w:p>
    <w:p>
      <w:pPr>
        <w:ind w:right="240" w:firstLine="8"/>
        <w:spacing w:after="0" w:line="26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liquidity, including our ability to obtain debt and equity financing on acceptable terms as contemplated by our vessel acquisition strategy, (c) restrictive covenants in our existing and future debt instruments and (d) provisions of Marshall Islands law.</w:t>
      </w:r>
    </w:p>
    <w:p>
      <w:pPr>
        <w:spacing w:after="0" w:line="1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international containership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will vary based upon, among other things:</w:t>
      </w:r>
    </w:p>
    <w:p>
      <w:pPr>
        <w:spacing w:after="0" w:line="6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charter-hire payments we obtain from our charters as well as the rates obtained upon the expiration of our existing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of additional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delivery of newbuilding vessels, if any, and the beginning of payments under charters relating to those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w:t>
      </w:r>
    </w:p>
    <w:p>
      <w:pPr>
        <w:spacing w:after="0" w:line="90" w:lineRule="exact"/>
        <w:rPr>
          <w:rFonts w:ascii="Arial" w:cs="Arial" w:eastAsia="Arial" w:hAnsi="Arial"/>
          <w:sz w:val="18"/>
          <w:szCs w:val="18"/>
          <w:color w:val="auto"/>
        </w:rPr>
      </w:pPr>
    </w:p>
    <w:p>
      <w:pPr>
        <w:ind w:left="900" w:right="10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unscheduled off-hire days for our fleet and the timing of, and number of days required for, scheduled dry-docking of our containerships;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a vessel;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cash we generate from our operations may differ materially from our net income or loss for the period, which will be affected by non-cash items.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may incur other expenses or liabilities that could reduce or eliminate the cash available for distribution as dividends.</w:t>
      </w:r>
    </w:p>
    <w:p>
      <w:pPr>
        <w:spacing w:after="0" w:line="16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be able to pay dividends during periods when we record losses and may not pay dividends during periods when we record net income. We can give no assurance that dividends will be paid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We have entered into six interest rate derivatives to swap a total notional amount of $327.0 million of debt from a floating rate based on LIBOR to a fixed rate. The swaps expire between November 2013 and December 2016. We are therefore locked into a fixed base borrowing rate, before margin, averaging 3.74% on a weighted basis on a nominal amount of $327.0 million of debt. Total floating rate debt at December 31, 2012 was $470.7 million. Whilst we have limited the volatility in our cash interest cost, other than for changes in the applicable margin, we are unable to fully benefit from falling LIBOR rates.</w:t>
      </w:r>
    </w:p>
    <w:p>
      <w:pPr>
        <w:spacing w:after="0" w:line="14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part of our risk management strategy and in order to avoid volatility in our cash interest expense as well as meet the requirement of the credit facility to fix the interest rate on at least 50% of drawn debt, we entered into interest rate derivatives to swap a notional amount of $580 million of floating rate debt based on LIBOR into fixed rate debt averaging 3.59% on a weighted basis. In March 2013, $253 million of the cover expired leaving $327 million of interest rate swaps outstanding at a weighted average rate of 3.74%. We are therefore unable to fully benefit from falling LIBOR rates.</w:t>
      </w:r>
    </w:p>
    <w:p>
      <w:pPr>
        <w:spacing w:after="0" w:line="10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Depending on fluctuations in LIBOR, our interest rate swap agreements and their accounting treatment in our financial statements could result in volatility in our reported net income.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certain financial instrument contracts to hedge our exposure to interest rate fluctuations. These derivative instruments are recorded in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consolidated balance sheet under U.S. GAAP at market value, as none of the derivatives qualify for hedge accounting, with changes in the value being recognized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directly in our consolidated statement of income. As an example of the potential volatility, during the year ended December 31, 2009, the relative LIBOR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curve experienced upward movement which significantly impacted the market value of our financial instruments, resulting in a non-cash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$17.9 million. However, for the year ended December 31, 2010, due to reverses in the forward interest rate curve, we recorded a non-cash loss of $15.3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the year ended December 31, 2011, we recorded a non-cash loss of $0.9 million. For the year ended December 31, 2012, we recorded a non-cash gain of $ 9.7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As of December 31, 2012 the derivatives represented a liability of $35.6 million. Future interest rate volatility may expose our net income to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variations.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90"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b w:val="1"/>
          <w:bCs w:val="1"/>
          <w:color w:val="auto"/>
        </w:rPr>
        <w:t>Our growth and long term profitability depend mainly upon growth in demand for containerships, the condition of the charter market and the availability of capital. The container shipping industry is cyclical and volatile. It has recently experienced a severe cyclical downturn from mid 2008 through 2009, favorable conditions in 2010 and a further severe downturn in 2011 with over supply of capacity continuing through 2012.</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container shipping industry is cyclical, showing significant volatility in vessel values, freight rates, charter rates and financial performance. For example, containership charter rates peaked in 2005 and generally stayed strong until the middle of 2008, when the global economic crisis began to affect global container trade, driving charter rates to 10 year lows. In 2010, due to improved economic conditions and increased demand for container shipping services, containership charter rates improved significantly although they remain generally below long term averages. In 2011 and 2012, due to poor economic conditions and an excess of containership capacity, charter rates again fell.</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containerships off-hire or otherwise idle including laid-up;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of slow steaming.</w:t>
      </w:r>
    </w:p>
    <w:p>
      <w:pPr>
        <w:spacing w:after="0" w:line="17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ability to recharter our containerships upon the expiration or termination of their current charters, which will be as early as May 1, 2013 for two vessels,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earnings or make our earnings volatile. The same issues will exist in respect of any additional vessels we may acquire either when obtaining the initial charters or on rechartering at their expiry.</w:t>
      </w:r>
    </w:p>
    <w:p>
      <w:pPr>
        <w:spacing w:after="0" w:line="1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Weak economic conditions throughout the world, particularly the Asia Pacific region and recent EU sovereign debt default fears, could have a material adverse effect on our business, financial condition and results of operations.</w:t>
      </w:r>
    </w:p>
    <w:p>
      <w:pPr>
        <w:spacing w:after="0" w:line="126"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color w:val="auto"/>
        </w:rPr>
        <w:t>Negative trends in the global economy emerged in 2008 and continued into 2009, although there was some improvement in 2010, 2011 and 2012, the global economy remains fragile. The global economy is still subject to downside risks stemming from factors like fiscal fragility in advanced economies, highly accommodative macroeconomic policies and persistent difficulties in access to credit. In particular, recent concerns regarding the possibility of sovereign debt defaults by European Union member countries, including Cyprus, Greece, Ireland and Portugal, have significantly weakened the Euro zone, disrupted financial markets throughout the world, and may lead to weaker consumer demand in the European Union, the United States, and other parts of the world. The deterioration in the global economy has caused, and may continue to cause, a decrease in worldwide demand for certain goods shipped in containerized form.</w:t>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anticipate that a significant number of port calls made by our containerships will continue to involve the loading or unloading of container cargoes in ports in the Asia Pacific region. In recent years, China has been one of the world’s fastest growing economies in terms of gross domestic product, which has had a significant impact on shipping demand. However, if China’s growth in gross domestic product declines and other countries in the Asia Pacific region experience slowed or negative economic growth in the future, then this may exacerbate the effect of the significant downturns in the economies of the United States and the European Union, and thus, may negatively impact container shipping demand. For example, the possibility of sovereign debt defaults by European Union member countries, including Greece, Ireland and Portugal, and the possibility of market reforms to float the Chinese renminbi, either of which development could weaken the Euro against the Chinese Renminbi, could adversely affect consumer demand in the European Union. Such weak economic conditions could have a material adverse effect on our business, results of operations and financial condition.</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Disruptions in world financial markets and the resulting governmental action in the United States and in other parts of the world could have a material adverse impact on our results of operations, financial condition and cash flows.</w:t>
      </w:r>
    </w:p>
    <w:p>
      <w:pPr>
        <w:spacing w:after="0" w:line="12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United States and other parts of the world, including the Euro zone, have exhibited very weak economic trends since 2008. The credit markets in the United States and elsewhere have experienced significant contraction, deleveraging and reduced liquidity, and the United States federal government and state and other governments have implemented and are also considering a broad variety of governmental action and/or new regulation of the financial markets. Securities and futures markets and the credit markets are subject to comprehensive statutes, regulations and other requirements. The U.S. SEC, other regulators, self regulatory organizations and exchanges are authorized to take extraordinary actions in the event of market emergencies, and may effect changes in law or interpretations of existing laws.</w:t>
      </w:r>
    </w:p>
    <w:p>
      <w:pPr>
        <w:spacing w:after="0" w:line="14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Global financial markets and economic conditions have been severely disrupted and volatile in recent years and remain subject to significant vulnerabilities, such as the deterioration of fiscal balances and the rapid accumulation of public debt, continued deleveraging in the banking sector and limited supply of credit. Credit markets and the debt and equity capital markets have been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exceedingly distressed and volatile. The sovereign debt crisis in countries such as Cyprus and Greece, for example, and concerns over debt levels of certain other European Union member states and other countries around the world, as well as concerns about some international banks,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w:t>
      </w:r>
    </w:p>
    <w:p>
      <w:pPr>
        <w:spacing w:after="0" w:line="10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cannot be certain that financing will be available on acceptable terms or at all. If 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0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 based exporters could have a material adverse effect on the growth rate of China’s exports and on our charterers’ business. For instance, the government of China has recently implemented economic policies aimed at increasing domestic consumption of Chinese 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Furthermore, if China was to permit the Renminbi to float to a free market rate of exchange, it is widely anticipated that the renminbi would appreciate significantly in value against the U.S. dollar. An increase in the value of the Renminbi may negatively impact the United States’ demand for imported goods, many of which are shipped in containerized form.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24"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 serves has caused and may continue to cause an increase in: (i) the cost of goods exported from China, (ii) the length of time required to deliver goods from China and (iii) the risks associated with exporting goods from China, as well as a decrease in the quantity of goods to be shipped.</w:t>
      </w:r>
    </w:p>
    <w:p>
      <w:pPr>
        <w:spacing w:after="0" w:line="1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Any increased trade barriers or restrictions on trade, especially trade with China, would have an adverse impact on our charterer’s business, operating results and financial condition and could thereby affect its ability to make timely charter hire payments to us and to renew and increase the number of its time charters with us. This could have a material adverse effect on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 financial loss if we attempt to sell one or more of our vessels.</w:t>
      </w:r>
    </w:p>
    <w:p>
      <w:pPr>
        <w:spacing w:after="0" w:line="177" w:lineRule="exact"/>
        <w:rPr>
          <w:sz w:val="20"/>
          <w:szCs w:val="20"/>
          <w:color w:val="auto"/>
        </w:rPr>
      </w:pPr>
    </w:p>
    <w:p>
      <w:pPr>
        <w:jc w:val="both"/>
        <w:ind w:right="100"/>
        <w:spacing w:after="0" w:line="357" w:lineRule="auto"/>
        <w:rPr>
          <w:sz w:val="20"/>
          <w:szCs w:val="20"/>
          <w:color w:val="auto"/>
        </w:rPr>
      </w:pPr>
      <w:r>
        <w:rPr>
          <w:rFonts w:ascii="Arial" w:cs="Arial" w:eastAsia="Arial" w:hAnsi="Arial"/>
          <w:sz w:val="15"/>
          <w:szCs w:val="15"/>
          <w:color w:val="auto"/>
        </w:rPr>
        <w:t>Containership values can fluctuate substantially over time. Containership values decreased significantly in 2008 and 2009 and have remained at depressed levels through 2012 and remain generally below long term averages. A number of factors may contribute to a decrease in the market value of containerships, including:</w:t>
      </w: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an over-supply in containership capacity including from new vessels on order;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prevailing charter rates; and</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a charter terminates when the charter market for containerships is depressed, we may be unable to recharter the vessel at attractive rates and, rather than continue to incur costs to maintain and finance the vessel, we may seek to dispose of it. It is likely that in such circumstances asset values will also be depressed. Inability to dispose of the containership at a reasonable price could result in a loss on the vessel’s sale and adversely affect our results of operations and financial condition.</w:t>
      </w:r>
    </w:p>
    <w:p>
      <w:pPr>
        <w:spacing w:after="0" w:line="14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Future fluctuations in charter rates and vessel values may trigger a possible impairment of our vessels as described in Item 5.A. “Results of Operations— Management’s Discussion and Analysis of Financial Condition and Results of Operations—Critical Accounting Policies and Estimates.”</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Depressed market values of our vessels pledged as security under the credit facility may also impact our ability to satisfy our leverage ratio covenant under the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more difficulty entering into long-term charters if a more active and cheaper short-term or spot container shipping market develops.</w:t>
      </w:r>
    </w:p>
    <w:p>
      <w:pPr>
        <w:spacing w:after="0" w:line="20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long-term charters, we may have difficulty entering into such charters at profitable rates and for any term other than short term and, as a result, our cash flow may be subject to instability in the long-term. In addition, it would be more difficult to fix relatively older vessels should there be an oversupply of younger vessels on the market. A more active short-term or spot market may require us to enter into spot or short-term charters based on prevailing market rates, as opposed to long-term contracts, which could result in a decrease in our cash flow in periods when charter rates are depressed.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over-supply of containership capacity may lead to reductions in charter hire rates and profitability.</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While the size of the containership orderbook has declined over the last three years, the containership newbuilding orderbook as at March, 2013 represented approximately 21% of the total on the water fleet capacity. Further containerships are likely to be ordered. Delivery of newly built containerships will result in an increase in the size of the world containership fleet over the next few years. An over-supply of containership capacity, combined with any decline in the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competition in technology and innovation could reduce our charter hire income and the value of our vessels.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Physical life is related to the original design and construction, maintenance and the impact of the stress of operations. If new ship designs currently promoted by shipyards as being more fuel efficient perform as promoted,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Acts of piracy on ocean-going vessels have recently increased in frequency, which could adversely affect our business.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Piracy is an inherent risk in the operation of ocean-going vessels and particularly affects vessels trading in specific regions of the world such as the South China Sea, the Gulf of Aden, the Arabian Sea and especially off the coast of Somalia. In recent years, the frequency of piracy incidents against commercial shipping vessels has increased significantly, particularly in the Gulf of Aden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Terrorist attacks and international hostilities could affect our results of operations and financial condition.</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Terrorist attacks, such as the attacks on the United States on September 11, 2001, and in Mumbai on November 26, 2008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vessels may call on ports located in countries that are subject to restrictions imposed by the United States government, which could negatively affect the trading price of our shares of common stock.</w:t>
      </w:r>
    </w:p>
    <w:p>
      <w:pPr>
        <w:spacing w:after="0" w:line="12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From time to time on charterers’ instructions, our vessels may call on ports located in countries subject to sanctions and embargoes imposed by the United States government and in countries identified by the United States government as state sponsors of terrorism. The U.S. sanctions and embargo laws and regulations vary in their application, as they do not all apply to the same covered persons or proscribe the same activities, and such sanctions and embargo laws and regulations may be amended or strengthened over time. In 2010, the U.S. enacted the Comprehensive Iran Sanctions Accountability and Divestment Act (“CISADA”), which amended the Iran Sanctions Act of 1996. Among other things, CISADA introduces limits on the ability of companies and persons to do business or trade with Iran when such activities relate to the investment, supply or export of refined petroleum or petroleum products. In 2012, President Obama signed Executive Order 13608 which prohibits U.S. persons from engaging in transactions or dealings with foreign individuals or entities that (1) have violated, attempted to violate, conspired to violate or caused a violation of any sanctions in effect against Iran or Syria, (2) facilitated any deceptive transactions for or on behalf of any person subject to U.S. sanctions concerning Iran or Syria, or (3) are owned or controlled by, or are acting on behalf of, any such person or entity subject to sanctions. The Secretary of the Treasury may prohibit any transactions or dealings, including any U.S. capital markets financing, involving any person found to be evading foreign sanctions under Executive Order 13608. Also in 2012, the U.S. enacted the Iran Threat Reduction and Syria Human Rights Act of 2012 (the “ITRA”) which expanded the range of Iran-related activities that expose third parties to sanctions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that person’s vessels from U.S. ports for up to two years. The ITRA also includes a requirement that issuers of securities must disclose to the SEC in their annual and quarterly reports filed after February 6, 2013 if the issuer or “any affiliate” has “knowingly” engaged in certain sanctioned activities involving Iran during the timeframe covered by the report. Finally, in January 2013, the U.S. enacted the Iran Freedom and Counter-Proliferation Act of 2012 (the “IFCPA”)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3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best of our knowledge, none of our vessels have called at ports in Iran, Syria, Sudan or Cuba during 2012, nor have we provided any services or products to Iran, Syria, Sudan and Cuba, or entered into any agreements, commercial arrangements or had any contact with the governments of, or entities controlled by the governments of, the aforementioned countries, during this time period. Additionally, to the best of our knowledge, we have not during 2012 directly provided any services or products to Iran, or entered into any agreements, commercial arrangements or had any contact with the government of, or entities controlled by the government of Iran.</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us. Moreover, our charterers may violate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applicable sanctions and embargo laws and regulations as a result of actions that do not involve us or our vessels, and those violations could in turn negatively affect our reputation. Investor perception of the value of our common stock may also be adversely affected by the consequences of war, the effects of terrorism, civil unrest and governmental actions in these and surrounding countries.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smuggling of drugs, weapons or other contraband and stowaways on our vessels may lead to governmental claims against us.</w:t>
      </w:r>
    </w:p>
    <w:p>
      <w:pPr>
        <w:spacing w:after="0" w:line="1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an adverse effect on our business, results of operations, cash flows and financial condition.</w:t>
      </w:r>
    </w:p>
    <w:p>
      <w:pPr>
        <w:spacing w:after="0" w:line="13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Risks inherent in the operation of containerships could impair the ability of the charterer to make payments to us, increase our costs or reduce the value of our assets.</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1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vessels’ mortgagor or other maritime claimants could arrest our vessels, which could interrupt the charterer’s or our cash flow.</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default under our credit facility, our lenders who hold mortgages on our vessels could arrest some or all of our vessels and cause them to be sold. Any proceeds of such sale would be used to first repay all amounts outstanding under the credit facility, including interest rate derivatives.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Governments could requisition our vessels during a period of war or emergency without adequate compensation.</w:t>
      </w:r>
    </w:p>
    <w:p>
      <w:pPr>
        <w:spacing w:after="0" w:line="17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Government requisition of one or more of our vessels may negatively impact our revenues and cash flow.</w:t>
      </w:r>
    </w:p>
    <w:p>
      <w:pPr>
        <w:spacing w:after="0" w:line="11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Compliance with safety and other vessel requirements imposed by classification societies may be costly and may adversely affect our business and operating results.</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See Item 4.B. “Business Overview — 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07"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require significant expenditures and affect our cash flows and net income.</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shipping industry and the operation of containerships are materially affected by environmental regulation in the form of international conventions, national, state and local laws and regulations in force in the jurisdictions in which our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1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Item 4.B. “Business Overview—Environmental and Other Regulations.”</w:t>
      </w:r>
    </w:p>
    <w:p>
      <w:pPr>
        <w:spacing w:after="0" w:line="10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Increased inspection procedures, tighter import and export controls and new security regulations could increase costs and cause disruption of our containership business.</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Since the events of September 11, 2001, United States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4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stockholders.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operation of our vessels is also affected by the requirements set forth in the International Ship and Port Facilities Security Code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IMO and the flag states, these requirements could require significant additional capital expenditures or otherwise increase the costs of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securities may be volatile.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shares may be volatile and may fluctuate due to factors such as:</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revenues and earnings and those of publicly held containership owners or operators;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concerning us or other containership owners or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regulation including taxation;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in companies operating in this industry may be equally volatile.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in our organizational documents that may discourage a change of control.</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provisions provide for:</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26"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There will be a substantial number of our common shares available for sale in the future that may adversely affect the market price of our Class A common shares.</w:t>
      </w:r>
    </w:p>
    <w:p>
      <w:pPr>
        <w:spacing w:after="0" w:line="12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Pursuant to the registration rights agreement entered into at the effective time of the Merger, Marathon’s initial stockholders and, under certain circumstances, CMA CGM can demand that we register the resale of their holdings of our common shares at any time. The registration and availability of such a significant number of securities for trading in the public market may have an adverse effect on the market price of our Class A common shares.</w:t>
      </w:r>
    </w:p>
    <w:p>
      <w:pPr>
        <w:spacing w:after="0" w:line="10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Class A Warrants may be exercised in the future, which would increase the number of shares eligible for future resale in the public market and would result in dilution to our shareholders.</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There are 6,188,088 Class A warrants with an exercise price of $9.25 expiring September 1, 2013. These are owned by CMA CGM and Mr. Gross and other initial stockholders of Marathon. These warrants would likely only be exercised if the $9.25 per share exercise price is below the market price of the Class A common shares. To the extent they are exercised, additional Class A common shares will be issued, which will result in dilution to our shareholders and increase the number of shares eligible for resale in the public market. Sales of substantial numbers of such shares in the public market could adversely affect the market price of our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is required to devote substantial time to complying with public company regulations.</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will need to devote a substantial amount of time to comply with these requirements. Moreover, these rules and regulations relating to public companies will increase our legal and financial compliance costs and will make some activities more time-consuming and costly.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a related attestation of our independent auditors. We have undertaken a comprehensive effort in preparation for compliance with Section 404, which includes the documentation, testing and review of our internal controls under the direction of our management. While we did not identify any material weaknesses or significant deficiencies in our internal controls under the current assessment, we cannot be certain at this time that all our controls will be considered effective in future assessments. Therefore, we can give no assurances that our internal control over financial reporting will satisfy regulatory requirements in the future.</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We are a “foreign private issuer” under the NYSE rules, and as such we are entitled to exemption from certain NYSE corporate governance standards, and you may not have the same protections afforded to stockholders of companies that are subject to all of the NYSE corporate governance requirements.</w:t>
      </w:r>
    </w:p>
    <w:p>
      <w:pPr>
        <w:spacing w:after="0" w:line="13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13"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NYSE corporate governance requirements.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cause the market price of our common stock to decline.</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Subject to the rules of the NYSE, in the future, we may issue additional shares of common stock, and other equity securities of equal or senior rank, without stockholder approval, in a number of circumstances. The issuance by us of additional shares of common stock or other equity securities of equal or senior rank would have the following effects:</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may decrease;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stock may be lower;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may be diminished;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stockholders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stockholders may enter into with the underwriters at the time of an offering. Subject to certain exceptions, these agreements generally restrict us and our executive officers, directors and existing stockholders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180 days after the date of an offering prospectus without the prior written consent of the underwriter(s).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income could fail to qualify for an exemption from U.S. federal income taxation, which will reduce our cash flow.</w:t>
      </w:r>
    </w:p>
    <w:p>
      <w:pPr>
        <w:spacing w:after="0" w:line="177"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0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There are factual circumstances, such as the composition of our shareholder base, beyond our control that could cause us not to have the benefit of the exemption provided by Section 883 of the Code and thereby be subject to the 4% tax described above. Based on information that we have as to our shareholders and other matters, we expect to qualify for Section 883 exemption for 2012. Because the availability of the Section 883 exemption depends on matters over which we have no control, however, we can give no assurances that we will or will continue to qualify for the Section 883 exemption. See Item 10.E. “Additional Information— Taxation—Taxation of Global Ship Lease—The Section 883 exemption.”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taxed as a U.S. corporation.</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 See Item 10.E. “Additional Information — Taxation — Taxation of Global Ship Lease — Possibility of taxation as a U.S. corporation” for a more comprehensive discussion of the tax consequences of us being taxed as a U.S. corporation.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adverse U.S. federal income tax consequences could arise for United States holders.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Shareholders of a “passive foreign investment company,” or PFIC, that are United States persons within the meaning of the Code, which we refer to as “United States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 foreign corporation is treated as a PFIC if either (1) 75% or more of its gross income for any taxable year consists of certain types of “passive income” or</w:t>
      </w:r>
    </w:p>
    <w:p>
      <w:pPr>
        <w:spacing w:after="0" w:line="38" w:lineRule="exact"/>
        <w:rPr>
          <w:sz w:val="20"/>
          <w:szCs w:val="20"/>
          <w:color w:val="auto"/>
        </w:rPr>
      </w:pPr>
    </w:p>
    <w:p>
      <w:pPr>
        <w:ind w:right="80" w:firstLine="8"/>
        <w:spacing w:after="0" w:line="254"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 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No assurance can be given that the IRS or a court of law would accept our position, and there is a risk that the IRS or a court of law could determine that the company is a PFIC.</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 IRS were to determine that we are or have been a PFIC for any taxable year, our United States shareholders will face adverse United States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United States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Information—Taxation—Tax Consequences of Holding Class A Common Shares Consequences of possible passive foreign investment company classification” for a more comprehensive discussion of the U.S. federal income tax consequences to United States shareholders if we were treated as a PFIC (including those applicable to United States shareholders who make a qualified electing fund or mark-to-market election).</w:t>
      </w:r>
    </w:p>
    <w:p>
      <w:pPr>
        <w:spacing w:after="0" w:line="122"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may be subject to taxation on all or part of our income in the United Kingdom, which could have a material adverse effect on our results of operations.</w:t>
      </w:r>
    </w:p>
    <w:p>
      <w:pPr>
        <w:spacing w:after="0" w:line="12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were considered to be a resident of the United Kingdom or to have a permanent establishment in the United Kingdom, all or a part of our profits could be subject to UK corporate tax, which had a maximum rate of 26% for the year ended March 31, 2012, 24% for the year ended March 31, 2013, 23% for the year ending March 31, 2014 and 21% for the year ending March 31, 2015 and 20% thereafter. We are strategically managed and controlled from outside the United Kingdom and restrict our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Because some administrative and executive services are provided to us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taxes which will reduce our cash flow.</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tax in certain jurisdictions in which we are organized, own assets or have operations, which reduces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further reducing the cash available for distribution.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are a Republic of the Marshall Islands corporation that owns a fleet of modern containerships of a range of sizes. Our business is to charter out our fleet under long-term, fixed-rate charters to reputable container shipping companies to generate stable revenues and predictable cashflows.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were formed in 2007 to purchase and charter back containerships then owned or to be purchased by CMA CGM. Pursuant to an asset purchase agreement dated December 5, 2007 with CMA CGM and certain of its vessel-owning subsidiaries, we acquired from CMA CGM our current fleet of 17 containerships between December 2007 and August 2009. All of the vessels were time chartered to CMA CGM for initial terms between five and 17 years. Two of the initial charters expired in September 2012 and were renewed with CMA CGM as charterer for approximately eight months, with earliest expiry date May 1, 2013. The weighted average remaining term was 7.4 years at December 31, 2012 and average age weighted by TEU capacity was 8.8 years. Our management team undertakes all management of our fleet and supervises the day-to-day ship management of our vessels which is currently provided by CMA Ships, a wholly owned subsidiary of CMA CGM, pursuant to ship management agreements, with an agreement to cap the reimbursement by us of expenses incurred on our behalf providing us with a predictable cost structure.</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21, 2008, Global Ship Lease entered into a merger agreement pursuant to which Marathon Acquisition Corp. (“Marathon”) and Global Ship Lease, then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 that the holders of Class B common shares were not entitled to receive any dividends with respect to any quarter prior to the fourth quarter of 2008 and their dividend rights were subordinated to those of holders of Class A common shares until at least the third quarter of 2011. The Class B common shares remain subordinated. The Class C common shares automatically converted into Class A common shares on a one-for-one basis on January 1, 2009. Pursuant to the Merger, CMA CGM holds approximately 45% of our outstanding common shares. See Item 7.A. “Major Shareholders and Related Party Transactions – Major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shares are listed on the NYSE under the symbol “GSL”.</w:t>
      </w:r>
    </w:p>
    <w:p>
      <w:pPr>
        <w:spacing w:after="0" w:line="1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mailing address of our principal executive office is c/o Global Ship Lease Services Limited, Portland House, Stag Place, London SW1E 5RS, United Kingdom, and our telephone number is 44 (0) 20 7869 8006.</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Business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fleet, as of December 31, 2012, consisted of 17 containerships with an aggregate capacity of 66,349 TEU and a weighted average age of approximately 8.8 years and a non-weighted average age of 9.9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our current fleet. Each vessel is on charter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Remaining</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Earliest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7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Charter</w:t>
            </w: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Charter</w:t>
            </w: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Daily</w:t>
            </w:r>
          </w:p>
        </w:tc>
      </w:tr>
      <w:tr>
        <w:trPr>
          <w:trHeight w:val="149"/>
        </w:trPr>
        <w:tc>
          <w:tcPr>
            <w:tcW w:w="7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Capacity</w:t>
            </w: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1"/>
                <w:szCs w:val="11"/>
                <w:b w:val="1"/>
                <w:bCs w:val="1"/>
                <w:color w:val="auto"/>
              </w:rPr>
              <w:t xml:space="preserve">Term </w:t>
            </w:r>
            <w:r>
              <w:rPr>
                <w:rFonts w:ascii="Arial" w:cs="Arial" w:eastAsia="Arial" w:hAnsi="Arial"/>
                <w:sz w:val="17"/>
                <w:szCs w:val="17"/>
                <w:b w:val="1"/>
                <w:bCs w:val="1"/>
                <w:color w:val="auto"/>
                <w:vertAlign w:val="superscript"/>
              </w:rPr>
              <w:t>(2)</w:t>
            </w: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Expiry</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5040" w:type="dxa"/>
            <w:vAlign w:val="bottom"/>
          </w:tcPr>
          <w:p>
            <w:pPr>
              <w:spacing w:after="0"/>
              <w:rPr>
                <w:sz w:val="15"/>
                <w:szCs w:val="15"/>
                <w:color w:val="auto"/>
              </w:rPr>
            </w:pPr>
          </w:p>
        </w:tc>
        <w:tc>
          <w:tcPr>
            <w:tcW w:w="940" w:type="dxa"/>
            <w:vAlign w:val="bottom"/>
            <w:gridSpan w:val="2"/>
          </w:tcPr>
          <w:p>
            <w:pPr>
              <w:jc w:val="right"/>
              <w:ind w:right="300"/>
              <w:spacing w:after="0" w:line="162" w:lineRule="exact"/>
              <w:rPr>
                <w:sz w:val="20"/>
                <w:szCs w:val="20"/>
                <w:color w:val="auto"/>
              </w:rPr>
            </w:pPr>
            <w:r>
              <w:rPr>
                <w:rFonts w:ascii="Arial" w:cs="Arial" w:eastAsia="Arial" w:hAnsi="Arial"/>
                <w:sz w:val="12"/>
                <w:szCs w:val="12"/>
                <w:b w:val="1"/>
                <w:bCs w:val="1"/>
                <w:color w:val="auto"/>
                <w:w w:val="98"/>
              </w:rPr>
              <w:t xml:space="preserve">in TEUs </w:t>
            </w:r>
            <w:r>
              <w:rPr>
                <w:rFonts w:ascii="Arial" w:cs="Arial" w:eastAsia="Arial" w:hAnsi="Arial"/>
                <w:sz w:val="18"/>
                <w:szCs w:val="18"/>
                <w:b w:val="1"/>
                <w:bCs w:val="1"/>
                <w:color w:val="auto"/>
                <w:w w:val="98"/>
                <w:vertAlign w:val="superscript"/>
              </w:rPr>
              <w:t>(1)</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by GSL</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(years)</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Rate $</w:t>
            </w:r>
          </w:p>
        </w:tc>
      </w:tr>
      <w:tr>
        <w:trPr>
          <w:trHeight w:val="203"/>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1997</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Dec 2007</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May 1, 2013</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1996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May 1, 2013</w:t>
            </w:r>
          </w:p>
        </w:tc>
        <w:tc>
          <w:tcPr>
            <w:tcW w:w="540" w:type="dxa"/>
            <w:vAlign w:val="bottom"/>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1999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1999</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11,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21, 2017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2002</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14, 2017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20,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2001</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2007</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Sept 7, 2016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18,465</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Oct 18, 2020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2007</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Jan 2008</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Oct 11, 2020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33,750</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11,040</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2008</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 1, 2025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47,200</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17,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Sept 16, 2022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2006</w:t>
            </w:r>
          </w:p>
        </w:tc>
        <w:tc>
          <w:tcPr>
            <w:tcW w:w="3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Dec 2008</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Sept 19, 2022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25,350</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Aug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May 28, 2021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2012. Plus or minus 90 days (22 days for Ville d’Orion &amp; Ville d’Aquarius)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of the vessels in our current fleet is subject to a time charter with CMA CGM. We have separate subsidiaries to own each vessel in our fleet. We guarantee the obligations of each of our subsidiaries under the charters. Each of our initial charters commenced on each vessel’s delivery. Due to different delivery dates and durations, our 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had initial terms of five to 17 years (plus or minus 90 days at charterer’s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charters</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initial charters for two of our vessels, Ville d’Aquarius and Ville d’Orion expired in September 2012 and were renewed with CMA CGM until May 23, 2013 plus or minus 22 days at charterer’s option. Including these new charters, our fleet had a weighted average charter period of 7.4 years remaining at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Daily Rate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daily rate” refers to the basic payment by the charterer to the owner for the use of the vessel, net of any chartering commission (if applicable). Under all of the time charters for our current fleet, hire is payable to us in advance every 15 days in United States dollars. The net daily rate is a fixed daily amount that will remain the same for the duration of the charter, although in certain circumstances the charter rate can increase. For example, under the global expense agreement, CMA CGM has agreed, effective as of the fourth year of each charter agreement and provided that CMA Ships is no longer our ship manager, to compensate us for any vessel in our fleet on charter to CMA CGM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owner,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and the global expense agreement with our ship manager.</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vessels in the current fleet, costs incurred due to structural changes because of changes in legal, classification society or regulatory requirements regarding the vessel shall be paid by us although if the annual costs aggregate to more than $100,000 for each vessel impacted by such changes, CMA CGM will compensate us through an increase in charterhire.</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charter agreements for vessels in the current fleet stipulate that CMA CGM should reimburse us for any costs of war risks insurance additional premiums and additional crew expenses, if any, that are applicable if it acts outside the insurance limits and for entering areas which are specified by the insurance underwriters as being subject to additional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Pursuant to the terms of the time charter, CMA CGM has a right of first refusal to purchase the vessel at matching terms to any offer of any third party if we decide to sell the vessel during, or at the end of, the charter period. Should CMA CGM not exercise its right of first refusal in case of a sale during the charter period, we will be entitled to sell the vessel, subject to CMA CGM’s approval, which shall not be unreasonably withheld. CMA CGM has the right to reject a sale of a vessel to owners whose business or shareholding is determined to be detrimental or contrary to its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time charter, when the vessel is not available for service, and is “off-hire,” CMA CGM generally is not required to pay charter hire (unless CMA CGM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such as:</w:t>
      </w:r>
    </w:p>
    <w:p>
      <w:pPr>
        <w:spacing w:after="0" w:line="6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CMA CGM’s lost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 pursuant to the terms of the ship management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a vessel in the current fleet is off-hire for more than 90 consecutive days, then CMA CGM may cancel the charter without any further consequential claims provided the vessel is free of cargo.</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suspend the performance of our obligations under the charter if CMA CGM defaults on its payment obligations under the charter.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CMA Ships pursuant to the ship management agreements.</w:t>
      </w:r>
    </w:p>
    <w:p>
      <w:pPr>
        <w:spacing w:after="0" w:line="88" w:lineRule="exact"/>
        <w:rPr>
          <w:sz w:val="20"/>
          <w:szCs w:val="20"/>
          <w:color w:val="auto"/>
        </w:rPr>
      </w:pPr>
    </w:p>
    <w:p>
      <w:pPr>
        <w:jc w:val="both"/>
        <w:ind w:right="180"/>
        <w:spacing w:after="0" w:line="303" w:lineRule="auto"/>
        <w:rPr>
          <w:sz w:val="20"/>
          <w:szCs w:val="20"/>
          <w:color w:val="auto"/>
        </w:rPr>
      </w:pPr>
      <w:r>
        <w:rPr>
          <w:rFonts w:ascii="Arial" w:cs="Arial" w:eastAsia="Arial" w:hAnsi="Arial"/>
          <w:sz w:val="15"/>
          <w:szCs w:val="15"/>
          <w:color w:val="auto"/>
        </w:rPr>
        <w:t>We pay CMA Ships an annual management fee of $114,000 per vessel.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 for costs it incurs on our behalf.</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However, such cost reimbursement is capped on a quarterly basis pursuant to the global expense agreement described in more detail below in “Global Expense Agreement.” Each ship management agreement provides that we have the right to audit the accounts of our ship manager to verify the costs incurred. CMA Ships has agreed to maintain our vessels so that they remain in class with valid certification. In addition, they are responsible for our current fleet’s compliance with all government and other regulations, and compliance with class certifications.</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CMA Ships has established an accounting system and maintains the records of all costs and expenditures incurred as well as data necessary for the settlement of accounts between parties.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CMA Ships is required to use its best endeavors to provide the services specified in the ship management agreements. Pursuant to the terms of the ship management agreements, we indemnify CMA Ships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CMA Ships, its employees, agents and sub-contractors.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CMA Ships is not permitted to sub-contract its obligations under the ship management agreements without our consent, which we will not unreasonably withhold. With our consent, CMA Ships has sub-contracted all of its management services under its ship management agreements to its UK subsidiary, CMA Ships UK. Our ship management agreements with CMA Ships have a term of three years from delivery of each vessel, subject to the termination rights set forth below. However, the ship management agreements provide that they remain in place after their third anniversary and may thereafter be terminated by either party on two months written notice.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ship management agreements are cancelable by us if CMA Ships fails to meet its obligations for any reason within its control and fails to remedy the default. In addition, as all of the ship management agreements have been in effect for more than one year, we are able to terminate the agreements on three months’ notice if we can secure more competitive pricing from a recognized third party, approved by CMA CGM as charterer of the vessels, such approval not to be unduly withheld, subject to CMA Ships’ right to match the third party’s terms.</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CMA Ships can terminate the agreement prior to the end of its term if, among other things: (a) it has not been paid within 30 days of a written request for payment (and we fail to remedy such default) or (b) we undergo a change in control.</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arrange for insurance coverage for each of our vessels, including hull and machinery insurance, protection and indemnity insurance and war risk insurance.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are responsible for the payment of all premiums.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Pursuant to the ship management agreements with CMA Ships, ship operating expenses incurred by it on our behalf in the operation of our vessels will be reimbursed. Pursuant to the global expense agreement that we entered into with CMA Ships, these expenses will be subject to a quarterly cap. Drydocking expenses and insurance premiums are not included in the cap arrangements. For each quarterly period, CMA Ships bears the amount (if any) by which the actual aggregate expenses, excluding drydocking expenses and insurance premiums and costs of accidents and incidents, incurred with respect to all vessels in service exceed the aggregate cap for such quarterly period. The table below sets out the per diem cap per vessel.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3420" w:type="dxa"/>
            <w:vAlign w:val="bottom"/>
          </w:tcPr>
          <w:p>
            <w:pPr>
              <w:spacing w:after="0"/>
              <w:rPr>
                <w:sz w:val="15"/>
                <w:szCs w:val="15"/>
                <w:color w:val="auto"/>
              </w:rPr>
            </w:pPr>
          </w:p>
        </w:tc>
        <w:tc>
          <w:tcPr>
            <w:tcW w:w="3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 xml:space="preserve">Per Diem Cap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2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 Delmas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CMA CGM La Tour</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Manet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Kumasi</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Once our ship management agreements and the global expense agreement with our Ship Manager expire or are terminated, we may not be able to negotiate similar terms in replacement agreements.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in the global expense agreement, CMA CGM has agreed, provided that CMA Ships is no longer the ship manager and therefore the cap arrangements are no longer applicable, effective as of the fourth year of each charter agreement, to compensate us, for any vessel in our current fleet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senior secured credit facility with ABN AMRO Bank N.V. (also the “Agent”), Citibank Global Markets Limited, HSH Nordbank AG, Sumitomo Mitsui Banking Corporation, Brussels Branch, KFW Ipex Bank GmbH, DnB NOR Bank ASA and Bank of Scotland plc until October 2012, when it transferred its exposure to OCM Starfish Debtco S.àr.l. Further, in February 2013, one member of the syndicate novated part of their commitment to FPA Hawkeye-7 Fund, FPA Crescent Fund, FPA Hawkeye Fund and FPA Value Partners Fund. which we refer to as our credit facility. We drew funds under our credit facility to finance in part the purchase of our vessels from CMA CGM. All of our subsidiaries are included as borrowers and guarantors jointly and severally guaranteeing our obligations under the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was entered into in 2007 and was originally an $800 million revolving facility, non amortizing for five years and with a term of eight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Due to the possibility that we would exceed the maximum permitted leverage ratio under the credit facility as a result of the declines in market values of our vessels from mid 2008 due to adverse market conditions, our lenders agreed to enter into an Amendment and Restatement Agreement to the Credit Facility, dated August 20, 2009 (the Credit Facility Amendment) whereby, effective as of August 20, 2009, the credit facility effectively became an amortizing term loan of approximately $600 million with an unchanged final maturity date of August 14, 2016. Under the Credit Facility Amendment, prepayments were accelerated and the undrawn portion of the credit facility amounting to approximately $200.0 million was cancelled. Consequently, there is no undrawn capacity under the credit facility.</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Credit Facility Amendment, the maximum 75% leverage ratio would not apply until the leverage ratio was first tested after the expiration of the waiver period which was up to and including November 30, 2010. Consequently the first such test was scheduled to be as of April 30, 2011. Commencing June 30, 2010 the credit facility was repaid quarterly in an amount equal to free cash in excess of $20.0 million determined as at the previous month end subject to a minimum of $40.0 million repayment a year on a rolling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12 month trailing basis as long as the leverage ratio is, or is deemed to be, over 75%. When the leverage ratio becomes 75% or less, scheduled repayments would be fixed at $10.0 million per quarter. In addition, the fixed interest margin to be paid over LIBOR was agreed to be 3.50% during the waiver period.</w:t>
      </w:r>
    </w:p>
    <w:p>
      <w:pPr>
        <w:spacing w:after="0" w:line="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we agreed that we would not declare or pay any dividends to common shareholders during the waiver period or thereafter unless the leverage ratio is 75% or below.</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Credit Facility Amendment, CMA CGM agreed to defer the redemption of the $48.0 million preferred shares until after the final maturity of the credit facility remains August 14,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Ratio and Credit Facility Waivers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leverage ratio was tested as at April 30, 2011, when it was 75% or less. Consequently repayments of the credit facility became set at $10.0 million per quarter and the fixed interest margin to be paid over LIBOR reduced to 3.00%.</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anticipation of the scheduled test of the leverage ratio as at November 30, 2011 when we expected that it would be between 75% and 90%, due to declines in market values of our vessels, we agreed with our lenders to waive the requirement to perform the leverage ratio test until November 30, 2012. Under the terms of the waiver, the fixed interest margin to be paid over LIBOR increased to 3.50%, prepayments are required to be made quarterly based on cash flow as described above and dividends on common shares cannot be paid. We expected that the leverage ratio, if tested at November 30, 2012, would exceed 75% due to continuing depressed market conditions and accordingly, on November 9, 2012, we agreed a further Credit Facility Waiver with our lenders to waive the requirement to perform the leverage ratio test until December 1, 2014. Under the terms of the further waiver, the fixed interest margin to be paid over LIBOR increased to 3.75%, prepayments are required to be made quarterly based on cash flow as described above and dividends on common shares cannot be paid.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our credit facility, net of surplus cash held in the retention account, to the aggregate charter-free market value of the vessels securing the credit facility plus the value of any other security held by the lenders.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If no current valuations are available at the relevant time, the leverage ratio will be assumed to be over 100%. Set forth below is the margin that applies for the relevant leverage ratio once the fixed margin period inherent in the Credit Facility Waiver expires.</w:t>
      </w:r>
    </w:p>
    <w:p>
      <w:pPr>
        <w:spacing w:after="0" w:line="15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Leverage Ratio</w:t>
            </w:r>
          </w:p>
        </w:tc>
        <w:tc>
          <w:tcPr>
            <w:tcW w:w="3620" w:type="dxa"/>
            <w:vAlign w:val="bottom"/>
          </w:tcPr>
          <w:p>
            <w:pPr>
              <w:spacing w:after="0"/>
              <w:rPr>
                <w:sz w:val="14"/>
                <w:szCs w:val="14"/>
                <w:color w:val="auto"/>
              </w:rPr>
            </w:pPr>
          </w:p>
        </w:tc>
        <w:tc>
          <w:tcPr>
            <w:tcW w:w="3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Up to 65%</w:t>
            </w:r>
          </w:p>
        </w:tc>
        <w:tc>
          <w:tcPr>
            <w:tcW w:w="25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Greater than 65% up to 75%</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3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continuance of any principal or interest default, the margin on the overdue amounts increases by 2% per annum. Pursuant to the terms of the credit facility, we must hedge at least 50% of the amounts outstanding under the credit facility. Prior to the Merger, we entered into interest rate derivatives to swap the majority of the amounts anticipated to be outstanding under the credit facility from floating rate to fixed rate.</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Until undrawn commitments were cancelled pursuant to the Credit Facility Amendment, we paid a commitment fee of 0.50% per annum on the undrawn portion of the credit facility. We are responsible for the duly justified costs properly incurred in connection with the maintenance of the credit facility.</w:t>
      </w:r>
    </w:p>
    <w:p>
      <w:pPr>
        <w:spacing w:after="0" w:line="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permitted to make voluntary early prepayments that can reduce subsequent prepayment obligations. Any amount outstanding under the credit facility at the final maturity date on August 14, 2016 must be repaid in one installment.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requires that borrowings under the credit facility are secured by the following:</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first priority pledge over our bank accounts, and those of our subsidiaries owning vessels in the security package, which are held with the Agent;</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cross-collateralized first priority mortgages on each of the vessels in the security package registered or flagged in a jurisdiction acceptable to the lenders;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marine and war risks insurance covering a minimum of 110% of the outstanding credit facility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priority assignment of time charter contracts, in respect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priority assignment of insurances in respect of each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priority pledge over the shares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corporate guarantees for our obligations from guarantors being our subsidiaries under this credit facility;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priority assignment of the unconditional and irrevocable corporate guarantee from CMA CGM to us for the obligations of CMA CGM, under the time charters, in cases where the charterer is a subsidiary of CMA CGM;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priority assignment of the management agreements for the vessels in the security package;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first priority (general) assignment of the earnings of the vessels in the security package.</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the event of either the sale or total loss of a vessel, the amount available for us to borrow under our credit facility will be reduced so that our borrowings under the credit facility does not exceed 70% of the market value of the remaining vessels that secure our obligations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contains covenants that require us to ensure, among other things, that:</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employment details of additional vessels that we acquire are given to the Agent;</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technical and/or operational management of all the vessels secured under this facility and/or the supervisor in respect of newbuildings to be executed by CMA CGM or any of its wholly owned subsidiaries, or any other company internationally recognized and acceptable to the Agent;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earnings accounts in relation to the vessels and retention account are held with the Agent;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vessels are in class, free of any material overdue recommendations, and the classification society is part of the IACS. No change of class without the prior written consent of the Agent, such consent not to be unreasonably withheld;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only to be involved in the business of ownership of vessels, technical and commercial management of such vessels and related activities;</w:t>
      </w:r>
    </w:p>
    <w:p>
      <w:pPr>
        <w:spacing w:after="0" w:line="113" w:lineRule="exact"/>
        <w:rPr>
          <w:rFonts w:ascii="Arial" w:cs="Arial" w:eastAsia="Arial" w:hAnsi="Arial"/>
          <w:sz w:val="16"/>
          <w:szCs w:val="16"/>
          <w:color w:val="auto"/>
        </w:rPr>
      </w:pPr>
    </w:p>
    <w:p>
      <w:pPr>
        <w:jc w:val="both"/>
        <w:ind w:left="900" w:right="28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charter-in vessels, lease vessels or enter into any similar arrangement without the prior written approval of the Agent, other than time chartering up to three months, such consent not to be unreasonably withheld, unless the arrangement is with or to us or our subsidiaries, in which case no approval from the Agent shall be required;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provide a list of acceptable flags approved by the Agent. We may change flag to another approved flag provided the Agent receives the required documentation;</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restricted from certain asset acquisitions and disposals with respect to our subsidiaries other than disposals made in the ordinary course of business of the disposing subsidiary on arms-length terms and for fair value or any disposal of assets (other than vessels) in exchange for other assets comparable or superior as to type, value and quality;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restrictions on the ability of our subsidiaries to 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will at all times comply with the International Maritime Code for the Safe Operation of Ships and for Pollution Prevention adopted by the IMO;</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no change of ownership of any of our subsidiaries;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provide the Agent with audited annual consolidated accounts, quarterly management accounts and, in respect of each subsidiary, annual unaudited accounts as soon as they are made available, in no event later than 120 days of the year-end and 60 days of the end of each quarter. Further relevant financial information will be provided on demand;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at the same time the audited annual consolidated accounts and management accounts are due, provide the Agent with compliance certificates confirming compliance with the financial covenants. A listing of charter rates is also to be included;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cannot dispose of net assets in excess of $300.0 million (of which a maximum of $200.0 million in aggregate should be in respect of our initial and contracted fleet) over any period of three consecutive calendar years other than with the consent of the Agent; and</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pay dividends if (1) no event of default has occurred or is continuing, (2) the payment of such a dividend does not trigger an event of default and (3) any payments to be made into the retention account are fully up to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contains financial covenants requiring that, among other things:</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balance on a consolidated basis must be a minimum of $15.0 million or six months’ net interest expense at all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net debt to total capitalization ratio shall not exceed 75%;</w:t>
      </w:r>
    </w:p>
    <w:p>
      <w:pPr>
        <w:spacing w:after="0" w:line="9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ratio of EBITDA to debt service, on a trailing four-quarter basis, shall be no less than 1.10 to 1. (Under the Credit Facility Amendment, $10.0 million per quarter is the amount of debt prepayment deemed to be the scheduled prepayment for the purposes of determining debt service);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maintain a minimum net worth of $200.0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Among other things, each of the following events with respect to us or any of our subsidiaries, in some cases after the passage of time or notice or both, is an event of default under the credit facility agreement:</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non-payment of amounts due and payable under this credit facility within four business days of the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or our subsidiaries’ breach of our non-financial covenants and failure to remedy within seven business days of receipt of a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breach of a financial covenant;</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cross default with respect to our and our subsidiaries’ other obligations for any amount in excess of $15.0 million (with respect to us) and $10.0 million (with respect to our subsidiaries);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any person other than CMA CGM, and not agreed to by the lenders, acquires more than 51% of our outstanding voting shares;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of CMA CGM or the Charter Guarantor which is continuing in respect of three or more of the time charter contracts associated with our initial and contracted fleet or default of more than half by number of the time charters associated with any approved charterer (provided such charterer is the charterer of at least 25% of our vessels).</w:t>
      </w:r>
    </w:p>
    <w:p>
      <w:pPr>
        <w:spacing w:after="0" w:line="14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credit facility agreement provides that upon the occurrence of an event of default, the lenders may require that all amounts outstanding under the credit facility be repaid immediately and terminate our ability to borrow under the credit facility and foreclose on the mortgages over the vessels and the related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4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51" w:lineRule="exact"/>
        <w:rPr>
          <w:sz w:val="20"/>
          <w:szCs w:val="20"/>
          <w:color w:val="auto"/>
        </w:rPr>
      </w:pPr>
    </w:p>
    <w:p>
      <w:pPr>
        <w:ind w:left="1480" w:right="200" w:hanging="446"/>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Intermediate Surveys</w:t>
      </w:r>
      <w:r>
        <w:rPr>
          <w:rFonts w:ascii="Arial" w:cs="Arial" w:eastAsia="Arial" w:hAnsi="Arial"/>
          <w:sz w:val="15"/>
          <w:szCs w:val="15"/>
          <w:color w:val="auto"/>
        </w:rPr>
        <w:t>. Also referred to as extended annual surveys, intermediate surveys are typically conducted two and one-half years after</w:t>
      </w:r>
    </w:p>
    <w:p>
      <w:pPr>
        <w:spacing w:after="0" w:line="49" w:lineRule="exact"/>
        <w:rPr>
          <w:rFonts w:ascii="Arial" w:cs="Arial" w:eastAsia="Arial" w:hAnsi="Arial"/>
          <w:sz w:val="15"/>
          <w:szCs w:val="15"/>
          <w:color w:val="auto"/>
        </w:rPr>
      </w:pPr>
    </w:p>
    <w:p>
      <w:pPr>
        <w:ind w:left="1480"/>
        <w:spacing w:after="0" w:line="302" w:lineRule="auto"/>
        <w:rPr>
          <w:rFonts w:ascii="Arial" w:cs="Arial" w:eastAsia="Arial" w:hAnsi="Arial"/>
          <w:sz w:val="15"/>
          <w:szCs w:val="15"/>
          <w:color w:val="auto"/>
        </w:rPr>
      </w:pPr>
      <w:r>
        <w:rPr>
          <w:rFonts w:ascii="Arial" w:cs="Arial" w:eastAsia="Arial" w:hAnsi="Arial"/>
          <w:sz w:val="16"/>
          <w:szCs w:val="16"/>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256" w:lineRule="auto"/>
        <w:rPr>
          <w:sz w:val="20"/>
          <w:szCs w:val="20"/>
          <w:color w:val="auto"/>
        </w:rPr>
      </w:pPr>
      <w:r>
        <w:rPr>
          <w:rFonts w:ascii="Arial" w:cs="Arial" w:eastAsia="Arial" w:hAnsi="Arial"/>
          <w:sz w:val="18"/>
          <w:szCs w:val="18"/>
          <w:color w:val="auto"/>
        </w:rPr>
        <w:t>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it.</w:t>
      </w:r>
    </w:p>
    <w:p>
      <w:pPr>
        <w:spacing w:after="0" w:line="62" w:lineRule="exact"/>
        <w:rPr>
          <w:sz w:val="20"/>
          <w:szCs w:val="20"/>
          <w:color w:val="auto"/>
        </w:rPr>
      </w:pPr>
    </w:p>
    <w:p>
      <w:pPr>
        <w:ind w:left="1480" w:right="60" w:hanging="446"/>
        <w:spacing w:after="0" w:line="287" w:lineRule="auto"/>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Class Renewal Surveys</w:t>
      </w:r>
      <w:r>
        <w:rPr>
          <w:rFonts w:ascii="Arial" w:cs="Arial" w:eastAsia="Arial" w:hAnsi="Arial"/>
          <w:sz w:val="16"/>
          <w:szCs w:val="16"/>
          <w:color w:val="auto"/>
        </w:rPr>
        <w:t>. Class renewal surveys, also known as special surveys, are carried out typically every five years on the ship’s hull,</w:t>
      </w:r>
      <w:r>
        <w:rPr>
          <w:rFonts w:ascii="Arial" w:cs="Arial" w:eastAsia="Arial" w:hAnsi="Arial"/>
          <w:sz w:val="16"/>
          <w:szCs w:val="16"/>
          <w:i w:val="1"/>
          <w:iCs w:val="1"/>
          <w:color w:val="auto"/>
        </w:rPr>
        <w:t xml:space="preserve"> </w:t>
      </w:r>
      <w:r>
        <w:rPr>
          <w:rFonts w:ascii="Arial" w:cs="Arial" w:eastAsia="Arial" w:hAnsi="Arial"/>
          <w:sz w:val="16"/>
          <w:szCs w:val="16"/>
          <w:color w:val="auto"/>
        </w:rPr>
        <w:t>machinery, including the electrical plant, and any special equipment classed, at the intervals indicated by the character of classification for the hull. Vessels are required to be inspected in a drydock as part of the special survey.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is still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condition for obtaining insurance coverage, each of our vessels needs to be certified “in class” by a member of the IACS. Generally, if recommendations are not sufficiently corrected as determined by a member of the IACS, then the vessel may not remain “in class.” If a vessel is not “in class,” it may not be covered by insurance, and may not be available for charter. In addition, our vessels must remain “in class” as a condition to obtaining financing from the lenders under our credit facility.</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shows the classification societies for our vessels and lists the month by which they need to have completed their next drydocking, taking into account the two drydockings completed so far in 2013:</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4580" w:type="dxa"/>
            <w:vAlign w:val="bottom"/>
          </w:tcPr>
          <w:p>
            <w:pPr>
              <w:spacing w:after="0"/>
              <w:rPr>
                <w:sz w:val="15"/>
                <w:szCs w:val="15"/>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Classification Society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Drydocking Month*</w:t>
            </w:r>
          </w:p>
        </w:tc>
      </w:tr>
      <w:tr>
        <w:trPr>
          <w:trHeight w:val="203"/>
        </w:trPr>
        <w:tc>
          <w:tcPr>
            <w:tcW w:w="5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1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Bureau Veritas</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January 2017</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December 2016</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November 2014</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December 2014</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2018</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November 2017</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 Delmas</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2017</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La Tour</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June 2016</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Manet</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2016</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Kumasi</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March 2017</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November 2017</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December 2017</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2013</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Germanischer Lloyd</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September 2016</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Lloyd’s Register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2016</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Lloyd’s Register</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September 2016</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Bureau Veritas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Expected month of drydocking assume that the vessels qualify for in-water inspections at the intermediate survey.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including CMA CGM and its subsidiaries, to, among other things, purchase newbuildings and secondhand vessels to grow our fleet.</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expect substantial competition in obtaining new containership charters from a number of experienced and substantial companies. Many of these competitors may have greater financial resources than us, and may also operate larger fleets and may be able to offer better charter rates. Due to the recent industry downturn, there have been an increased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we may be unable to purchase additional containerships, expand our relationships with CMA CGM or to obtain new charterers on a profitable basis, if at all, which would have a material adverse effect on our business, results of operations and financial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 For example, the Delmas Keta, Julie Delmas, Kumasi and Marie Delmas have not been certified to comply with all United States, Canadian and Panama Canal regulations, as CMA CGM does not intend to operate them in these waters.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and ballast water management.</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Compliance with these laws, regulations and other requirements entails significant expense, including vessel modifications and implementation of certain operating procedures, and are subject to frequent change.</w:t>
      </w:r>
    </w:p>
    <w:p>
      <w:pPr>
        <w:spacing w:after="0" w:line="138"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 variety of governmental and private entities subject our vessels to both scheduled and unscheduled inspections. These entities include the local port authorities, United States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pacing w:after="0" w:line="98"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8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Increasing environmental concerns have created a demand for vessels that conform to the stricter environmental standards. We will be required to maintain operating standards for all of our vessels that emphasize operational safety, quality maintenance, continuous training of our officers and crews and compliance with United States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affect on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90"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Our vessels are subject to standards imposed by the International Maritime Organization, or IMO, the United Nations agency for maritime safety and the prevention of pollution by ships. The IMO has negotiated various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sulphur oxide, nitrogen oxide, carbon dioxide and particulate matter emissions from ship exhausts and prohibits deliberate emissions of ozone depleting substances, such as chlorofluorocarbons. Annex VI also includes a global cap on the sulphur content of fuel oil and allows for the creation of Emission Control Areas, or ECAs. Already established ECAs include the Baltic Sea, the North Sea, including the English Channel, the North American area and the U.S. Caribbean Sea area (the latter to enter into effect on January 1, 2014). Additional geographical areas may be designated as ECAs in the future. Annex VI calls for incremental reductions in sulphur in fuel between 2012 and 2020 (or 2015 in the case of ECAs), with the global sulphur cap reduced initially to</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3.50% (from 4.50%), effective from January 1, 2012; then progressively to 0.50 %, effective from January 1, 2020, subject to a feasibility review to be completed no later than 2018. Annex VI also calls for the use of advanced technology engines designed to reduce emissions of nitrogen oxide, with a “Tier II” emission limit for engines installed on or after January 1, 2011 and a more stringent “Tier III” emission limit for engines installed on or after 2016 operating in nitrogen oxide ECAs.</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have registered the vessels in our fleet in flag states that have ratified Annex VI, which require that we obtain International Air Pollution Prevention Certificates, or IAPP Certificates, for the vessels in our fleet, from those flag states. As of December 31, 2012, all of the vessels in the fleet had IAPP Certificates.</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3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adopt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 the provision of the ISM Code and corrective action; procedures to prepare guidelines and respond to emergency situation; and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of December 31, 2012,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2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2004, the IMO adopted an International Convention for the Control and Management of Ships’ Ballast Water and Sediments, or BWM Convention. The BWM Convention’s implementing regulations call for the installation of ballast water treatment systems on newbuilding vessels for which the keel is laid after January 1, 2012 and for existing vessels prior to their first intermediate or renewal survey after January 1, 2016. The BWM Convention will not enter into force, on a retroactive basis, until 12 months after it has been adopted by 30 IMO Member States, the combined merchant fleets of which represent not less than 35% of the gross tonnage of the world’s merchant shipping. The BWM Convention has been ratified by 36 states but those states constitute only 29.07% of gross tonnage and therefore the Convention has not yet come into force. See “Ballast Water Management,” below, for a discussion of possible impacts of increased ballast water management regulation.</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 As of December 31, 2012 each of our vessels was in possession of a Statement of Compliance issued by the Classification Society.</w:t>
      </w:r>
    </w:p>
    <w:p>
      <w:pPr>
        <w:spacing w:after="0" w:line="143"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Labor Organisation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 specialized agency, the International Labour Organisation (ILO) announced in autumn last year that the Maritime Labour Convention, 2006 (MLC 2006) will come into force on August 20, 2013 following ratification by 30 nations representing 33% of the world’s shipping gross tonnage. MLC 2006 establishes minimum requirements for seafarer’s employment conditions such as hours of work and rest, training/certification, health protection, medical care/certification, welfare and social security protection, as well as, for new ships, accommodation and recreational facilities. Each ship is required to obtain proof of compliance in the form of a Maritime Labour Certificate from the flag state and by preparing a Declaration of Maritime Labour Compliance, which should minimize compliance inspections. We expect that the conditions of seafarers on board our vessels will be compliant.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United States Oil Pollution Act of 1990</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United States waters, which includes the United States’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2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1, 2009 the United States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United States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OPA requires owners and operators of vessels to obtain a certificate of financial responsibility by establishing and maintaining with the United States Coast Guard, or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our vessels that are likely to enter U.S. waters, we intend to comply with the United States Coast Guard regulations by providing a certificate of responsibility from third party entities that are acceptable to the United States Coast Guard evidencing sufficient insurance.</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United States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Title VII of the Coast Guard and Maritime Transportation Act of 2004, or CGMTA, amended OPA to require the United States Coast Guard to issue regulations to require the owner or operator of any non-tank vessel of 400 gross tons or more that carries oil of any kind as a fuel for main propulsion, to prepare and submit a response plan for each vessel. The United States Coast Guard has not finalized such regulations yet, but has published a guidance document that allows for the issuance of interim authorization letters until the final regulations are promulgated. The vessel response plans include detailed information on actions to be taken by vessel personnel to prevent or mitigate any discharge or threat of discharge of oil from the vessel due to operational activities or casualties. Regulations issued under CGMTA that require Government-Initiated Unannounced Exercises (GIUE) to test the response plans are being extended to non-tank vessels. GIUE are paid for by the ship owner. We comply with the requirements of the CGMTA and OPA. Our vessels that call at U.S. ports have appropriate vessel response plans filed with the United States Coast Guard and copies are available onboard.</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Comprehensive Environmental Response, Compensation, and Liability Act</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United States ports through ballast water taken on by ships in foreign ports. Under NISA, the Coast Guard required mandatory ballast water management practices for all vessels equipped with ballast water tanks bound for United States ports or entering United States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US Coast Guard Final Rule, </w:t>
      </w:r>
      <w:r>
        <w:rPr>
          <w:rFonts w:ascii="Arial" w:cs="Arial" w:eastAsia="Arial" w:hAnsi="Arial"/>
          <w:sz w:val="16"/>
          <w:szCs w:val="16"/>
          <w:i w:val="1"/>
          <w:iCs w:val="1"/>
          <w:color w:val="auto"/>
        </w:rPr>
        <w:t>Standard for Living Organisms in Ships’ Ballast Water Discharged in US Waters</w:t>
      </w:r>
      <w:r>
        <w:rPr>
          <w:rFonts w:ascii="Arial" w:cs="Arial" w:eastAsia="Arial" w:hAnsi="Arial"/>
          <w:sz w:val="16"/>
          <w:szCs w:val="16"/>
          <w:color w:val="auto"/>
        </w:rPr>
        <w:t xml:space="preserve"> (superseding the previous) came into effect on June 21, 2012 and sets out allowable organism concentrations consistent with the IMO BWM Convention. The Final Rule also set outs general non-indigenous species reduction practices including hull, tank and pipe cleaning. The Final Rule introduces a requirement for a Ballast Water Management System (BWMS) for vessels with a ballast water capacity between 1500 and 5000 cubic meters by January 1, 2014 and for those with smaller or larger capacity by January 1, 2016. All of vessels have ballast water capacities in excess of 5,000 cubic meters. Before then as alternatives, ballast water may be exchanged 200 nautical miles from any shore or an Alternative Management System may be installed that is approved by a foreign administration under the BWM Convention, meets a minimum effective determination by the Coast Guard and received full approval within five years of the compliance date for the vessel. The BWMS must meet stringent maximum allowable organism concentrations depending on their size and hazard to health, as well as other design criteria. BWM records must be retained on board for two years and information notified at least 24 hours prior to arrival.</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Clean Water Act, or CWA, prohibits the discharge of oil or hazardous substances in United States navigable waters without a permit and imposes strict liability in the form of penalties for any unauthorized discharges. Current Environmental Protection Agency, or EPA, regulations exempt ships in United States’ navigable waters from the requirement to obtain CWA permits for discharges of ballast water and other substances incidental to the normal operation of vessels. However, a United States District Court ruled in 2006 that EPA lacks the authority to exclude discharges of vessel ballast water from permitting requirements under the CWA, invalidating the blanket exemption in EPA regulations for all discharges incidental to the normal operation of a vessel as of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 required to comply with the VGP by February 6, 2009. The VGP requires the use of Best Management Practices, inspections, and monitoring of the areas of the vessel the permit addresses. States may also add additional conditions. For example, California requires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that all vessel discharges in its waters comply with numeric effluent limitations. The new 2013 VGP will replace the 2008 VGP on 19 December 2013 and provides for more stringent numerical ballast water discharge limits for most vessels, more stringent effluent limits for oil to sea interfaces and for exhaust gas scrubber wash water and an annual report in place of the current one-time report.</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There remains a patchwork of partly inconsistent ballast water management and hull cleaning regulations across the various U.S. states, some containing requirements more stringent than IMO, such as California, which requires vessels exceeding 300gt operating in its waters to perform, record and report regular hull cleaning and limits the number of living organisms of different categories that may be discharged.</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(See “International Maritime Organization” above), could increase the cost of compliance for ocean carriers, including requiring installation of equipment of ballast water treatment systems on vessels at substantial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Air Act</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In December 2009, the EPA issued more stringent emission standards for new Category 3 marine engines. The standards are consistent with the amendments to Annex VI of MARPOL discussed above. Certain emission standards took effect early as 2011. We may incur costs to install equipment in these vessels to comply.</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miles of the California coast and require operators to use low sulphur fuels. The Office of Administrative Law approved the rulemaking and filed it with the Secretary of State on May 29, 2009. The regulation became effective on June 28, 2009. CARB have proposed a change to the implementation date for the second phase of the program from January 1, 2012 to January 1, 2014, when ocean going vessels would be limited to using distillate fuels containing no more than 0.1% of sulphur, aligning California’s requirements more closely with the Federal standards and allowing vessel operators more flexibility to acquire compliant fuels.</w:t>
      </w:r>
    </w:p>
    <w:p>
      <w:pPr>
        <w:spacing w:after="0" w:line="118"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These requirements may increase operating costs while in California ports.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waters of the European Union, or the EU, our vessels are subject to regulation EU-level directives implemented by the various nations through laws and regulations of these requirements. These laws and regulations prescribe measures to prevent pollution, protect the environment, and support maritime safety and set out criminal penalties which are being progressively incorporated into domestic legislation. For instance, the EU has adopted directives (1999/35/EC &amp; 2009/16/EC)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1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EU Directive 2009/16/EC introduced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vessels are also subject to inspection by appropriate classification societies. Classification societies typically establish and maintain standards for the construction and classification of vessels, supervise that construction is according to these standards, and carry out regular surveys of ships in service to ensure compliance with the standards.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EU’s directive on the sulphur content of fuels (1999/32/EC amended 2005/33/EC) restricts the maximum sulphur content of marine fuels used in vessels operating in EU member states’ exclusive economic zones. Under this Directive, our vessels may need to make expenditures to comply with the sulphur fuel content limits in the marine fuel they use in order to avoid delays or other obstructions to their operations. In November 2012, the European Commission amended the Sulphur Directive to bring it in line with MARPOL Annex VI (not including the possible postponement following the IMO review of available fuel). The EU has also issued a directive adopting the IMO’s standards for the maximum sulphur content of marine fuels used in ECAs in the Baltic Sea, North Sea, English Channel and for any other seas or ports the IMO may designate as SOx ECAs 12 months after the date of entry into force of the designation. These and other related requirements may increase our costs of operating and may affect financial performance.</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0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The European Commission is particularly interested in a solution to ensure sound ship dismantling in non-OECD countries. It is thought that any new regulation would incorporate elements of the Hong Kong International Convention on the Safe and Environmentally Sound Recycling of Ships, appropriate for the global approach to ship dismantling and elements of the Basel Convention to the in situ treatment of materials from dismantling, promotion of the use of shore-side electricity by ships at berth in EU ports to reduce air emissions, and consideration of options for EU legislation to reduce greenhouse gas emissions from maritime transport. 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 in Europe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January 1, 2012 a voluntary ballast water management regime has been operating in the Mediterranean Sea, NE Atlantic &amp; Baltic, and in-between. The regime, which effectively urges ships to undertake ballast water exchange before entering those areas, is to remain in place until the BWM Convention comes into force.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Bribery Act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Bribery Act 2011 came into force on July 1, 2011 and will affect our management company. As well as having a zero tolerance for the payment, or receipt of any bribe whatever the amount (including facilitation payments, unlike U.S. legislation) the Act creates two new offences of bribing a public official and of failing as a commercial organization to prevent bribery when an ‘associated person’ bribes another on its behalf absent adequate procedures to prevent. The Act applies to both offences committed in the UK and overseas where the offence is committed by a person with a close connection to the UK. Fines are potentially unlimited.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U.K. Serious Fraud Office has identified the shipping industry as one of the most high risk industries.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9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The People’s Republic of China introduced its own regime along similar lines in 2010 which, in some instances requires ship operators to re-contract with an approved Chinese Ship Pollution Response organization.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our costs to operate our fleet. These requirements, however, would apply to the industry as a whole and would also affect our competitors.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Greenhouse Gas Legislation</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The recent UN Climate change Conference resulted in the creation of a second Kyoto protocol commitment period from 2013 and a decision by governments to negotiate a new agreement with legal force including commitments from energy economies for implementation in 2020.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will no doubt have to contribute to the Green Climate Fund agreed at the latter as it has been recognized by the UN and G20 that shipping is a potential major source of funds. The G20 has suggested a contribution as high as US$25 billion per year. The European Union confirmed in April 2007 and in 2009 that it plans to expand the European Union emissions trading scheme (ETS) by adding vessels. The 2009 ETS Directive requires the EU to propose an alternate plan to reduce shipping emissions if agreement is not reached by the IMO by December 2011. 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w:t>
      </w:r>
    </w:p>
    <w:p>
      <w:pPr>
        <w:spacing w:after="0" w:line="12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2011, parties to MARPOL Annex VI adopted mandatory measures to reduce emissions of greenhouse gases from international shipping. The amendments will make the Energy Efficiency Design Index (EEDI) mandatory for new ships and the Ship Energy Efficiency Management Plan (SEEMP) mandatory for all ships. The EEDI details required energy efficiency levels and the SEEMP details a mechanism for improving efficiency. The regulations became effective from January 1, 2013 and, with any other climate control legislation or other regulatory initiatives by the IMO, European Union, or individual countries where we operate that restrict emissions of greenhouse gases from vessels, could require us to incur additional compliance costs and make significant financial expenditures we cannot predict with certainty at this time.</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With regard to greenhouse gas emissions, there have been discussions in the IMO for the adoption of a market-based mechanism for the reduction of carbon emissions from vessels, such as an emissions trading system or an international greenhouse gas contribution fund, with contributions being based on bunker fuel purchases.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Security Regulations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United States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3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United States Coast Guard regulations are intended to align with international maritime security standards and they exempt non-United States vessels from MTSA vessel security measures provided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Container Screening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United States signed into law the 9/11 Commission Act on August 3, 2007. The Act requires that all containers destined to the United States be scanned by x-ray machines before leaving port. This new requirement for 100% scanning is set to take effect in 2012, but the Secretary of the United States Department of Homeland Security has the authority to set an earlier deadline (based on developments arising from the on-going pilot program under the SAFE-Port Act of 2006) or to extend the deadline up to two years, to 2014. Ports that ship to the United States will likely have to install new x-ray machines and make infrastructure changes in order to accommodate the screening requirements. Such implementation requirements may change which ports are able to ship to the United States and shipping companies may incur significant increased costs. It is impossible to predict how this requirement will affect the industry as a whole, but changes and additional costs can be reasonably expected.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EU advance cargo declaration scheme came into force on January 1, 2011 under Regulations 648/2005, 1875/2006 and 312/2009 as part of the Community Customs Code. The system requires freight forwarders, with the carrier’s permission, to declare any intended containerized cargo movements to and from the EU electronically within certain time limits, and the ship operator to give certain notices. Failure to comply may result in penalties being applied in accordance with national legislation.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United States market.</w:t>
      </w:r>
    </w:p>
    <w:p>
      <w:pPr>
        <w:spacing w:after="0" w:line="14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maintain marine hull and machinery insurance, war risks insurance, protection and indemnity cover, increased value insurance and freight, demurrage and defense cover for all our vessels in amounts that we believe to be prudent to cover normal risks in our 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Under the terms of our credit facility, we have assigned these insurance policies to our lenders and are subject to restrictions on our use of any proceeds there from.</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not obtained loss-of-hire insurance covering the loss of revenue during extended off-hire periods. We will evaluate the need for such coverage on an ongoing basis, taking into account insurance market conditions and the employment of our vessels.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Protection and indemnity insurance is mutual indemnity insurance provided by mutual protection and indemnity associations, or P&amp;I Associations, which insure third-party and crew liabilities in connection with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We intend to remain a member of a P&amp;I Association that is a member of the International Group, and as such, we will be subject to calls payable to the other P&amp;I Associations based on the International Group’s claim records as well as the claim records of all other members of the individual P&amp;I Associations.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Organizational Structure</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holding company, Global Ship Lease, Inc., is a Marshall Islands corporation. Each vessel is owned by a directly held separate wholly owned subsidiary. Sixteen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Property, Plants and Equipment</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only material properties are the vessels in our fleet, which are described in Item 4.B. “Information on the Company — Business Overview”. We do not own any real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for us and our Predecessor Group,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We are a containership charter owner, incorporated in the Marshall Islands. We commenced operations in December 2007 with a business of owning and chartering out containerships under long-term, fixed rate charters to container liner companies.</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currently own 17 vessels with a total capacity of 66,349 TEU with an average age, weighted by TEU capacity, at December 31, 2012 of 8.8 years. All of the vessels are fixed on long-term charters to CMA CGM with an average remaining term of 6.1 years, or 7.4 years on a weighted by capacity basis.</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consolidated financial statements have been prepared in accordance with the generally accepted accounting principles in the United States of America, which we refer to as U.S. GAAP, and are presented in United States dollars.</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This discussion contains forward-looking statements based on assumptions about our future business. Our actual results will likely differ materially from those contained in the forward-looking statements. See “Special Note Regarding Forward-Looking Statements.”</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acquired 10 secondhand vessels in December 2007, two newly built vessels in January 2008, three secondhand vessels, one newly built vessel in December 2008 and a further second-hand vessel in August 2009 from CMA CGM. All 17 vessels are chartered to CMA CGM under fixed-rate time charters, with staggered expirations, for initial terms that ranged from five years to 17 years. Two of the initial charters have expired and on expiry new charters were entered into with the earliest expiration date being May 1, 2013. Each initial charter commenced on the delivery of the relevant vessel to us.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ship management agreements with CMA Ships for the day-to-day technical management of our current fleet of vessels. See Item 4.B.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“Business Overview—Ship Management Agreements” for a more detailed description of our ship management agreements.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commenced our business operations in December 2007 with the acquisition of the 10 secondhand vessels from CMA CGM. Our operations as a time charter owner differ significantly from the historical operations of the Predecessor Group upon which the Predecessor Group’s historical carve-out financial information included in the consolidated financial statements for January 2008 is based. In particular, we generate revenues primarily from charter payments made to us by the charterers of our vessels and not from freight rates for transporting cargoes as undertaken by the Predecessor Group. Costs are also different. Our expenses consist mainly of vessel operating expenses including for crewing, provision of lubricating oil and for routine maintenance, as well as insurance costs and general and administrative expenses. We do not bear the cost of bunker fuel or any costs associated with loading, unloading or transporting containers. The Predecessor Group’s costs include vessel operating expenses but also voyage expenses including costs for bunker fuel, stevedoring, provision of containers and inland transportation. We believe that our contracted revenue under the fixed rate time charters that are in place and fixed fee and capped operating costs arrangements will help provide us with a stable cash flow that is sufficient for our present operating requirements.</w:t>
      </w:r>
    </w:p>
    <w:p>
      <w:pPr>
        <w:spacing w:after="0" w:line="1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our operations as ship-owner differ significantly from the business operations of the Predecessor Group as a vessel operator, trends or performance that likely had a material effect on the Predecessor Group’s revenues will likely have limited direct impact on our future revenues, except to the extent that these trends are a result of changing economic conditions in the overall containership industry, which may affect the viability of our customers or generally affect the global demand for and the supply of containerships.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will be largely driven by the following factors:</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under which we will recharter our vessels once the existing time charters have expired, including the two vessels whose existing charters expire as early as May 1,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control our expenses, including ship operating costs, ship management fees, insurance costs, drydock costs, general, administrative and other expenses and interest and financing costs. Operating costs may vary from month to month depending on a number of factors, including the timing of purchases of spares and stores and of crew changes;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market value of our interest rate swap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 to, and the pricing and other terms of, our credit facility.</w:t>
      </w:r>
    </w:p>
    <w:p>
      <w:pPr>
        <w:spacing w:after="0" w:line="17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have entered into mainly long-term fixed rate time charters for all of our vessels. We expect that our base revenue will be largely fixed until (a) any of our charters expire or otherwise terminate when we will need to seek a renewal or recharter, at possibly a significantly different and lower rate depending on market conditions at the time, or (b) we acquire additional vessels. Our shortest time charter agreements expire on May 22, 2013 (plus or minus 22 days at charterer’s option) on two vessels. The charter rate that we will be able to achieve on renewal will be affected by market conditions at that time. As discussed further below, operational matters such as off-hire days for planned maintenance or for unexpected accidents and incidents also affect the actual amount of revenues we receive.</w:t>
      </w:r>
    </w:p>
    <w:p>
      <w:pPr>
        <w:spacing w:after="0" w:line="10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CMA CGM is currently our only customer and charter payments from CMA CGM are our sole source of operating cash flow. At any given time in the future, the cash resources of CMA CGM may be diminished or exhausted, and we cannot assure our shareholders that CMA CGM will be able to make charter payments to us. The container shipping industry has suffered a recent significant cyclical downturn with a substantial amount of excess ship capacity and many container shipping companies, including CMA CGM, reported substantial losses in 2009. Further, CMA CGM announced in September 2009 that CMA CGM and its lenders were exploring a potential financial restructuring to address its short and medium term financing requirements and that CMA CGM was seeking to reduce and in some cases cancel certain ship deliveries. Positive industry conditions returned in 2010 with most carriers reporting significant improvement in financial performance. In November 2010, CMA CGM announced that final agreement had been reached between its shareholders and Yildirim Group of Turkey which had agreed to invest $500 million in CMA CGM by acquiring five year ORA (convertible) notes giving access to 20% of CMA CGM’s share capital. In January 2011, CMA CGM announced that this investment had been completed. Further, in April 2011 CMA CGM placed $475m of dollar-denominated senior notes that mature in 2017 with a coupon of 8.500%, and €325m of 8.875% euro-denominated senior notes that mature in 2019. In August 2011, CMA CGM represented to us that it had substantially completed its financial restructuring. The container shipping industry suffered a further cyclical downturn in 2011 and many container shipping companies reported substantial losses. Financial performance of container shipping companies improved in 2012 however, the industry remained under pressure due to oversupply of container ship capacity. Early in 2012, CMA CGM began discussing with its lenders the rescheduling of certain repayments and the adjustment of certain covenants to take account of the cyclical nature of the container shipping industry. CMA CGM announced on February 12, 2013 that it had finalized its financial restructuring launched in 2012 including a new covenant package taking into account of the container shipping industry’s volatility and the partial refinancing of a credit line maturing in 2013 into new secured term loans of a maturity of more than three years for a total amount of Euro 280 million. They also announced that a binding agreement have been signed with the French Fonds Strategique d’Investissement which at closing, expected to be within three months, will subscribe $150 million for redeemable bonds convertible into 6% equity. In addition, the Yildirim Group will invest a further $100 million redeemable bonds convertible into 4% equity. We have experienced continued and, from time to time, increased delays in receiving charterhire payments from CMA CGM, where between one and three installments have been outstanding since January 1, 2012, which under the charter contracts are due to be paid every 15 days in advance.</w:t>
      </w:r>
    </w:p>
    <w:p>
      <w:pPr>
        <w:spacing w:after="0" w:line="12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If CMA CGM is unable to make charter payments to us, our results of operations and financial condition will be materially adversely affected. If our existing charters with CMA CGM were terminated and we were required to recharter at lower rates or if we failed to find new charters due to market conditions, our results of operations and financial condition would be materially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Class B common shares and warrants to acquire an aggregate of 3,056,188 Class A common shares at an exercise price of $9.25 which expire in September 2013. CMA CGM received consideration consisting of 6,778,650 Class A common shares, 3,934,050 Class B common shares, 12,375,000 Class C common shares (which converted into Class A common shares in accordance with their terms on January 1, 2009), 1,000 Series A preferred shares with $48,000,000 of aggregate liquidation preference, warrants to acquire 3,131,900 Class A common shares at an exercise price of $9.25 which expire in September 2013, and $18,570,135 in cash.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and our Predecessor Group’s principal accounting policies, some of which involve a high degree of judgment, and the methods of their application.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a further description of our material accounting policies, see note 3 to the consolidated financial statements included at Item 18.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revenue is generated from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 and similar transactions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Vessels represent our most significant tangible assets. Until the Merger, we stated them in our financial statements at their acquisition cost less an amount allocated to drydock component, less accumulated depreciation and impairment loss, if any. Following the Merger, the vessels were recorded at their fair value as at the date of the Merger less a proportion of the negative goodwill arising on the acquisition, allocated to these vessels, less accumulated depreciation and impairment loss, if any.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Interest capitalized in the year ended December 31, 2012 was nil (2011: nil, 2010: $525 and 2009: $524). Other borrowing costs are expensed as incurred.</w:t>
      </w:r>
    </w:p>
    <w:p>
      <w:pPr>
        <w:spacing w:after="0" w:line="8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Vessels are depreciated to a residual value, corresponding to the best estimate of their scrap value, using the straight-line method over their estimated useful lives, currently estimated to be 30 years, which are reviewed on an ongoing basis to ensure they reflect current technology, service potential and vessel structure.</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Should certain factors or circumstances cause us to revise our estimate of vessel service lives in the future, depreciation expense could be materially lower or higher. Such factors and circumstances include, but are not limited to, the extent of cash flows generated from future charter arrangements, changes in international shipping requirements and other factors, many of which are outside of our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accordance with ASC Topic 360, “Accounting for the Impairment or Disposal of Long-Lived Assets” our long-lived assets are reviewed for impairment upon the occurrence of a triggering event which could be, for example, a significant decrease in the market value of vessels, a significant adverse way in which a vessel is being used or in its physical condition, or there is an expectation that the vessel will be sold or otherwise disposed of significantly before the end of its previously estimated useful life. We perform the impairment test at the individual vessel level pursuant to paragraph 10 of ASC Topic 360.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determine whether there is an impairment indicator under ASC Topic 360, we compare the sum of the undiscounted future cash flows over the anticipated remaining life for each vessel less estimated operating and drydock expenses, plus the estimated undiscounted residual value at the end of its life, with its book value in order to determine if the book value of such vessel is recoverable.</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assumptions used to determine whether the sum of undiscounted cash flows expected to result from the use and eventual disposition of the vessels exceeds the carrying value involve a considerable degree of estimation on the part of our management team. Actual results could differ from those estimates, which could have a material effect on the recoverability of the vessels.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assumptions used are:</w:t>
      </w:r>
    </w:p>
    <w:p>
      <w:pPr>
        <w:spacing w:after="0" w:line="90" w:lineRule="exact"/>
        <w:rPr>
          <w:sz w:val="20"/>
          <w:szCs w:val="20"/>
          <w:color w:val="auto"/>
        </w:rPr>
      </w:pPr>
    </w:p>
    <w:p>
      <w:pPr>
        <w:ind w:left="900" w:hanging="325"/>
        <w:spacing w:after="0" w:line="288"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determination of the possible future new charters, future market values and/or the eventual disposition of each vessel. Estimates are based on current market data and reports, including for the chartering and sale of comparable vessels, prepared by the industry press and by independent shipping analysts and brokers, and assessment by management. For the 15 vessels with charters expiring after 2015, the assumed rates for subsequent charters are based on reversion to average historical. For the two vessels of 4,113 TEU that came off their initial charters in late 2012 and which are currently on charters that expire as early as May 1, 2013, charter rates are only assumed to revert to average historical levels from 2017, gradually recovering from current prevailing rates of around $7,500 per day. The container shipping industry has experienced significant cyclical volatility over its history. We believe that assuming a reversion to historical average charter hire levels, assessed over a period including both cyclical highs and lows, is the most objective approach for forecasting charter rates over an extended time horizon for long lived assets and is thus also the most objective indicator of rates at which our vessels may be re-marketed on conclusion of their initial charters;</w:t>
      </w:r>
    </w:p>
    <w:p>
      <w:pPr>
        <w:spacing w:after="0" w:line="38"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days on-hire which are estimated at a level consistent with our on-hire statistics and peer group benchmarking;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useful life;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operating costs including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drydock expenses which are estimated based on one drydock every five years.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Whenever the sum of the undiscounted future cash flows for each vessel less operating expenses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 flows. An impairment loss will be recognized if the book value of the vessel exceeds the sum of the discounted cash flows expected to result from the use and eventual disposition of the vessel.</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Due to the effects of the global economic downturn and reduced demand for container shipping services and thus for containerships, combined with continuing delivery of newbuildings, containership values experienced declines from mid 2008 to end 2012 and into 2013, despite some improvement in market values through 2010.</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2012, we concluded that events had occurred and circumstances had changed, which might have triggered the existence of potential impairment of our long-lived assets. These indicators included a deterioration in the spot charter market and a decline in containership values through 2012. Accordingly, we performed an impairment test in accordance with US GAAP. As of December 31, 2012, we concluded that the undiscounted sum of the future cash flows for each vessel less operating expenses exceeded the vessel’s carrying value and accordingly the recoverability test of the impairment analysis was not required as no individual impairment of vessels was identified.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declines in containership values, the carrying value of our fleet is likely to be greater than its market value as of December 31, 2012. Please see</w:t>
      </w:r>
    </w:p>
    <w:p>
      <w:pPr>
        <w:spacing w:after="0" w:line="3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Item 3 “Key Information—Risk Factors —Vessel values may fluctuate, which may adversely affect our financial condition, result in the incurrence of a loss upon disposal of a vessel or increase the cost of acquiring additional vessels”. However, we would not impair any vessel’s carrying value under our impairment accounting policy, due to our belief that future undiscounted cash flows expected to be earned by each vessel over the remainder of its operating life would exceed its carrying amount.</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internal exercise, which used a discounted cash flow model, suggested that as at December 31, 2012, 11 of our 17 vessels may have market values below their carrying value. However, we currently do not expect to sell any of these vessels, or otherwise dispose of them, significantly before the end of their estimated useful life.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While we believe that the assumptions used to evaluate potential impairment are reasonable and appropriate, such assumptions are highly subjective. There can be no assurance as to how long charter rates and vessel values will remain at their current low levels or whether they will improve by any significant degree. Charter rates may remain at depressed levels for some time which could adversely affect our revenue and profitability after the expiry of existing charters, and future assessments of vessel impairment.</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Although we intend to continue to hold and operate our vessels, the following table presents information with respect to the carrying value of our vessels and indicates whether their estimated market values based on the internal discounted cash flow analysis are below their carrying values as of December 31, 2012. The carrying value of each of the vessels does not necessarily represent its fair market value or the amount that could be obtained if the vessel were sold. Our estimates of market values assume that the vessels are all in good and seaworthy condition without need for repair and, if inspected, would be certified as being in class without recommendations of any kind. Our estimates also assume that our vessels will be employed under the existing charters until expiry and are re-chartered thereafter. In addition, because vessel values are highly volatile, these estimates may not be indicative of either the current or future prices that we could achieve if we were to sell any of the vessels. We would not record an impairment for any of the vessels for which the market value based on discounted cash flows is below its carrying value unless and until we either determine to sell the vessel for a loss or determine that the vessel’s carrying amount is not recoverable. We believe that the undiscounted cash flows over the estimated remaining useful lives for those vessels that may show estimated market values below their carrying values, exceed such vessels’ carrying values as of December 31, 2012, and accordingly have not recorded an impairment charge.</w:t>
      </w:r>
    </w:p>
    <w:p>
      <w:pPr>
        <w:spacing w:after="0" w:line="1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we obtain information from various industry and other sources, our estimates of market value are inherently uncertain. In addition, vessel values are highly volatile; as such, our estimates may not be indicative of the current or future market value of our vessels or prices that we could achieve if we were to sell them, with or without charters attached.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Capacity</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Purchase</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6360" w:type="dxa"/>
            <w:vAlign w:val="bottom"/>
            <w:vMerge w:val="restart"/>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in TEUs</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w:t>
            </w: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Price (2)</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Value (3)</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4"/>
                <w:szCs w:val="14"/>
                <w:color w:val="auto"/>
              </w:rPr>
            </w:pPr>
          </w:p>
        </w:tc>
        <w:tc>
          <w:tcPr>
            <w:tcW w:w="8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Built</w:t>
            </w:r>
          </w:p>
        </w:tc>
        <w:tc>
          <w:tcPr>
            <w:tcW w:w="9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 millions</w:t>
            </w:r>
          </w:p>
        </w:tc>
        <w:tc>
          <w:tcPr>
            <w:tcW w:w="6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9"/>
              </w:rPr>
              <w:t>$ millions</w:t>
            </w:r>
          </w:p>
        </w:tc>
        <w:tc>
          <w:tcPr>
            <w:tcW w:w="0" w:type="dxa"/>
            <w:vAlign w:val="bottom"/>
          </w:tcPr>
          <w:p>
            <w:pPr>
              <w:spacing w:after="0"/>
              <w:rPr>
                <w:sz w:val="1"/>
                <w:szCs w:val="1"/>
                <w:color w:val="auto"/>
              </w:rPr>
            </w:pPr>
          </w:p>
        </w:tc>
      </w:tr>
      <w:tr>
        <w:trPr>
          <w:trHeight w:val="203"/>
        </w:trPr>
        <w:tc>
          <w:tcPr>
            <w:tcW w:w="7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 *</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1997</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Ville d’Aquarius *</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4,113</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2,262</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2,262</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 *</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2,207</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Julie Delmas *</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2,207</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 *</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2,207</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Marie Delmas *</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2,207</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 *</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2,272</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CMA CGM Manet *</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2,272</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5,089</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5,089</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11,040</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CMA CGM Jamaica *</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4,298</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 *</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4,045</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CMA CGM America *</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4,045</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6,621</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1,010.</w:t>
            </w:r>
            <w:r>
              <w:rPr>
                <w:rFonts w:ascii="Arial" w:cs="Arial" w:eastAsia="Arial" w:hAnsi="Arial"/>
                <w:sz w:val="18"/>
                <w:szCs w:val="18"/>
                <w:u w:val="single" w:color="auto"/>
                <w:color w:val="auto"/>
                <w:w w:val="93"/>
              </w:rPr>
              <w:t>0</w:t>
            </w:r>
          </w:p>
        </w:tc>
        <w:tc>
          <w:tcPr>
            <w:tcW w:w="3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Purchase price includes an element allocated to a drydock component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unamortized drydocking costs</w:t>
      </w:r>
    </w:p>
    <w:p>
      <w:pPr>
        <w:spacing w:after="0" w:line="205" w:lineRule="exact"/>
        <w:rPr>
          <w:sz w:val="20"/>
          <w:szCs w:val="20"/>
          <w:color w:val="auto"/>
        </w:rPr>
      </w:pPr>
    </w:p>
    <w:p>
      <w:pPr>
        <w:ind w:left="220" w:right="80" w:hanging="212"/>
        <w:spacing w:after="0" w:line="259" w:lineRule="auto"/>
        <w:tabs>
          <w:tab w:leader="none" w:pos="2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Indicates vessels for which we believe, as of December 31, 2012, the market value based on discounted future cash flows was lower than the vessel’s carrying value. We believe that the aggregate carrying value of these vessels exceeds their aggregate market value based on discounted cash flows by approximately $72.4 million at December 31,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Purchase price consists of the contract price and any material expenses incurred upon acquisition, initial repairs, improvements and delivery expenses, interest and on-site supervision costs incurred during the construction periods, where relevant. An element of the purchase price is allocated to a drydock component.</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 to the date of the Merger, vessels were recorded in the financial statements at their purchase price, less an amount allocated to a drydock component and less accumulated depreciation. Vessels owned at the date of the Merger were subsequently recorded at their fair value at the date of the Merger, less a proportion of the negative goodwill arising at the time of the Merger allocated to these vessels and less accumulated depreciation. Vessels purchased subsequent to the Merger are stated at purchase price, which consists of the contract price and any material expenses incurred upon acquisition (initial repairs, improvements and delivery expenses, interest and on-site supervision costs incurred during the construction periods and drydock component, where relevant). Expenditures for conversions and major improvements are also capitalized when they appreciably extend the life, increase the earning capacity or improve the efficiency or safety of the vessels.</w:t>
      </w:r>
    </w:p>
    <w:p>
      <w:pPr>
        <w:spacing w:after="0" w:line="14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Costs directly associated with the required regulatory inspection of each vessel, its hull and its machinery and for the defouling and repainting of the hull (“drydocking”) are capitalized as they are incurred and are depreciated on a straight line basis over the period between drydocks, which is typically five years. Upon initial purchase, an element of the cost of a vessel is allocated to a drydock component which is amortized on a straight line basis to the anticipated next drydocking date. We depreciate our vessels based on a straight line basis over the expected useful life of each vessel, which is 30 years from the date of their initial delivery from the shipyard, which we believe is within industry standards and represents the most reasonable useful life for each of our vessels. Depreciation is based on the cost (or fair value, where relevant) of the vessel less its estimated residual value. The drydock component is amortized on a straight line basis to the anticipated next drydocking date.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review for impairment long-lived assets held and used whenever events or changes in circumstances indicate that the carrying amount of the assets may not be recoverable. In this respect, we review our fleet for impairment on a vessel by vessel basis. When the estimate of undiscounted projected net operating cash flows, excluding interest charges, expected to be generated by the use of the vessel is less than its carrying amount, we evaluate the vessel for impairment loss. The impairment loss is determined as the difference between the carrying amount of the vessel and the fair value of the vessel. Fair value is the net present value of future cash flows discounted by an appropriate discount 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vessel purchase options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November 2010, in relation to the agreements made in September 2008 to purchase two 4,250 TEU vessels from German interests in the fourth quarter of 2010, we entered into agreements that terminated our purchase obligations and provided us with options to acquire these two vessels one year later in December 2011 and January 2012 – See Item 4.B. “Information on the Company – Business Overview”. The total consideration to terminate our previous purchase obligations and secure the options amounted to $29.4 million for the two vessels.</w:t>
      </w:r>
    </w:p>
    <w:p>
      <w:pPr>
        <w:spacing w:after="0" w:line="14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this context, in accordance with ASC 350 “Intangibles—Goodwill and Other” we recognized an intangible asset amounting to $13.6 million corresponding to the estimated fair value of the vessel purchase options obtained. The fair value of these purchase options was determined based on the estimated charter-attached market value of these vessels assessed by independent broker valuations and management’s analysis of the favorable attached charter compared to actual market conditions.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excess of the consideration transferred or paid on the transaction date reflecting the cancellation of the purchase obligation was recorded as an expense under the line item “Impairment charge” for an amount of $17.1 million.</w:t>
      </w:r>
    </w:p>
    <w:p>
      <w:pPr>
        <w:spacing w:after="0" w:line="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purchase options were to be exercised by September 16, 2011 for one vessel and October 4, 2011 for the other vessel. The purchase of these vessels was always predicated on achieving a strong return for shareholders by acquiring the vessels at an attractive price and with financing on favorable terms. As we considered it unlikely that we would be able to obtain committed finance on acceptable terms before the expiry of the options, the intangible assets totaling $13.6 million relating to these options were written off in the second quarter 2011. Both purchase options were allowed to expire.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Drydocking</w:t>
      </w:r>
    </w:p>
    <w:p>
      <w:pPr>
        <w:spacing w:after="0" w:line="90"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Our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There were six completed drydockings in 2012, one of which commenced late December 2011, for a total estimated cost of $7.1 million and a loss of revenue of $2.2 million. In 2011, six drydockings were completed for a total cost of $7.8 million and a loss of revenue from offhire of $2.1 million. There were no drydockings in 2010, two in 2009 for a total cost of $1.7 million and one in 2008 for a total cost of $1.5 million. We expect that three vessels will complete drydocking in 2013, one of which commenced late December 2012, two in 2014 and none in 2015.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our credit facility and as part of overall risk management, we have entered into interest rate swap agreements to reduce our exposure to cash flow risks from floating interest rates. See Item 11. “Quantitative and Qualitative Disclosure About Market Risk—Interest Rate Risk” for more information about our interest rate swap agreements. The swaps are not accounted for as hedging instruments as they have not been designated as such and are not effective in mitigating the risks of changes in interest rates under U.S. GAAP. As such swaps are not accounted for as hedging instruments, we recognize them on our balance sheet at fair value with the non-cash changes in the fair value of these derivative instruments (mark to market adjustment) recognized in the statement of income. We will not hold or issue derivative financial instruments for trading or other speculative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awarded restricted stock units to certain of our employees . Grants made before 2011, vested, based on service conditions only, over a period of time up to three years from the grant date. For grants made from 2011, stock awards vest, generally when the employee leaves service, provided this is after three years from the grant date. In addition, a portion of the base compensation paid to the directors (20% for 2012, 2011 and 2010 and 50% for 2009 and for 2008 (from their appointment)) was in the form of restricted stock units which vest, based on service conditions only, annually in arrears.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Management does not believe that there are recently issued, but not yet effective accounting pronouncements, which if currently adopted, would have a material impact 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revenue reflects income under the fixed rate time charters in effect and was $153.2 million for the year ended December 31, 2012 compared to $156.3 million for the year ended December 31, 2011. The 2% reduction in revenue is due mainly to lower charter rates in effect from September 21, 2012 and September 20, 2012 respectively for two vessels on the commencement of new charters at $9,962 per day per vessel, compared to $28,500 per day per vessel previously. There were 82 days offhire associated with six vessels being drydocked in 2012, compared to 95 days for drydocking in 2011. Unplanned offhire for 2012 was 16 days compared to 11 in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operating expenses totaled $91.4 million for the year ended December 31, 2012 (or 60% of operating revenue) compared to $106.3 million for the year ended December 31, 2011 (or 68% of operating revenue). Operating expenses for the year ended December 31, 2011 included $13.6 million impairment charge. Excluding this, operating expenses were 59% of revenue.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90" w:lineRule="exact"/>
        <w:rPr>
          <w:sz w:val="20"/>
          <w:szCs w:val="20"/>
          <w:color w:val="auto"/>
        </w:rPr>
      </w:pPr>
    </w:p>
    <w:p>
      <w:pPr>
        <w:ind w:left="900" w:right="4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Vessel expenses: </w:t>
      </w:r>
      <w:r>
        <w:rPr>
          <w:rFonts w:ascii="Arial" w:cs="Arial" w:eastAsia="Arial" w:hAnsi="Arial"/>
          <w:sz w:val="18"/>
          <w:szCs w:val="18"/>
          <w:color w:val="auto"/>
        </w:rPr>
        <w:t>Vessel expenses, which relate to the operation of the vessels themselves, were $45.6 million for 2012 (or 30% of operating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or an average of $7,327 per day compared to $45.5 million for 2011 (or 29% of operating revenue) or an average of $7,336 per day. The decrease in daily cost was $9 per day.</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With a stable fleet, depreciation was $40.3 million for 2012 (or 26% of operating revenue) up $0.2 million from $40.1 million (or 26%</w:t>
      </w:r>
      <w:r>
        <w:rPr>
          <w:rFonts w:ascii="Arial" w:cs="Arial" w:eastAsia="Arial" w:hAnsi="Arial"/>
          <w:sz w:val="18"/>
          <w:szCs w:val="18"/>
          <w:i w:val="1"/>
          <w:iCs w:val="1"/>
          <w:color w:val="auto"/>
        </w:rPr>
        <w:t xml:space="preserve"> </w:t>
      </w:r>
      <w:r>
        <w:rPr>
          <w:rFonts w:ascii="Arial" w:cs="Arial" w:eastAsia="Arial" w:hAnsi="Arial"/>
          <w:sz w:val="18"/>
          <w:szCs w:val="18"/>
          <w:color w:val="auto"/>
        </w:rPr>
        <w:t>of operating revenue) in 2011.</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 2012 were $5.8 million (or 4% of operating revenue) compared to $7.4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2011 (or 5% of operating revenue) mainly due to reduced professional fees for legal and consulting services.</w:t>
      </w:r>
    </w:p>
    <w:p>
      <w:pPr>
        <w:spacing w:after="0" w:line="4"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Impairment charge in 2011: </w:t>
      </w:r>
      <w:r>
        <w:rPr>
          <w:rFonts w:ascii="Arial" w:cs="Arial" w:eastAsia="Arial" w:hAnsi="Arial"/>
          <w:sz w:val="16"/>
          <w:szCs w:val="16"/>
          <w:color w:val="auto"/>
        </w:rPr>
        <w:t>On November 8, 2010, we signed agreements with the sellers of two 4,250 TEU container vessels which terminated our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obligations which totaled $154.8 million. Under the agreements, we (i) released deposits, including accrued interest and totaling approximately $8.1 million per vessel, to the sellers, (ii) made a further cash payment of approximately $6.1 million per vessel and (iii) transferred to the sellers certain supplies purchased for the vessels which were valued at approximately $0.5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Each purchase option was to be exercised no later than 270 days after the delivery of the vessel by the builder to the seller, which was expected to be in December 2010 for both vessels.</w:t>
      </w:r>
    </w:p>
    <w:p>
      <w:pPr>
        <w:spacing w:after="0" w:line="37"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purchase of these vessels was always predicated on achieving a strong return for shareholders by acquiring the vessels, which had time charters attached, at an attractive price and with financing on favorable terms. As we considered it unlikely that we would be able to obtain committed finance on acceptable terms before the expiry of the options on September 16, 2011 for one vessel and October 4, 2011 for the other, intangible assets totaling $13.6 million (or 9% of operating revenue) relating to these options were written off in the second quarter 2011. Both purchase options were allowed to expire.</w:t>
      </w:r>
    </w:p>
    <w:p>
      <w:pPr>
        <w:spacing w:after="0" w:line="62" w:lineRule="exact"/>
        <w:rPr>
          <w:sz w:val="20"/>
          <w:szCs w:val="20"/>
          <w:color w:val="auto"/>
        </w:rPr>
      </w:pPr>
    </w:p>
    <w:p>
      <w:pPr>
        <w:ind w:left="900" w:right="22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was $0.3 million in 2012 the same as in 2011. Other operating income related to the time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is miscellaneous revenue mainly from carrying passengers and sundry recharges under the time charters.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As a consequence of all preceding items, operating income was $61.8 million (or40% of operating revenue) in 2012 compared to $49.9 million (or 32% of operating revenue) in 2011. Operating income for 2011 before the impairment charge was $63.5 million (or 41% of operating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held by us in 2012 was $0.1 million, the same as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was $21.2 million (or 14% of operating revenue) in 2012. Borrowings under our credit facility together with the preferred shares averaged $509.6 million during the year. Interest expense in 2011 was $20.6 million (or 13% of operating revenue), based on average borrowings including the preferred shares of $562.8 million in the year. The applicable margin for 2012 was higher at between 3.50% and 3.75% under the terms of the waivers from the leverage ratio test. In 2011, the margin was between 3.00% and 3.50% as for approximately six months of the year, we were in compliance with the leverage ratio test.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2008, we entered into derivative interest rate agreements to fix the interest rate on debt drawn or anticipated to be drawn under our credit facility. A total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$580.0 million of anticipated core debt was swapped into fixed rate debt at a weighted average rate of 3.59%. Of the notional amount of $580.0 million, $535.0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the swaps were effective by December 31, 2009 and the balance of $45.0 million becoming effective in October 2010 consistent with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purchases of further vessels. $253.0 million of the swap agreements expired in March 2013, leaving a notional amount of $327.0 million outstanding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expire in November 2013, $41.0 million expire in August 2014, $45.0 million expire in October 2015 with the remaining $191.0 million expiring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2016.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None of the interest rate agreements qualified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consolidated statement of cash flows. Realized gains or losses from interest rate derivatives are recognized in the statement of income concurrent with cash settlements. In addition, the interest rate derivatives are “marked to market” each reporting period to determine the fair values which generate unrealized non-cash gains or losses.</w:t>
      </w:r>
    </w:p>
    <w:p>
      <w:pPr>
        <w:spacing w:after="0" w:line="10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U.S. $ LIBOR has remained low, the interest rate derivatives have been “out-of-the-money” and have shown realized losses, based on the difference between prevailing U.S. $ LIBOR and the average fixed rate of 3.59%. In 2012, the realized loss was 18.4 million (or 12% of operating revenue) compared to a realized loss of $19.4 million (or 12% of operating revenue) in 2011.</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Taken as a whole, the market experienced an upward movement in the U.S. $ LIBOR forward yield curve through 2012 compared to slight downward movements in 2011. Consequently our interest rate derivatives appreciated in value in 2012 by $9.7 million (or 6% of operating revenue) compared to a slight deterioration of $0.9 million (less than 1% of operating revenue) in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for 2012 were $0.1 million, the same as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consequence of all preceding items the net income was $31.9 million for 2012 compared to net income of $9.1 million for 2011. The improved performance in 2012 is explain mostly by there being no impairment charge—$13.6 million in 2011 – and an improvement of $8.9 million in the unrealized gain on interest rate derivatives.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Operating revenue reflects income under the fixed rate time charters in effect and was $156.3 million for the year ended December 31, 2011 compared to $158.8 million for the year ended December 31, 2010. The 2% reduction in revenue is due mainly to 95 days offhire associated with six vessels being drydocked in 2011, compared to no drydockings in 2010, and from 11 days unplanned offhire in 2011 compared to three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Total operating expenses totaled $106.3 million for the year ended December 31, 2011 (or 68% of operating revenue) compared to $107.1 million for the year ended December 31, 2010 (or 67% of operating revenue). Excluding $13.6 million impairment charge in 2011 operating expenses were 59% of revenue. Excluding $17.1 million impairment charge in 2010 operating expenses were 57%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90" w:lineRule="exact"/>
        <w:rPr>
          <w:sz w:val="20"/>
          <w:szCs w:val="20"/>
          <w:color w:val="auto"/>
        </w:rPr>
      </w:pPr>
    </w:p>
    <w:p>
      <w:pPr>
        <w:ind w:left="900" w:right="6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$45.5 million for 2011 (or 29% of operating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or an average of $7,336 per day compared to $42.1 million for 2010 (or 26% of operating revenue) or an average of $6,780 per day. The increase of $556 per day, or 8.2%, is mostly for increased crew wages, including an adverse effect from exchange rate movements, increased lubricating oil unit costs and for costs associated with drydockings that cannot be capitalized.</w:t>
      </w:r>
    </w:p>
    <w:p>
      <w:pPr>
        <w:spacing w:after="0" w:line="31"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With a stable fleet, depreciation was $40.1 million for 2011 (or 26% of operating revenue) the same as in 2010 (or 25% of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 2011 were $7.4 million (or 5% of operating revenue) compared to $8.3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2010 (or 5% of operating revenue).</w:t>
      </w:r>
    </w:p>
    <w:p>
      <w:pPr>
        <w:spacing w:after="0" w:line="5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Impairment charge: </w:t>
      </w:r>
      <w:r>
        <w:rPr>
          <w:rFonts w:ascii="Arial" w:cs="Arial" w:eastAsia="Arial" w:hAnsi="Arial"/>
          <w:sz w:val="16"/>
          <w:szCs w:val="16"/>
          <w:color w:val="auto"/>
        </w:rPr>
        <w:t>On November 8, 2010, we signed agreements with the sellers of two 4,250 TEU container vessels which terminated our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obligations which totaled $154.8 million. Under the agreements, we (i) released deposits, including accrued interest and totaling approximately $8.1 million per vessel, to the sellers, (ii) made a further cash payment of approximately $6.1 million per vessel and (iii) transferred to the sellers certain supplies purchased for the vessels which were valued at approximately $0.5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Each purchase option was to be exercised no later than 270 days after the delivery of the vessel by the builder to the seller, which was expected to be in December 2010 for both vessels.</w:t>
      </w:r>
    </w:p>
    <w:p>
      <w:pPr>
        <w:spacing w:after="0" w:line="37"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The purchase of these vessels was always predicated on achieving a strong return for shareholders by acquiring the vessels, which had time charters attached, at an attractive price and with financing on favorable terms. As we considered it unlikely that we would be able to obtain committed finance on acceptable terms before the expiry of the options on September 16, 2011 for one vessel and October 4, 2011 for the other, intangible assets totaling $13.6 million (or 9% of operating revenue) relating to these options were written off in the second quarter 2011. Both purchase options were allowed to expire.</w:t>
      </w:r>
    </w:p>
    <w:p>
      <w:pPr>
        <w:spacing w:after="0" w:line="62"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In 2010, an impairment charge totalling $17.1 million (or 11% of operating revenue) was recognised which was comprised of $15.5 million released deposits, $1.3 million capitalized interest and $0.3 million other predelivery capital expenditure for the newbuildings.</w:t>
      </w:r>
    </w:p>
    <w:p>
      <w:pPr>
        <w:spacing w:after="0" w:line="4" w:lineRule="exact"/>
        <w:rPr>
          <w:sz w:val="20"/>
          <w:szCs w:val="20"/>
          <w:color w:val="auto"/>
        </w:rPr>
      </w:pPr>
    </w:p>
    <w:p>
      <w:pPr>
        <w:ind w:left="900" w:right="14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was $0.3 million in 2011 compared to $0.4 million in 2010. Other operating income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charter business is miscellaneous revenue mainly from carrying passengers and sundry recharges under the time charters.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a consequence of all preceding items, operating income was $49.9 million (or 32% of operating revenue) in 2011 compared to $51.8 million (or 33% of operating revenue) in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held by us in 2011 was $0.1 million compared to $0.2 million for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was $20.6 million (or 13% of operating revenue) in 2011. Borrowings under our credit facility together with the preferred shares averaged $562.8 million during the year. Interest expense in 2010 was $23.8 million (or 15% of operating revenue), based on average borrowings including the preferred shares of $615.7 million in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2008, we entered into derivative interest rate agreements to fix the interest rate on debt drawn or anticipated to be drawn under our credit facility. A total of $580.0 million of anticipated core debt was swapped into fixed rate debt at an average rate of 3.59%. Of the notional amount of $580.0 million, $535.0 million of the swaps were effective by December 31, 2009 and the balance of $45.0 million becoming effective in October 2010 consistent with anticipated purchases of further vessels. $253.0 million of the swap agreements expired in March 2013, $50.0 million expire in November 2013, $41.0 million expire in August 2014, $45.0 million expire in October 2015 with the remaining $191.0 million expiring in December 2016.</w:t>
      </w:r>
    </w:p>
    <w:p>
      <w:pPr>
        <w:spacing w:after="0" w:line="1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None of the interest rate agreements qualified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consolidated statement of cash flows. Realized gains or losses from interest rate derivatives are recognized in the statement of income concurrent with cash settlements. In addition, the interest rate derivatives are “marked to market” each reporting period to determine the fair values which generate unrealized non-cash gains or losses.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U.S. $ LIBOR has remained low, the interest rate derivatives have been “out-of-the-money” and have shown realized losses, based on the difference between prevailing U.S. $ LIBOR and the weighted average fixed rate of 3.59%. In 2011, the realized loss was $19.4 million (or 12% of operating revenue) compared to $16.7 million (or 10% of operating revenue) in 2010.</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Taken as a whole, the market experienced a slight downward movement in the U.S. $ LIBOR forward yield curve through 2011 with more substantial downward movements in 2010, and consequently the Company’s interest rate derivatives depreciated in value slightly in 2011 and more significantly in 2010. For the year ended December 31, 2011 the unrealized loss from derivative hedging instruments was $0.9 million (less than 1% of operating revenue) compared to an unrealized loss of 15.3 million in 2010 (or 10% of operating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for 2011 were $0.1 million, the same as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of all preceding items, net income was $9.1 million for 2011 compared to a net loss of $4.0 million for 2010.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working capital and dividends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net cash flow from operating activities derives from revenue received under our charter contracts, which varies directly with the number of vessels under charter, days on-hire and charter rates, less operating expenses including insurance premiums, general and administrative expenses, interest and other financing costs including the settlement of interest rate derivatives. In addition, each of our vessels is subject to a drydock every five years. The average cost of the six drydockings completed in 2012 was $1.2 million with an average loss of revenue of $0.4 million whilst the relevant vessel was offhire. Three vessels are scheduled to complete drydockings in 2013, two in 2014 and none in 2015. We have included a schedule of the next anticipated drydocking date for each of our vessels in Item 4.B. “Business Overview</w:t>
      </w:r>
      <w:r>
        <w:rPr>
          <w:rFonts w:ascii="Arial" w:cs="Arial" w:eastAsia="Arial" w:hAnsi="Arial"/>
          <w:sz w:val="16"/>
          <w:szCs w:val="16"/>
          <w:b w:val="1"/>
          <w:bCs w:val="1"/>
          <w:color w:val="auto"/>
        </w:rPr>
        <w:t>—</w:t>
      </w:r>
      <w:r>
        <w:rPr>
          <w:rFonts w:ascii="Arial" w:cs="Arial" w:eastAsia="Arial" w:hAnsi="Arial"/>
          <w:sz w:val="16"/>
          <w:szCs w:val="16"/>
          <w:color w:val="auto"/>
        </w:rPr>
        <w:t>Inspection by Classification Societies.”</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Further, under the Credit Facility Waiver agreed with our lenders on November 9, 2012, the credit facility will be repaid quarterly commencing December 31, 2012 with free cash in excess of $20.0 million determined as of the previous month end subject to a minimum $40.0 million prepayment per rolling four-quarter basis as long as the leverage ratio is, or is deemed to be, over 75%. When the leverage ratio becomes 75% or less, scheduled repayments will be set at $10.0 million per quarter. The next scheduled test of the leverage ratio is not until December 1, 2014</w:t>
      </w:r>
      <w:r>
        <w:rPr>
          <w:rFonts w:ascii="Arial" w:cs="Arial" w:eastAsia="Arial" w:hAnsi="Arial"/>
          <w:sz w:val="16"/>
          <w:szCs w:val="16"/>
          <w:b w:val="1"/>
          <w:bCs w:val="1"/>
          <w:color w:val="auto"/>
        </w:rPr>
        <w:t>.</w:t>
      </w:r>
      <w:r>
        <w:rPr>
          <w:rFonts w:ascii="Arial" w:cs="Arial" w:eastAsia="Arial" w:hAnsi="Arial"/>
          <w:sz w:val="16"/>
          <w:szCs w:val="16"/>
          <w:color w:val="auto"/>
        </w:rPr>
        <w:t xml:space="preserve"> Due to there being no test of the leverage ratio within 12 months from the balance sheet date and thus no possibility that the debt could be accelerated due to not passing the leverage ratio in this time, the relevant portion of debt has been shown as current. Based on our contractual arrangements, we expect that our operating cash flow will be reasonably predictable and stable and will be sufficient, together with retained cash, to fund our day to day working capital requirements, although we can provide no assurances (see Item 3.D. “Key Information—Risk Factors – Risks Related to our Business – We are highly dependent on charter payments from CMA CGM”).</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Waiver provides that we may not declare or pay common dividends until the leverage ratio under the credit facility is no more than 75%.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Routine requirements of the business may also limit our ability to pay a dividend.</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no capital commitments and no undrawn, committed financings. Therefore, we will require new credit facilities and/or other additional capital to effect vessel acquisitions.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other longer term liquidity requirements include repaying the remaining principal balance of our credit facility at the final maturity date of August 14, 2016. Further, the $45.0 million Preferred Shares are mandatorily redeemable at par by quarterly installments of approximately $4.0 million commencing August 31, 2016.</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funds generated by the business and retained, we are likely to require new borrowings, issuances of equity or other securities, or a combination of the former and the latter to purchase additional vessels and will likely require such further funding to meet all of our repayment obligations under the credit facility.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2012 our operating activities were comprised entirely of the chartering out of our vessels under time charters.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provided by operating activities was $83.7 million in 2012 reflecting mainly net income of $31.9 million, depreciation of $40.3 million, amortization of deferred charges $1.3 million, , settlement of hedges which do not qualify for hedge accounting $18.4 million, share based compensation $0.5 million and increase in payables $4.0 million less change in fair value of derivatives $9.7 million, amortization of intangible liability $2.1 million and increase in receivables $0.8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cash settlement of interest rate derivatives was $18.4 million and $5.9 million was paid for drydockings.</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Total repayments of $57.9 million were made in respect of the credit facility during 2012 and $1.1 million was paid in respect of obtaining on November 9, 2012 the waiver of the requirement to perform the leverage ratio test until December 1, 2014. $3.0 million of the preferred shares were redeemed using $3.0 million of restricted cash for which the sole use is to redeem these preferred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net increase in cash and cash equivalents during 2012 was $0.3 million resulting in closing cash of $26.1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2011 our operating activities were comprised entirely of the chartering out of our vessels under time charters.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was $74.9 million in 2011 reflecting mainly net income of $9.1 million, depreciation of $40.1 million, impairment charge $13.6 million, amortization of deferred charges $1.1 million, change in fair value of derivatives $0.9 million, settlement of hedges which do not qualify for hedge accounting $19.4 million, share based compensation $0.6 million less amortization of intangible liability $2.1 million, increase in receivables $7.0 million and decrease in payables $0.8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cash settlement of interest rate derivatives was $19.4 million and $7.7 million was paid for drydockings.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repayments of $49.2 million were made in respect of the credit facility during 2011 and $1.0 million was paid in respect of obtaining on November 30, 2011 the waiver of the requirement to perform the leverage ratio test until November 30,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net decrease in cash and cash equivalents during 2011 was $2.5 million resulting in closing cash of $25.8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Facility</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senior secured credit facility with ABN AMRO Bank N.V. (also the “Agent”), Citibank Global Markets Limited, HSH Nordbank AG, Sumitomo Mitsui Banking Corporation, Brussels Branch, KFW Ipex GmbH, DnB NOR Bank ASA and Bank of Scotland plc until October 2012, when it transferred its exposure to OCM Starfish Debtco S.àr.l. Further, in February 2013, one member of the syndicate novated part of their commitment to FPA Hawkeye-7 Fund, FPA Crescent Fund, FPA Hawkeye Fund and FPA Value Partners Fund. which we refer to as our credit facility. We drew funds under our credit facility to finance in part the purchase of our vessels from CMA CGM. All of our vessel owning subsidiaries and our service company are borrowers and guarantors jointly and severally guaranteeing our obligations under the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was entered into in 2007 and was originally an $800 million revolving facility, non amortizing for five years and with a term of eight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Due to the possibility that we would exceed the maximum permitted leverage ratio under the credit facility as a result of the declines in market values of our vessels from mid 2008 due to adverse market conditions, our lenders agreed to enter into an Amendment and Restatement Agreement to the Credit Facility, dated August 20, 2009 (the Credit Facility Amendment) whereby, effective as of August 20, 2009, the credit facility effectively became an amortizing term loan of approximately $600 million with an unchanged final maturity date of August 14, 2016. Under the Credit Facility Amendment, prepayments were accelerated and the undrawn portion of the credit facility amounting to approximately $200 million was cancelled. Consequently, there is no undrawn capacity under the credit facility.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Credit Facility Amendment, the maximum 75% leverage ratio would not apply until the leverage ratio was first tested after the expiration of the waiver period which was up to and including November 30, 2010. Consequently the first such test was scheduled to be as of April 30, 2011. Commencing June 30, 2010 the credit facility was repaid quarterly in an amount equal to free cash in excess of $20.0 million determined as at the previous month end subject to a minimum of $40.0 million repayment a year on a rolling 12 month trailing basis as long as the leverage ratio is, or is deemed to be, over 75%. When the leverage ratio becomes 75% or less, scheduled repayments would be fixed at $10.0 million per quarter. In addition, the fixed interest margin to be paid over LIBOR was agreed to be 3.50% during the waiver period.</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we agreed that we would not declare or pay any dividends to common shareholders during the waiver period or thereafter unless the leverage ratio is 75% or below.</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the Credit Facility Amendment, CMA CGM agreed to defer the redemption of the $48.0 million preferred shares until after the final maturity of the credit facility which remains August 14,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Ratio and Credit Facility Waivers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leverage ratio was tested as at April 30, 2011, when it was 75% or less. Consequently repayments of the credit facility became set at $10.0 million per quarter and the fixed interest margin to be paid over LIBOR reduced to 3.00%,.</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anticipation of the scheduled test of the leverage ratio as at November 30, 2011 when we expected that it would be between 75% and 90% due to declines in market values of our vessels, we agreed with our lenders to waive the requirement to perform the leverage ratio test until November 30, 2012. Under the terms of the waiver, the fixed interest margin to be paid over LIBOR increased to 3.50%, prepayments are required to be made quarterly based on cash flow as described above and dividends on common shares cannot be paid. We expected that the leverage ratio, if tested at November 30, 2012, would exceed 75% due to continuing depressed market conditions and accordingly, on November 9, 2012, we agreed a further Credit Facility Waiver with our lenders to waive the requirement to perform the leverage ratio test until December 1, 2014. Under the terms of the further waiver, the fixed interest margin to be paid over LIBOR increased to 3.75%, prepayments are required to be made quarterly based on cash flow as described above and dividends on common shares cannot be paid.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our credit facility, net of surplus cash held in the retention account, to the aggregate charter-free market value of the vessels securing the credit facility plus the value of any other security held by the lenders.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If no current valuations are available at the relevant time, the leverage ratio will be assumed to be over 100%. Set forth below is the margin that applies for the relevant leverage ratio once the fixed margin period inherent in the Credit Facility Waiver expires.</w:t>
      </w:r>
    </w:p>
    <w:p>
      <w:pPr>
        <w:spacing w:after="0" w:line="15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Leverage Ratio</w:t>
            </w:r>
          </w:p>
        </w:tc>
        <w:tc>
          <w:tcPr>
            <w:tcW w:w="3620" w:type="dxa"/>
            <w:vAlign w:val="bottom"/>
          </w:tcPr>
          <w:p>
            <w:pPr>
              <w:spacing w:after="0"/>
              <w:rPr>
                <w:sz w:val="14"/>
                <w:szCs w:val="14"/>
                <w:color w:val="auto"/>
              </w:rPr>
            </w:pPr>
          </w:p>
        </w:tc>
        <w:tc>
          <w:tcPr>
            <w:tcW w:w="3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Up to 65%</w:t>
            </w:r>
          </w:p>
        </w:tc>
        <w:tc>
          <w:tcPr>
            <w:tcW w:w="25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Greater than 65% up to 75%</w:t>
            </w:r>
          </w:p>
        </w:tc>
        <w:tc>
          <w:tcPr>
            <w:tcW w:w="320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3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continuance of any principal or interest default, the margin on the overdue amounts increases by 2% per annum. Pursuant to the terms of the credit facility, we must hedge at least 50% of the amounts outstanding under the credit facility. Prior to the Merger, we entered into interest rate derivatives to swap the majority of the amounts anticipated to be outstanding under the credit facility from floating rate to fixed 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Until undrawn commitments were cancelled pursuant to the Credit Facility Amendment, we paid a commitment fee of 0.50% per annum on the undrawn portion of the credit facility. We are responsible for the duly justified costs properly incurred in connection with the maintenance of the credit facility.</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are permitted to make voluntary early prepayments that can reduce subsequent prepayment obligations. Any amount outstanding under the credit facility at the final maturity date on August 14, 2016 must be repaid in one installment.</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See Item 4.B. “Business Overview—Credit Facility” for further details on our credit facility, including a description of the security provided, covenants and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Utilization of the credit facility</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financed the purchase of 10 secondhand vessels in December 2007 with $213.1 million of borrowings under the credit facility and drawings of $171.9 million under a shareholder loan made between us and CMA CGM. In addition, we drew approximately $5.0 million under the shareholder loan to pay lenders’ fees and expenses in connection with the credit facility, bringing the total borrowings under the shareholder loan to $176.9 million. Prior to December 31, 2007, we drew a further $188.0 million under the credit facility, which was placed on restricted cash deposit, in order to pay for the two newly built vessels of our initial fleet purchased in January 2008. Total drawings under the credit facility as of December 31, 2007 were $401.1 million. The shareholder loan of $176.9 million was cancelled on the closing of the Merger and $115.0 million of the drawings under the credit facility were prepaid.</w:t>
      </w:r>
    </w:p>
    <w:p>
      <w:pPr>
        <w:spacing w:after="0" w:line="12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Pursuant to the Merger, $99.0 million of the total $355.0 million purchase price of the four vessels acquired in December 2008 was prepaid by the issuance of 12,375,000 Class C common shares to CMA CGM. These shares converted to Class A common shares on January 1, 2009. The balance of the purchase price of $256.0 million was settled from further borrowings under the credit facility. As of December 31, 2008, total drawings under the credit facility were $542.1 million.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An additional $57.0 million was borrowed in August 2009 under the credit facility to purchase the </w:t>
      </w:r>
      <w:r>
        <w:rPr>
          <w:rFonts w:ascii="Arial" w:cs="Arial" w:eastAsia="Arial" w:hAnsi="Arial"/>
          <w:sz w:val="16"/>
          <w:szCs w:val="16"/>
          <w:i w:val="1"/>
          <w:iCs w:val="1"/>
          <w:color w:val="auto"/>
        </w:rPr>
        <w:t>CMA CGM Berlioz</w:t>
      </w:r>
      <w:r>
        <w:rPr>
          <w:rFonts w:ascii="Arial" w:cs="Arial" w:eastAsia="Arial" w:hAnsi="Arial"/>
          <w:sz w:val="16"/>
          <w:szCs w:val="16"/>
          <w:color w:val="auto"/>
        </w:rPr>
        <w:t>, the final ship to be purchased from CMA CGM, consisting of drawings of $42.0 million under the main credit facility and $15.0 million under a newly created Over Advance Portion. The $25.0 million balance of the purchase price of $82.0 million was met from available cash. In November 2009, $10.9 million of the Over Advance Portion was prepaid leaving a total balance outstanding on the credit facility of $588.2 million at December 31, 2009 of which $68.3 million was presented as due within one year.</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remaining balance of $4.1 million of the Over Advance Portion was prepaid in February 2010 and $51.3 million of the main facility was prepaid in the year leaving a remaining balance at December 31, 2010 of $532.8 million of which $44.5 million has been presented as due within one year.</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2011 $49.2 million of the credit facility was prepaid leaving a remaining balance at December 31, 2011 of $483.6 million of which $46.0 million has been presented as due within one year. A further $57.9 million of the credit facility was prepaid in 2012 leaving a balance of $425.7 million outstanding at December 31, 2012, of which $50.6 million has been presented as due within one year, being the amount of the estimated cash sweep for 2013, based on our reasonable estimate of cash flows for the year.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cancellation of the undrawn portion of the credit facility, alternate sources of financing are required for future vessel acquisitions (See Item 3.D.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Information—Risk Factors”).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dividends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net cash flows from operating activities corresponds directly with the number of vessels under charter, days on-hire, vessel charter rates, operating expenses, drydock costs, interest and other financing costs and general and administrative expenses. Pursuant to our ship management agreements, we have agreed to pay our ship manager an annual management fee of $114,000 per vessel and to reimburse it for operating costs it incurs on our behalf up to a quarterly cap pursuant to the global expense agreement (other than drydocking expenses and insurance premiums which will not be subject to the cap). Charterhire is payable by CMA CGM 15 days in advance and estimated ship management costs are payable monthly in advance. Although we can provide no assurances (see Item 3.D. “Key Information—Risk Factors – Risks Related to our Business – We are highly dependent on charter payments from CMA CGM”), we expect that our cash flow from our chartering arrangements will be sufficient to cover our ship management costs and fees, interest payments, and other financing costs under our credit facility, insurance premiums, vessel taxes, general and administrative expenses and other costs and any other working capital requirements for the short and medium term and planned drydocking expenses.</w:t>
      </w:r>
    </w:p>
    <w:p>
      <w:pPr>
        <w:spacing w:after="0" w:line="12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Credit Facility Amendment provides that we may not declare or pay common dividends unless the leverage ratio is no more than 75%. The Credit Facility Amendment also provides that the credit facility will be repaid quarterly commencing June 30, 2010 with free cash in excess of $20.0 million determined as of the previous month end subject to a minimum $40.0 million prepayment per rolling four-quarter basis as long as the leverage ratio is, or is deemed to be, over 75%. When the leverage ratio became 75% or less as at April 30, 2011, scheduled repayments were set at $10.0 million per quarter. Under the waivers of the requirement to perform the leverage ratio test, the credit facility is being repaid quarterly from December 31, 2011 with free cash in excess of $20.0 million determined as of the previous month end subject to a minimum $40.0 million prepayment per rolling four-quarter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Further, the $45.0 million Preferred Shares are mandatorily redeemable at par by quarterly installments of approximately $4.0 million commencing August 31, 2016.</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estimate that the average cost of the six drydockings completed in 2012 was approximately $1.2 million, with an average loss of revenue of $0.4 million from offhire. We have included a schedule of the next anticipated drydocking date for each of our vessels in the section of this Annual Report entitled Item 4.B. “Business Overview</w:t>
      </w:r>
      <w:r>
        <w:rPr>
          <w:rFonts w:ascii="Arial" w:cs="Arial" w:eastAsia="Arial" w:hAnsi="Arial"/>
          <w:sz w:val="18"/>
          <w:szCs w:val="18"/>
          <w:b w:val="1"/>
          <w:bCs w:val="1"/>
          <w:color w:val="auto"/>
        </w:rPr>
        <w:t>—</w:t>
      </w:r>
      <w:r>
        <w:rPr>
          <w:rFonts w:ascii="Arial" w:cs="Arial" w:eastAsia="Arial" w:hAnsi="Arial"/>
          <w:sz w:val="18"/>
          <w:szCs w:val="18"/>
          <w:color w:val="auto"/>
        </w:rPr>
        <w:t>Inspection by Classification Societies.”</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other liquidity requirements include repaying the remaining principal balance of our credit facility at the final maturity date in August 2016.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credit facility.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Trend Information</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Container shipping is a cyclical industry, with the demand for container shipping services driven by global trade. Between 1997 and 2007 containerized trade exhibited compound annual growth of approximately 10%, with a period of super-cyclical growth from 2002 to mid-2008 fuelled partly by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this trend continued through 2012, with year-on-year growth is estimated to have been between 3% and 4%.</w:t>
      </w:r>
    </w:p>
    <w:p>
      <w:pPr>
        <w:spacing w:after="0" w:line="116"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period of super-cyclical growth, combined with operators seeking economies of scale achievable with ever larger vessels, led to a significant orderbook of new containerships. In December, 2008 the orderbook was estimated to represent approximately 60% of existing global capacity measured in TEU. The global financial crisis and poor industry conditions have led to a much reduced level of ordering of new vessels and as at March, 2013, the orderbook stood at around 21% of existing capacity.</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Vessel newbuilding prices, second hand values and charter rates have tended to be closely correlated and are all strongly influenced by the dynamics of supply and demand. From 2003 through 2012, the average newbuilding price for a theoretical 3,500 TEU containership was around $50 million, with annualized average prices ranging between $36 million (2002) and $65 million (2008). During the same period, secondhand values for a 10 year old vessel of similar size averaged $35 million and ranged between $19 million (2009) and $48 million (2005). Meantime, spot market charter rates for such tonnage averaged about $22,200 per day and ranged between $6,400 (2009) and $38,000 (2005). As at March, 2013 prevailing spot market charter rates were around $6,900 per day, with newbuilding prices at approximately $35 million and second hand values at about $12 million.</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Liner operators’ results are also sensitive to the dynamics of supply and demand. Results were adversely affected in 2009, recovered significantly in 2010 and declined again in 2011. Commencing March, 2012 operators successfully implemented a series of General Rate Increases (GRIs) in a number of trades in order to improve financial performance. This trend continued through the year and helped to insulate liner companies’ financial results from challenging industry fundamentals.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combination of macroeconomic uncertainty, anticipated lower containerized demand growth and consequent excess supply in some vessel size segments is expected to keep vessel values and charter rates under some pressure in the near to medium term.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Off-Balance Sheet Arrangements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Except as described under Item 5.F. “Contractual Obligations” and Item 11. “Quantitative and Qualitative Disclosure About Market Risk”, we do not have any other transactions, obligations or relationships that could be considered material off-balance sheet arrangements.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Contractual Obligations</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contractual obligations presented below represent our estimates of future payments under fixed contractual obligations and commitments as of December 31, 2012. Changes in our business needs or in interest rates, as well as actions by third parties and other factors, may cause these estimates to change. These estimates are necessarily subjective and our actual payments in future periods are likely to vary from those presented in the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Less</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More</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than 1</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than 5</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40" w:type="dxa"/>
            <w:vAlign w:val="bottom"/>
            <w:gridSpan w:val="3"/>
            <w:vMerge w:val="continue"/>
          </w:tcPr>
          <w:p>
            <w:pPr>
              <w:spacing w:after="0"/>
              <w:rPr>
                <w:sz w:val="13"/>
                <w:szCs w:val="13"/>
                <w:color w:val="auto"/>
              </w:rPr>
            </w:pPr>
          </w:p>
        </w:tc>
        <w:tc>
          <w:tcPr>
            <w:tcW w:w="6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0"/>
              </w:rPr>
              <w:t>year</w:t>
            </w:r>
          </w:p>
        </w:tc>
        <w:tc>
          <w:tcPr>
            <w:tcW w:w="5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2"/>
              </w:rPr>
              <w:t>1-3 years</w:t>
            </w:r>
          </w:p>
        </w:tc>
        <w:tc>
          <w:tcPr>
            <w:tcW w:w="320" w:type="dxa"/>
            <w:vAlign w:val="bottom"/>
          </w:tcPr>
          <w:p>
            <w:pPr>
              <w:spacing w:after="0"/>
              <w:rPr>
                <w:sz w:val="13"/>
                <w:szCs w:val="13"/>
                <w:color w:val="auto"/>
              </w:rPr>
            </w:pPr>
          </w:p>
        </w:tc>
        <w:tc>
          <w:tcPr>
            <w:tcW w:w="8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2"/>
              </w:rPr>
              <w:t>3-5 years</w:t>
            </w:r>
          </w:p>
        </w:tc>
        <w:tc>
          <w:tcPr>
            <w:tcW w:w="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years</w:t>
            </w:r>
          </w:p>
        </w:tc>
        <w:tc>
          <w:tcPr>
            <w:tcW w:w="300" w:type="dxa"/>
            <w:vAlign w:val="bottom"/>
          </w:tcPr>
          <w:p>
            <w:pPr>
              <w:spacing w:after="0"/>
              <w:rPr>
                <w:sz w:val="13"/>
                <w:szCs w:val="13"/>
                <w:color w:val="auto"/>
              </w:rPr>
            </w:pPr>
          </w:p>
        </w:tc>
        <w:tc>
          <w:tcPr>
            <w:tcW w:w="5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jc w:val="right"/>
              <w:ind w:right="119"/>
              <w:spacing w:after="0" w:line="149" w:lineRule="exact"/>
              <w:rPr>
                <w:sz w:val="20"/>
                <w:szCs w:val="20"/>
                <w:color w:val="auto"/>
              </w:rPr>
            </w:pPr>
            <w:r>
              <w:rPr>
                <w:rFonts w:ascii="Arial" w:cs="Arial" w:eastAsia="Arial" w:hAnsi="Arial"/>
                <w:sz w:val="14"/>
                <w:szCs w:val="14"/>
                <w:b w:val="1"/>
                <w:bCs w:val="1"/>
                <w:color w:val="auto"/>
              </w:rPr>
              <w:t>(in millions of U.S. dollars)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debt obligations (1)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50.6</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282.7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spacing w:after="0"/>
              <w:rPr>
                <w:sz w:val="20"/>
                <w:szCs w:val="20"/>
                <w:color w:val="auto"/>
              </w:rPr>
            </w:pPr>
            <w:r>
              <w:rPr>
                <w:rFonts w:ascii="Arial" w:cs="Arial" w:eastAsia="Arial" w:hAnsi="Arial"/>
                <w:sz w:val="18"/>
                <w:szCs w:val="18"/>
                <w:color w:val="auto"/>
              </w:rPr>
              <w:t>Interest on long term debt obligations (1)(2)</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17.6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6.1</w:t>
            </w: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obligation under Interest Rate Swaps (3)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spacing w:after="0"/>
              <w:rPr>
                <w:sz w:val="20"/>
                <w:szCs w:val="20"/>
                <w:color w:val="auto"/>
              </w:rPr>
            </w:pPr>
            <w:r>
              <w:rPr>
                <w:rFonts w:ascii="Arial" w:cs="Arial" w:eastAsia="Arial" w:hAnsi="Arial"/>
                <w:sz w:val="18"/>
                <w:szCs w:val="18"/>
                <w:color w:val="auto"/>
              </w:rPr>
              <w:t>Ship management agreements (4)</w:t>
            </w: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Mandatorily Redeemable Preferred Shares and related interest (5)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81.8</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137.2</w:t>
            </w:r>
          </w:p>
        </w:tc>
        <w:tc>
          <w:tcPr>
            <w:tcW w:w="3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320.5</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the Credit Facility Waiver, the credit facility is being repaid quarterly until December 1, 2014 in an amount equal to free cash in excess of $20.0 million determined as at the previous month end subject to a minimum of $40.0 million repayment a year on a rolling 12 month trailing basis. Should the leverage ratio become 75% or less at the next test date of December 1, 2014, scheduled repayments will be set at $10.0 million per quarter. The above table is based on a leverage ratio of 75% or less as at December 1,, 2014.</w:t>
      </w:r>
    </w:p>
    <w:p>
      <w:pPr>
        <w:spacing w:after="0" w:line="1"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estimated contractual interest obligation has been calculated using an assumed all in interest rate of 4.25% being estimated LIBOR of 0.50% plus a spread of 3.75% being the margin set by the Credit Facility Waiver, up to December 1, 2014 then reduced to an assumed all in interest rate of 3.50% including a margin of 3.00% on the basis that the leverage ratio becomes 75% or less. The Credit Facility Amendment contemplates a continuation of a spread of 3.5% if the leverage ratio remains over 75%.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estimated net obligations under our interest rate swaps have been calculated using a LIBOR of 0.50%.</w:t>
      </w:r>
    </w:p>
    <w:p>
      <w:pPr>
        <w:spacing w:after="0" w:line="9"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Obligations under our ship management agreements include the management fee for two months for the notice period under all of our ship management contracts as they have been in place for more than three years based on an annual management fee of $114,000 per vessel. These obligations do not include any amount for the reimbursement of daily operating costs incurred by the ship manager on our behalf.</w:t>
      </w:r>
    </w:p>
    <w:p>
      <w:pPr>
        <w:spacing w:after="0" w:line="2" w:lineRule="exact"/>
        <w:rPr>
          <w:rFonts w:ascii="Arial" w:cs="Arial" w:eastAsia="Arial" w:hAnsi="Arial"/>
          <w:sz w:val="16"/>
          <w:szCs w:val="16"/>
          <w:color w:val="auto"/>
        </w:rPr>
      </w:pPr>
    </w:p>
    <w:p>
      <w:pPr>
        <w:ind w:left="460" w:right="20" w:hanging="452"/>
        <w:spacing w:after="0" w:line="323"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Preferred Shares are mandatorily redeemable at par by quarterly installments of approximately $4.0 million commencing August 31, 2016. The interest obligation has been determined using an all in rate of 2.50% being estimated LIBOR of 0.50% plus the contractual spread of 2.00%.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Directors and Senior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2012 are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5480" w:type="dxa"/>
            <w:vAlign w:val="bottom"/>
            <w:gridSpan w:val="2"/>
          </w:tcPr>
          <w:p>
            <w:pPr>
              <w:ind w:left="3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5700" w:type="dxa"/>
            <w:vAlign w:val="bottom"/>
            <w:gridSpan w:val="2"/>
          </w:tcPr>
          <w:p>
            <w:pPr>
              <w:spacing w:after="0" w:line="195" w:lineRule="exact"/>
              <w:rPr>
                <w:sz w:val="20"/>
                <w:szCs w:val="20"/>
                <w:color w:val="auto"/>
              </w:rPr>
            </w:pPr>
            <w:r>
              <w:rPr>
                <w:rFonts w:ascii="Arial" w:cs="Arial" w:eastAsia="Arial" w:hAnsi="Arial"/>
                <w:sz w:val="18"/>
                <w:szCs w:val="18"/>
                <w:color w:val="auto"/>
              </w:rPr>
              <w:t>Michael S. Gross</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Angus R. Frew</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Executive Officer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Susan J. Cook</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Commercial Officer</w:t>
            </w: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Vivek Puri</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Technical Officer</w:t>
            </w:r>
          </w:p>
        </w:tc>
      </w:tr>
    </w:tbl>
    <w:p>
      <w:pPr>
        <w:spacing w:after="0" w:line="15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Michael S. Gross. </w:t>
      </w:r>
      <w:r>
        <w:rPr>
          <w:rFonts w:ascii="Arial" w:cs="Arial" w:eastAsia="Arial" w:hAnsi="Arial"/>
          <w:sz w:val="16"/>
          <w:szCs w:val="16"/>
          <w:color w:val="auto"/>
        </w:rPr>
        <w:t>Mr. Gross has been a director since inception and was appointed Chairman in September 2008. Since December 2010, Mr., Gross has been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directors, Chief Executive Officer and President of Solar Senior Capital Ltd. Since December 2007, Mr. Gross has served as the Chairman and Chief Executive Officer of Solar Capital Ltd, a finance company focusing on debt and equity investments in leveraged companies. From July 2006 through approximately the first quarter 2009, Mr. Gross was a partner in Magnetar Capital Partners LP, the holding company for Magnetar Financial LLC. Mr. Gross was the Chairman, Chief Executive Officer, and Secretary of Marathon Acquisition Corp. from April 2006 to August 2008. Between February 2004 and February 2006, Mr. Gross was the President and Chief Executive Officer of Apollo Investment Corporation (“AIC”), a publicly traded business development company, and was the managing partner of Apollo Investment Management, L.P. (“AIM”), a leading private equity firm which he founded in 1990 and the investment adviser to AIC. From 1990 to February 2006, Mr. Gross was a senior partner at AIM. Mr. Gross currently serves on the boards of directors of Saks Incorporated and Jarden Corporation.</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Howard Boyd. </w:t>
      </w:r>
      <w:r>
        <w:rPr>
          <w:rFonts w:ascii="Arial" w:cs="Arial" w:eastAsia="Arial" w:hAnsi="Arial"/>
          <w:sz w:val="16"/>
          <w:szCs w:val="16"/>
          <w:color w:val="auto"/>
        </w:rPr>
        <w:t>Mr. Boyd has been a director since August 2008. In 1996, Mr. Boyd was named chief executive officer of Safmarine, a container liner operator</w:t>
      </w:r>
      <w:r>
        <w:rPr>
          <w:rFonts w:ascii="Arial" w:cs="Arial" w:eastAsia="Arial" w:hAnsi="Arial"/>
          <w:sz w:val="16"/>
          <w:szCs w:val="16"/>
          <w:b w:val="1"/>
          <w:bCs w:val="1"/>
          <w:color w:val="auto"/>
        </w:rPr>
        <w:t xml:space="preserve"> </w:t>
      </w:r>
      <w:r>
        <w:rPr>
          <w:rFonts w:ascii="Arial" w:cs="Arial" w:eastAsia="Arial" w:hAnsi="Arial"/>
          <w:sz w:val="16"/>
          <w:szCs w:val="16"/>
          <w:color w:val="auto"/>
        </w:rPr>
        <w:t>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Mr. Frew has been a director since August 2008. Mr. Frew has been chief executive of the British Chamber of Shipping since July 2009. He is</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to become the new Secretary General of BIMCO in October 2013. Mr. Frew was president and chief executive officer from 2003 until 2008 of GE SeaCo SRL, a joint venture between GE Capital and Sea Containers Ltd and one of the largest global container leasing companies. Mr. Frew was a director of the Institute of International Container Lessors from 2003 until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Mr. Morel has been a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March 8, 2013, Jeffrey Pribor stepped down as a Director of the Company in order to dedicate his time and attention to his new role at Jefferies &amp; Co. as Global Head of Maritime Investment Banking.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our Chief Executive Officer. From 1979 to 1996, Mr. Webber worked for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3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Susan J. Cook. </w:t>
      </w:r>
      <w:r>
        <w:rPr>
          <w:rFonts w:ascii="Arial" w:cs="Arial" w:eastAsia="Arial" w:hAnsi="Arial"/>
          <w:sz w:val="16"/>
          <w:szCs w:val="16"/>
          <w:color w:val="auto"/>
        </w:rPr>
        <w:t>Upon the completion of the Merger, Ms. Cook became our Chief Financial Officer. From 1986 to 2006, Ms. Cook worked for The Peninsular and</w:t>
      </w:r>
      <w:r>
        <w:rPr>
          <w:rFonts w:ascii="Arial" w:cs="Arial" w:eastAsia="Arial" w:hAnsi="Arial"/>
          <w:sz w:val="16"/>
          <w:szCs w:val="16"/>
          <w:b w:val="1"/>
          <w:bCs w:val="1"/>
          <w:color w:val="auto"/>
        </w:rPr>
        <w:t xml:space="preserve"> </w:t>
      </w:r>
      <w:r>
        <w:rPr>
          <w:rFonts w:ascii="Arial" w:cs="Arial" w:eastAsia="Arial" w:hAnsi="Arial"/>
          <w:sz w:val="16"/>
          <w:szCs w:val="16"/>
          <w:color w:val="auto"/>
        </w:rPr>
        <w:t>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Upon the completion of the Merger, Mr. Lister became our Chief Commercial Officer. From 2005 until 2007, Mr. Lister was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at DVB Group Merchant Bank (Asia) Ltd, responsible for developing DVB’s Singapore ship fund and leasing project. Before that, from 2004 to 2005, he worked for the German KG financier and ship owning group Nordcapital as Director of Business Development. From 1991 to 2002, Mr. Lister worked for a number of shipping companies in both South America and the United States. Mr. Lister graduated from Durham University and holds an MBA from INSEAD.</w:t>
      </w:r>
    </w:p>
    <w:p>
      <w:pPr>
        <w:spacing w:after="0" w:line="10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as our Chief Technical Officer. Prior to joining us, Mr. Puri was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Global Ship Lease Services Limited, our wholly owned subsidiary, has entered into an employment agreement with Mr. Webber and, pursuant to the terms of an inter-company agreement between us and Global Ship Lease Services Limited, Mr. Webber serves as our Chief Executive Officer. Pursuant to his employment agreement, Mr. Webber receives an annual salary of £298,700 (£290,000 for 2011) and is eligible to receive a bonus payment up to an annual maximum of 60% (60% in 2011) of his salary at the discretion of Global Ship Lease Services Limited.</w:t>
      </w:r>
    </w:p>
    <w:p>
      <w:pPr>
        <w:spacing w:after="0" w:line="11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Global Ship Lease Services Limited has entered into an employment agreement with Ms. Cook and, pursuant to the inter-company agreement, Ms. Cook serves as our Chief Financial Officer. Pursuant to her employment agreement, Ms. Cook receives an annual salary of £170,000 (£165,000 for 2011) and is eligible to receive a bonus payment up to an annual maximum of 40% (40% in 2011) of her salary at the discretion of Global Ship Lease Services Limited.</w:t>
      </w:r>
    </w:p>
    <w:p>
      <w:pPr>
        <w:spacing w:after="0" w:line="10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ours (or one of our group companies) or be involved in any relevant business in competition with us (or one of our group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Global Ship Lease Services Limited has entered into an employment agreement with Mr. Lister and, pursuant to the inter-company agreement, Mr. Lister serves as our Chief Commercial Officer. Pursuant to his employment agreement, Mr. Lister receives an annual salary of £180,250 (£175,000 for 2011) and is eligible to receive a bonus payment up to an annual maximum of 40% (40% in 2011) of his salary at the discretion of Global Ship Lease Services Limited.</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Global Ship Lease Services Limited has entered into an employment agreement with Mr. Puri and, pursuant to the inter-company agreement, Mr. Puri serves as our Chief Technical Officer. Pursuant to his employment agreement, Mr. Puri receives an annual salary of £134,000 (£130,000 for 2010) and is eligible to receive a bonus payment up to an annual maximum of 40% (40% in 2011) of his salary at the discretion of Global Ship Lease Services Limited.</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Chairman of our board of directors receives an annual fee of $157,500 ($150,000 in 2011) consisting of $126,000 in cash and a restricted stock grant with a grant date value of $31,500. The restricted stock vests in January 2014, providing the Chairman is still in post. For 2011, the annual fee consisted of $120,000 in cash and a restricted stock grant with a grant date value of $30,000 which vested in January 2013. Our other directors receive an annual fee of $105,000, consisting of $84,000 in cash and a restricted stock grant with a grant date value of $21,000. The restricted stock vests in January 2014, providing the Director is still in post. For 2011, the annual fee consisted of $80,000 in cash and an annual restricted stock grant with a grant date value of $20,000 which vested in January 2013.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90"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We adopted the 2008 Equity Incentive Plan (the “Plan”), which entitles our and our subsidiaries’ employees, consultants and directors to receive options, stock appreciation rights, stock grants, stock units and dividend equivalents. The following description of the Plan is a summary of the material terms of the Plan.</w:t>
      </w:r>
    </w:p>
    <w:p>
      <w:pPr>
        <w:spacing w:after="0" w:line="6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Plan is administered by our board of directors or a committee of the board of directors. Subject to adjustment as provided below,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the event that we are subject to a change of control, the Plan administrator in its discretion may make such adjustments and other substitutions to the Plan and outstanding awards under the Plan as it deems equitable or desirable in its sole discretion.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4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other Class A common shareholders. The Plan administrator may provide a participant who holds stock grants with dividends or dividend equivalents payable in cash, Class A common shares or other property.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3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August 2008, our board of directors granted 375,000 restricted shares to Mr. Webber, 202,500 restricted shares to Ms. Cook and 202,500 restricted shares to Mr. Lister under the Plan, which were expected to vest over a three-year period. One third of the award vested over 20 business days commencing mid September 2009, one third vested over 20 business days commencing mid September 2010 and one third vested over 20 business days commencing mid September 2011. In November 2008, Mr. Puri was granted 80,000 restricted shares, half of which vested over 20 business days commencing mid September 2009 and half vested over 20 business days commencing mid September 2010. In March 2011, Mr. Puri was granted 15,000 restricted shares which vested over 20 business days commencing mid September 2011. In September 2011, Mr. Webber was granted 55,000 restricted shares, Ms. Cook 34,000 restricted shares, Mr. Lister 34,000 restricted shares and Mr. Puri 27,000 restricted shares, which were expected to vest over a two-year period. One half of the award was expected to vest over 20 business days commencing mid September 2012,and one half over 20 business days commencing mid September 2013. In March 2012, the grants made in September 2011 were amended and restated to provide that vesting would occur only when the individual leaves employment, for whatever reason, provided that this is after September 30, 2012 in respect of half of the grant and September 30, 2013 for the other half of the grant. In March 2012, Mr. Webber was granted 27,500 restricted shares, Ms. Cook 17,000 restricted shares, Mr. Lister 17,000 restricted shares and Mr. Puri 13,500 restricted shares, which are expected to vest when the individual leaves employment provided that this is after September 30, 2014 and is not as a result of resignation or termination for cause. No further awards have been made. In March 2013, Mr. Webber was granted 27,500 restricted shares, Ms. Cook 17,000 restricted shares, Mr. Lister 17,000 restricted shares and Mr. Puri 13,500 restricted shares, which are expected to vest when the individual leaves employment provided that this is after September 30, 2014 and is not as a result of resignation or termination for cause. Other than the annual awards of restricted stock units as part of the compensation of our board of directors, no other awards have been made.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Board Practices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board of directors is divided into three classes with one class of directors being elected in each year and each class serving a three-year term. The second term of office of the first class of directors, consisting of Mr. Morel and Mr. Pribor, expired at the fourth annual meeting of stockholders held in July 2012. They were re-elected to serve until the Annual Meeting to be held in 2015. Following the resignation of Mr. Pribor, the first class of directors consists of Mr. Morel.</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term of office of the second class of directors, consisting of Mr. Boyd and Mr. Frew, expired at the second annual meeting of stockholders held in July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They were reelected to serve until the Annual Meeting to be held in 2013.</w:t>
      </w:r>
    </w:p>
    <w:p>
      <w:pPr>
        <w:spacing w:after="0" w:line="16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term of office of the third class of directors, consisting of Mr. Gross, expired at the third annual meeting of stockholders held in August 2011. He was reelected to serve until the Annual Meeting to be held in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Our board of directors has determined that Messrs. Gross, Boyd, Frew and Morel are “independent directors” as such term is defined in Rule 10A-3 of the Exchange Act and the rules of the NYSE.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audit committee consists of Messrs. Boyd, Frew and Morel, each of whom is “independent” as defined in Rule 10A-3 of the Exchange Act and the rules of the NYSE. In addition, our board of directors has determined that Mr. Frew is an “audit committee financial expert” as that term is defined under Item 401 of Regulation S-K of the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we have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Frew satisfies the NYSE’s definition of financial sophistication and also qualifies as an “audit committee financial expert,” as defined under rules and regulations of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and Gross.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the members of our board and senior executives. It also assesses the adequacy and effectiveness of our corporate governance guidelines, reviewing and recommending changes to the board whenever necessary.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have adopted a code of business conduct and ethics (“Code of Ethics”) that applies to our officers, employees and directors. More information on the Code of Ethics and board committee charters is available on our website (www.globalshiplease.com) and in print to any investor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9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4" w:lineRule="exact"/>
        <w:rPr>
          <w:sz w:val="20"/>
          <w:szCs w:val="20"/>
          <w:color w:val="auto"/>
        </w:rPr>
      </w:pPr>
    </w:p>
    <w:p>
      <w:pPr>
        <w:ind w:left="900" w:right="980" w:hanging="325"/>
        <w:spacing w:after="0" w:line="268"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26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D.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we had eight employees.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Share Ownership</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See Item 7.A. “Major Shareholders and Related Party Transactions — Major Shareholders” for information regarding beneficial ownership by our directors and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Major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March 31, 2013 by:</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of our common shares shown as beneficially owned, subject to applicable community property laws. As of March 31, 2013, an aggregate of 54,919,890 Class A and Class B common shares were issued and outstanding.</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 of Beneficial Owner (1)</w:t>
            </w:r>
          </w:p>
        </w:tc>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3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Approximate Percentage of Outstanding</w:t>
            </w:r>
          </w:p>
        </w:tc>
        <w:tc>
          <w:tcPr>
            <w:tcW w:w="0" w:type="dxa"/>
            <w:vAlign w:val="bottom"/>
          </w:tcPr>
          <w:p>
            <w:pPr>
              <w:spacing w:after="0"/>
              <w:rPr>
                <w:sz w:val="1"/>
                <w:szCs w:val="1"/>
                <w:color w:val="auto"/>
              </w:rPr>
            </w:pPr>
          </w:p>
        </w:tc>
      </w:tr>
      <w:tr>
        <w:trPr>
          <w:trHeight w:val="153"/>
        </w:trPr>
        <w:tc>
          <w:tcPr>
            <w:tcW w:w="2500" w:type="dxa"/>
            <w:vAlign w:val="bottom"/>
            <w:tcBorders>
              <w:bottom w:val="single" w:sz="8" w:color="auto"/>
            </w:tcBorders>
            <w:vMerge w:val="continue"/>
          </w:tcPr>
          <w:p>
            <w:pPr>
              <w:spacing w:after="0"/>
              <w:rPr>
                <w:sz w:val="12"/>
                <w:szCs w:val="12"/>
                <w:color w:val="auto"/>
              </w:rPr>
            </w:pPr>
          </w:p>
        </w:tc>
        <w:tc>
          <w:tcPr>
            <w:tcW w:w="28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Amount of Beneficial Ownership</w:t>
            </w:r>
          </w:p>
        </w:tc>
        <w:tc>
          <w:tcPr>
            <w:tcW w:w="840" w:type="dxa"/>
            <w:vAlign w:val="bottom"/>
          </w:tcPr>
          <w:p>
            <w:pPr>
              <w:spacing w:after="0"/>
              <w:rPr>
                <w:sz w:val="12"/>
                <w:szCs w:val="12"/>
                <w:color w:val="auto"/>
              </w:rPr>
            </w:pPr>
          </w:p>
        </w:tc>
        <w:tc>
          <w:tcPr>
            <w:tcW w:w="2540" w:type="dxa"/>
            <w:vAlign w:val="bottom"/>
            <w:gridSpan w:val="2"/>
          </w:tcPr>
          <w:p>
            <w:pPr>
              <w:jc w:val="right"/>
              <w:ind w:right="900"/>
              <w:spacing w:after="0" w:line="148" w:lineRule="exact"/>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20"/>
        </w:trPr>
        <w:tc>
          <w:tcPr>
            <w:tcW w:w="2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Michael S. Gross (2)(3)</w:t>
            </w:r>
          </w:p>
        </w:tc>
        <w:tc>
          <w:tcPr>
            <w:tcW w:w="900" w:type="dxa"/>
            <w:vAlign w:val="bottom"/>
            <w:vMerge w:val="restart"/>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13,735,108</w:t>
            </w:r>
          </w:p>
        </w:tc>
        <w:tc>
          <w:tcPr>
            <w:tcW w:w="840" w:type="dxa"/>
            <w:vAlign w:val="bottom"/>
            <w:vMerge w:val="continue"/>
            <w:shd w:val="clear" w:color="auto" w:fill="CCEEFF"/>
          </w:tcPr>
          <w:p>
            <w:pPr>
              <w:spacing w:after="0"/>
              <w:rPr>
                <w:sz w:val="17"/>
                <w:szCs w:val="17"/>
                <w:color w:val="auto"/>
              </w:rPr>
            </w:pPr>
          </w:p>
        </w:tc>
        <w:tc>
          <w:tcPr>
            <w:tcW w:w="2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Howard Boyd (3)</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53,470</w:t>
            </w: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Angus R. Frew (3)</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53,740</w:t>
            </w:r>
          </w:p>
        </w:tc>
        <w:tc>
          <w:tcPr>
            <w:tcW w:w="3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Guy Morel (3)</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53,740</w:t>
            </w: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Ian J. Webber (4)</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204,800</w:t>
            </w:r>
          </w:p>
        </w:tc>
        <w:tc>
          <w:tcPr>
            <w:tcW w:w="3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Susan J. Cook (5)</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103,600</w:t>
            </w: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Thomas Lister (6)</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103,600</w:t>
            </w:r>
          </w:p>
        </w:tc>
        <w:tc>
          <w:tcPr>
            <w:tcW w:w="3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Vivek Puri (7)</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49,400</w:t>
            </w: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0"/>
              </w:rPr>
              <w:t>All directors and executive officers</w:t>
            </w:r>
          </w:p>
        </w:tc>
        <w:tc>
          <w:tcPr>
            <w:tcW w:w="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a group (9 individuals)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14,357,728</w:t>
            </w:r>
          </w:p>
        </w:tc>
        <w:tc>
          <w:tcPr>
            <w:tcW w:w="3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CMA CGM S.A. (8)</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27,544,600</w:t>
            </w:r>
          </w:p>
        </w:tc>
        <w:tc>
          <w:tcPr>
            <w:tcW w:w="3380" w:type="dxa"/>
            <w:vAlign w:val="bottom"/>
            <w:gridSpan w:val="3"/>
          </w:tcPr>
          <w:p>
            <w:pPr>
              <w:jc w:val="right"/>
              <w:ind w:right="6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9"/>
              </w:rPr>
              <w:t>DePrince, Race &amp; Zollo, Inc (9)</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5,059,997</w:t>
            </w:r>
          </w:p>
        </w:tc>
        <w:tc>
          <w:tcPr>
            <w:tcW w:w="3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individuals is c/o Portland House, Stag Place, London SW1E 5RS, United Kingdom.</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Marathon Founders, LLC is the record holder of 6,217,712 Class A and Class B common shares and 3,007,288 Class A warrants (which are included in the table above). Marathon Founders, LLC is owned and controlled by Mr. Gross. As a result, Mr. Gross may be deemed to beneficially own the shares held by Marathon Founders, LLC. At March 31, 2013 Mr. Gross held 9,184 restricted stock units in relation to his remuneration for 2013 as Chairman of the board of directors which are expected to vest in January 2014 (which are not included in the table above). The business address of Mr. Gross is c/o Marathon Founders, LLC, 500 Park Avenue, New York, New York 10022.</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March 31, 2013, Mr. Webber held 110,000 restricted stock units scheduled to vest after May 31, 2013 which are not included in the table above.</w:t>
      </w:r>
    </w:p>
    <w:p>
      <w:pPr>
        <w:ind w:left="460" w:right="42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Cook serves as our Chief Financial Officer and Secretary. At March 31, 2013, Ms. Cook held 68,000 restricted stock units scheduled to vest after May 31, 2013 which are not included in the table above.</w:t>
      </w:r>
    </w:p>
    <w:p>
      <w:pPr>
        <w:ind w:left="460" w:right="1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Lister serves as our Chief Commercial Officer. At March 31, 2013, Mr. Lister held 68,000 restricted stock units scheduled to vest after May 31, 2013 which are not included in the table above.</w:t>
      </w:r>
    </w:p>
    <w:p>
      <w:pPr>
        <w:ind w:left="460" w:right="12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Puri serves as our Chief Technical Officer. At March 31, 2013, Mr. Puri held 54,000 restricted stock units scheduled to vest after May 31, 2013 which are not included in the table above.</w:t>
      </w:r>
    </w:p>
    <w:p>
      <w:pPr>
        <w:ind w:left="460" w:right="2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CMA CGM S.A.is the record holder of 24,412,700 Class A and Class B common shares and 3,131,900 Class A warrants (which are included in the table above). The business address of CMA CGM S.A. is 4, quai d’Arenc, 13235 Marseille Cedex 02, France.</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with the SEC on February 13, 2013</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See Item 4.B. “Information on the Company — Business Overview” for a discussion of our commercial transactions and agreements with CMA CGM.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Merger, we entered into a stockholders agreement with CMA CGM and Marathon Founders, LLC, pursuant to which, until August 14,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CMA CGM agrees not to:</w:t>
      </w:r>
    </w:p>
    <w:p>
      <w:pPr>
        <w:spacing w:after="0" w:line="8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acquire additional common shares or other equity securities of ours;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tender offer or exchange offer for any common shares or other equity securities of ours;</w:t>
      </w:r>
    </w:p>
    <w:p>
      <w:pPr>
        <w:spacing w:after="0" w:line="90" w:lineRule="exact"/>
        <w:rPr>
          <w:rFonts w:ascii="Arial" w:cs="Arial" w:eastAsia="Arial" w:hAnsi="Arial"/>
          <w:sz w:val="18"/>
          <w:szCs w:val="18"/>
          <w:color w:val="auto"/>
        </w:rPr>
      </w:pPr>
    </w:p>
    <w:p>
      <w:pPr>
        <w:ind w:left="900" w:right="46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or take any action to solicit, initiate or encourage, any offer or proposal for, or any indication of interest in, a merger, other business combination or other extraordinary transaction involving us or any of our subsidiaries, or the acquisition of any common shares or other equity interest in, or a substantial portion of the assets of, us or any of our subsidiaries;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propose any changes to the size or members of our board of directors;</w:t>
      </w:r>
    </w:p>
    <w:p>
      <w:pPr>
        <w:spacing w:after="0" w:line="9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solicit, or become a participant in any solicitation of, any proxy from any holder of common shares in connection with any vote on the matters described in the two preceding bullet points above, or agree or announce its intention to vote with any person undertaking a solicitation or grant any proxies with respect to any common shares to any person with respect to such matters, or deposit any common shares in a voting trust or enter into any other arrangement or agreement with respect to the voting thereof; or</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join or in any way participate in a “group” (within the meaning of the Exchange Act) with respect to any of our common shares.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These standstill restrictions will be temporarily released (i) in the event we or our shareholders receive an unsolicited third party tender offer or exchange offer to acquire at least a majority of the outstanding common shares or there is a public announcement of a proposal or offer, or commencement of a proxy contest, to effect a change of control of us, until such time as our board of directors notifies CMA CGM that in the good faith determination of the board of directors such offer or proposal or proxy contest has concluded or been withdrawn, and (ii) to allow CMA CGM to respond to any vote, offer or other transaction involving a tender offer or exchange offer or a merger, business combination, sale of a substantial portion of assets or other extraordinary transaction that has been approved by the board of directors and/or for which the board of directors has granted its recommendation. We agreed to include such standstill exceptions in any shareholder rights plan we may adopt.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the time of the Merger, we entered into a registration rights agreement with CMA CGM, Marathon Investors, LLC, Marathon Founders, LLC and the other initial stockholders of Marathon common stock (including Michael Gross), pursuant to which we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will have the right to demand up to two registrations. These shareholders also have the right to request that we file a shelf registration statement with respect to their common shares as soon as the applicable transfer restrictions under the stockholders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 An amendment to the registration rights agreement was agreed on February 11, 2013 in the context of CMA CGM desiring to pledge their holdings of our Class A common shares and Class B common shares as security for a new facility agreement. The amendment provides that if we have received a notice of pledge in respect of these shares, then we may not file a registration statement in respect of them, essentially unless the pledgors agree. We received a notice of pledge on February 11, 2013.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Financial Statements and Other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18. “Financial Statements”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noted in Item 4.B. “Information on the Company — Business Overview — Our Credit Facility” above, pursuant to the terms of the Credit Facility Waivers, we agreed not to declare or pay any dividends to common shareholders until at least December 1, 2014.</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47,481,864 Class A common shares outstanding at December 31, 2012, there were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 100% to all Class A common shares, pro rata, until each outstanding common share has been paid an amount equal to the applicable dividend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w:t>
      </w:r>
    </w:p>
    <w:p>
      <w:pPr>
        <w:spacing w:after="0" w:line="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Notwithstanding the foregoing, the dividend rights of the holders of Class B common shares continue to be subordinated to those of holders of Class A common shares absent a prior change in control of us.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credit facility,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paying a dividend on our common shares.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ability to pay dividends may be subject to constraints under or credit facility and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 “Key Information—Risk Factors” for a discussion of the risks associated with our ability to pay dividends.</w:t>
      </w:r>
    </w:p>
    <w:p>
      <w:pPr>
        <w:spacing w:after="0" w:line="14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 “Additional Information—Taxation—Tax Consequences of Holding Class A Common Shares—Taxation of dividends paid on Class A common shares” for information regarding the eligibility requirements for “qualified dividend income” and for a discussion of proposed legislation that, if enacted, would prevent dividends paid by us from constituting qualified dividend income.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Significant Changes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August 15, 2008, our Class A common shares began trading on the NYSE under the symbol “GSL”.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high and low closing sales price of our Class A common shares as reported on the NYSE for the periods shown: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Shares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Quarter Ended</w:t>
            </w:r>
          </w:p>
        </w:tc>
        <w:tc>
          <w:tcPr>
            <w:tcW w:w="4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5"/>
                <w:szCs w:val="15"/>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03"/>
        </w:trPr>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30, 2008 (since August 15, 2008)</w:t>
            </w:r>
          </w:p>
        </w:tc>
        <w:tc>
          <w:tcPr>
            <w:tcW w:w="20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$7.64</w:t>
            </w: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$6.33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December 31, 2010</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June 30, 2011</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June 30, 2012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0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Material Contracts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Reference is made to Item 4.B. “Information on the Company — Business Overview” for a description of the time charters, the ship management agreements and the global expense agreement, which are incorporated herein by reference. Reference is made to Item 5.B. “Operating and Financial Review and Prospects — Liquidity and Capital Resources” for a description of our credit facility, which is incorporated herein by reference. Reference is made to Item 6.B. “Directors, Senior Management and Employees — Compensation” for a description of employment agreements, which is incorporated herein by reference. Reference is made to Item 7.B. “Major Shareholders and Related Party Transactions — Related Party Transactions” for a description of the registration rights agreement and the stockholders agreement, which are incorporated herein by reference.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Exchange Controls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Taxation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 shares.</w:t>
      </w:r>
    </w:p>
    <w:p>
      <w:pPr>
        <w:spacing w:after="0" w:line="194"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6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3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may want to consult their tax advisors regarding the specific tax consequences to them of the acquisition, holding or disposition of our Class A common shares, in light of their particular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foreign corporations not engaged in a United States trade or business, the United States imposes a 4% U.S. federal income tax (without allowance of any deductions) on the corporation’s United States source gross transportation income. For this purpose, transportation income includes income from the use, hiring or leasing of a vessel, or the performance of services directly related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use of a vessel (and thus includes time charter and bareboat charter income). The United States source portion of transportation income includes 50% of the income attributable to voyages that begin or end (but not both) in the United States. Generally, no amount of the income from voyages that begin and end outside the United States is treated as United States source, and consequently none of the transportation income attributable to such voyages is subject to this 4% tax. Although the entire amount of transportation income from voyages that begin and end in the United States would be United States source, we do not expect to have any transportation income from voyages that begin and end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do not expect to engage in any activities in the United States or otherwise have a fixed place of business in the United States. Nonetheless, if this situation were to change or we were to be treated as engaged in a United States trade or business, all or a portion of our taxable income, including gain from the sale of vessels, could be treated as effectively connected with the conduct of this United States trade or business, or effectively connected income. Any effectively connected income would be subject to U.S. federal corporate income tax (with the highest statutory rate currently being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4" w:lineRule="exact"/>
        <w:rPr>
          <w:sz w:val="20"/>
          <w:szCs w:val="20"/>
          <w:color w:val="auto"/>
        </w:rPr>
      </w:pPr>
    </w:p>
    <w:p>
      <w:pPr>
        <w:ind w:left="900" w:right="1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satisfy one of the following three ownership tests (discussed in more detail below): (1) the more than 50% ownership test, or 50% Ownership Test,</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controlled foreign corporation test, or CFC Test or (3) the “Publicly Traded Test”; and</w:t>
      </w:r>
    </w:p>
    <w:p>
      <w:pPr>
        <w:spacing w:after="0" w:line="83"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United States income tax returns).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organized under the laws of the Marshall Islands. Each of the vessels in the fleet is owned by a separate wholly owned subsidiary organized either in the Marshall Islands or Cyprus. The United States Treasury Department recognizes both the Marshall Islands and Cyprus as jurisdictions that grant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order to satisfy the 50% Ownership Test, a non-United States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United States, that grant an Equivalent Exemption, (2) non-United States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may not currently be able to satisfy the 50% Ownership Test due to our lack of knowledge of the direct and indirect owners of entities which own our Class A common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CFC Test requires that the non-United States corporation be treated as a controlled foreign corporation, or CFC, for U.S. federal income tax purposes. As discussed below at “Tax Consequences of Holding Class A Common Shares—U.S. holders—Possible treatment as a controlled foreign corporation,” we cannot predict at this time whether we will be a CFC.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non-United States corporation be “primarily and regularly traded” on an established securities market either in the United States or in a foreign country that grants an Equivalent Exemption.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Section 883 Regulations provide, in pertinent part, that stock of a non-United States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 Moreover, the Class A common shares represent more than 50% of both the voting power and value of all classes of our shares.</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Arial" w:cs="Arial" w:eastAsia="Arial" w:hAnsi="Arial"/>
          <w:sz w:val="10"/>
          <w:szCs w:val="10"/>
          <w:color w:val="auto"/>
        </w:rPr>
        <w:t>1</w:t>
      </w:r>
      <w:r>
        <w:rPr>
          <w:rFonts w:ascii="Arial" w:cs="Arial" w:eastAsia="Arial" w:hAnsi="Arial"/>
          <w:sz w:val="16"/>
          <w:szCs w:val="16"/>
          <w:color w:val="auto"/>
        </w:rPr>
        <w:t>/6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value of the class of stock for more than half the number of days during the taxable year. Based on information currently available to us on our shareholders, it appears that the 5% Override Rule did not apply for 2012, 2011, 2010 or 2009 and will continue to not apply if such shareholders were to retain our Class A common shares throughout 2013 and we were to satisfy certain substantiation requirements. However, it is possible that our ownership may change such that the 5% Override Rule may apply. The ability to avoid application of the 5% Override Rule will be outside of our control and, as a result, no assurances can be provided that we will satisfy the Publicly Traded Test for any year.</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were not to qualify for the Section 883 exemption in any year, the United States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has never been, engaged in a U.S. trade or business. Under certain circumstances, if we are so engaged, gain on sale of vessels could be subject to U.S. federal income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1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our Class A common shares that is:</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we make a distribution with respect to our Class A common shares, subject to the discussions of the passive foreign investment company, or PFIC, and CFC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4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Subject to the discussions of the PFIC and CFC rules below, in the case of a U.S. holder that is a corporation, dividends that we pay will generally be taxable at regular corporate rates of up to 35% and generally will not qualify for a dividends-received deduction available for dividends received from United States corporations. In the case of certain non-corporate U.S. holders, dividends that we pay generally will be treated as “qualified dividend income” subject to tax at preferential rates, provided that the U.S. holder meets certain holding period and other requirements and we are not a PFIC in the taxable year in which the dividends are paid or in the immediately preceding taxable year. For dividends paid in taxable years beginning on or after January 1, 2013, the maximum rate is 20%. Legislation has been introduced which, if enacted, would deny the benefit of these preferential rates to dividends that we pay. We cannot predict whether such legislation will be enacted, or, if so, what its effective date might be.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our Class A common shares.</w:t>
      </w:r>
    </w:p>
    <w:p>
      <w:pPr>
        <w:spacing w:after="0" w:line="14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Tax on Net Investment Income</w:t>
      </w:r>
    </w:p>
    <w:p>
      <w:pPr>
        <w:spacing w:after="0" w:line="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 taxable years beginning after December 31, 2012, 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$125,000 and $250,000). A U.S. Holder’s net investment income will generally include distributions made by us which constitute dividends and gain upon a sale, exchange or other disposition of our Class A common shares. This tax is in addition to any income taxes due on such investment income.</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90"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A non-United States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w:t>
      </w:r>
    </w:p>
    <w:p>
      <w:pPr>
        <w:ind w:right="20" w:firstLine="8"/>
        <w:spacing w:after="0" w:line="254"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 or more of the average value of its assets is attributable to assets that produce passive income or are held for the production of passive income.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 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Subsequently, the IRS has stated that it disagrees with and will not acquiesce to the rental versus services distinction in the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decision, and in its discussion stated that the time charters at issue in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would be treated as producing services income for PFIC purposes. The IRS’s statement with respect to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cannot be relied upon or otherwise cited as precedent by taxpayers. Consequently, no assurance can be given that the IRS or a court of law would accept our position, and there is a risk that the IRS or a court of law could determine that the company is a PFIC.</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If we were to be classified as a PFIC in any year, each U.S. holder of our Class A common shares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3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50" w:lineRule="exact"/>
        <w:rPr>
          <w:rFonts w:ascii="Arial" w:cs="Arial" w:eastAsia="Arial" w:hAnsi="Arial"/>
          <w:sz w:val="18"/>
          <w:szCs w:val="18"/>
          <w:color w:val="auto"/>
        </w:rPr>
      </w:pPr>
    </w:p>
    <w:p>
      <w:pPr>
        <w:jc w:val="both"/>
        <w:ind w:left="900" w:right="320" w:hanging="325"/>
        <w:spacing w:after="0" w:line="306"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each U.S. holder of our Class A common shares will be required to file an IRS Form 8621 if such U.S. holder holds its shares in any year in which we were classified as a PFIC.</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avoid the application of the PFIC rules,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the QEF election, Section 1296 of the Code permits United States persons to make a “mark-to-market” election with respect to marketable stock in a PFIC. If a U.S. holder of our Class A common shares makes a mark-to-market election, such U.S. holder generally would, in each taxable year: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2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more than 50% of the voting power or value of our shares is owned by U.S. persons (within the meaning of the Code) who each own (directly or through application of certain rules of attribution) 10% or more of the voting power of the shares, or U.S 10% Holders, we will be a controlled foreign corporation, or a CFC. If we were so treated, there will be additional tax consequences to U.S. 10% Holders. In particular, in each year we are a CFC, such U.S. 10% Holders who directly or indirectly own our shares on the last day of the year will be required to include in ordinary income their pro rata share of our “Subpart F income,” even if no distributions are made, for each such year. Such inclusions will not be eligible for the preferential rates of tax on qualified dividends received by non-corporate taxpayers. In general, Subpart F income will include dividends, interest, royalties and other passive income of ours, but will not include active business income. We believe, and intend to take the position, that the charters we have entered into should not generate passive income, and thus the income generated by our charters should not be treated as Subpart F income to our U.S. 10% Holders, although no assurance can be provided that the IRS will not successfully challenge such position.</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Additionally, if we are treated as a CFC, gain realized by a U.S. 10% Holder on the sale or other disposition of Class A common shares may be treated as dividend income to the extent of our certain accumulated earnings and profits. Moreover, for taxable years of a U.S. 10% Holder in which we are a CFC, and our taxable years that end with or within such taxable years of such U.S. 10% Holders, we generally will not be treated as a PFIC with respect to Class A common shares held by such U.S. 10% Holder (but may be treated as a PFIC with respect to other U.S. holders).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we are not a CFC but cannot predict whether we will become a CFC, and satisfaction of the CFC definitional test is outside of our control. U.S. holders may want to consult their own tax advisors concerning the application of the controlled foreign corporation rules to them in light of their particular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United States trade or business.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Dividends or gains that are effectively connected with a non-U.S. holder’s conduct of a United States trade or business (and, if required by an applicable income tax treaty, are attributable to a United States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we are treated as a U.S. corporation pursuant to Section 7874 of the Code, non-U.S. holders generally will be subject to withholding tax at a rate of 30% on all dividends paid by us, unless a reduced rate of tax is available under a tax treaty.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Taxation</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Because we do not (and do not expect in the future) that we will conduct business or operations in the Republic of The Marshall Islands, we are not subject to income, capital gains, profits or other taxation under current Marshall Islands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Taxation</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subject to taxation in certain non- 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Dividends and Paying Agents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 Statements by Experts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 Documents on Display</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exposed to the impact of interest rate changes primarily through our floating-rate borrowings under our credit facility and our $48 million preferred shares. Significant increases in interest rates could adversely affect our results of operations and our ability to service our own debt. Details of the expected maturity of our borrowings are presented in Item 5.F. “Operating and Financial Review and Prospects – Contractual Obligations”.</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connection with our credit facility and as part of overall risk management, we have entered into interest rate swap agreements to reduce our exposure to market risks of variable interest rates. The swaps are not accounted for as hedging instruments as for accounting purposes they are not expected to be effective in mitigating the risks of changes in interest rates over the term of the debt and they do not meet all U.S. GAAP requirements. As a result, changes in the fair value of the interest rates swaps (mark to market adjustment) are included in earnings each period. Details of our interest rate swaps are provided in note 6 to our consolidated financial statements included elsewhere in this Annual Report.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Counterparties to these financial instruments expose us to credit-related losses in the event of non-performance; however, counterparties to these agreements are major financial institutions, and we consider the risk of loss due to non-performance to be minimal. We will not require collateral from these institutions. We will not enter into interest rate swaps for trading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Without applying the effect of any interest rate swap arrangements that we have entered into in connection with our credit facility, and based on borrowings under the credit facility together with the preferred shares and ignoring cash on deposit as of December 31, 2012, a hypothetical 1% increase in LIBOR would have the impact of reducing our net income, before income taxes, by approximately $4.7 million.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rate swap agreements that we entered into in connection with the credit facility are intended to minimize the risks associated with our variable rate debt under our credit facility. We expect that these interest rate swaps will significantly reduce the additional cash interest expense that could be caused by upward changes in variable market interest rates.</w:t>
      </w:r>
    </w:p>
    <w:p>
      <w:pPr>
        <w:spacing w:after="0" w:line="14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entered into derivatives to swap a notional amount of $580.0 million of debt from floating rate to fixed rate. $253.0 million of these derivatives expired in March 2013 leaving a remaining notional amount of $327.0 million of which $50.0 million expires in November 2013, $41.0 million in August 2014, $45.0 million in October 2015 and the remaining $191.0 million in December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shipping industry’s functional currency is the United States dollar. All of our revenues and the majority of our operating costs are in United States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Ship Management Agreements, daily operating costs, including the costs of crews and lube oils but excluding insurance and drydocking costs, are capped as discussed elsewhere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ind w:right="4960"/>
        <w:spacing w:after="0" w:line="369" w:lineRule="auto"/>
        <w:rPr>
          <w:sz w:val="20"/>
          <w:szCs w:val="20"/>
          <w:color w:val="auto"/>
        </w:rPr>
      </w:pPr>
      <w:r>
        <w:rPr>
          <w:rFonts w:ascii="Arial" w:cs="Arial" w:eastAsia="Arial" w:hAnsi="Arial"/>
          <w:sz w:val="18"/>
          <w:szCs w:val="18"/>
          <w:b w:val="1"/>
          <w:bCs w:val="1"/>
          <w:color w:val="auto"/>
        </w:rPr>
        <w:t xml:space="preserve">Item 14. Material Modifications to the Rights of Security Holders and Use of Proceeds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2012, the end of the period covered by this report, our disclosure controls and procedures were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Management evaluated the effectiveness of our internal control over financial reporting as of December 31, 2012 using the framework set forth in the report of the Treadway Commission’s Committee of Sponsoring Organizations. Based on the foregoing, management has concluded that internal control over financial reporting was effective as of December 31, 2012.</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effectiveness of our internal controls over financial reporting as of December 31, 2012 has been audited by PricewaterhouseCoopers Audit, France, the independent registered public accounting firm that audited our December 31, 2012 consolidated financial statements, as stated in their report which is included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4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During the year ended December 31, 2012 there were no changes with regard to internal control over financial reporting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Board has determined that director and member of the Audit Committee, Angus Frew, qualifies as an audit committee financial expert and is independent under applicable NYSE and SEC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 for 2012 and 2011 was PricewaterhouseCoopers Audit, France, an independent registered public accounting firm.</w:t>
      </w:r>
    </w:p>
    <w:p>
      <w:pPr>
        <w:spacing w:after="0" w:line="246" w:lineRule="exact"/>
        <w:rPr>
          <w:sz w:val="20"/>
          <w:szCs w:val="20"/>
          <w:color w:val="auto"/>
        </w:rPr>
      </w:pPr>
    </w:p>
    <w:p>
      <w:pPr>
        <w:ind w:right="5240"/>
        <w:spacing w:after="0" w:line="491" w:lineRule="auto"/>
        <w:rPr>
          <w:sz w:val="20"/>
          <w:szCs w:val="20"/>
          <w:color w:val="auto"/>
        </w:rPr>
      </w:pPr>
      <w:r>
        <w:rPr>
          <w:rFonts w:ascii="Arial" w:cs="Arial" w:eastAsia="Arial" w:hAnsi="Arial"/>
          <w:sz w:val="15"/>
          <w:szCs w:val="15"/>
          <w:b w:val="1"/>
          <w:bCs w:val="1"/>
          <w:color w:val="auto"/>
        </w:rPr>
        <w:t xml:space="preserve">Fees Incurred by Global Ship Lease for PricewaterhouseCoopers Audit’s Services </w:t>
      </w:r>
      <w:r>
        <w:rPr>
          <w:rFonts w:ascii="Arial" w:cs="Arial" w:eastAsia="Arial" w:hAnsi="Arial"/>
          <w:sz w:val="15"/>
          <w:szCs w:val="15"/>
          <w:color w:val="auto"/>
        </w:rPr>
        <w:t>In 2012 and 2011 the fees for services rendered by the auditors were as follows:</w:t>
      </w:r>
    </w:p>
    <w:p>
      <w:pPr>
        <w:spacing w:after="0" w:line="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1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$325,400</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$ 351,500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Audit-Related Fees</w:t>
            </w:r>
          </w:p>
        </w:tc>
        <w:tc>
          <w:tcPr>
            <w:tcW w:w="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25,900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4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31,800</w:t>
            </w:r>
          </w:p>
        </w:tc>
        <w:tc>
          <w:tcPr>
            <w:tcW w:w="100" w:type="dxa"/>
            <w:vAlign w:val="bottom"/>
            <w:shd w:val="clear" w:color="auto" w:fill="CCEEFF"/>
          </w:tcPr>
          <w:p>
            <w:pPr>
              <w:spacing w:after="0"/>
              <w:rPr>
                <w:sz w:val="18"/>
                <w:szCs w:val="18"/>
                <w:color w:val="auto"/>
              </w:rPr>
            </w:pPr>
          </w:p>
        </w:tc>
      </w:tr>
      <w:tr>
        <w:trPr>
          <w:trHeight w:val="222"/>
        </w:trPr>
        <w:tc>
          <w:tcPr>
            <w:tcW w:w="67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348,700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$ 409,200</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Tax fees for 2012 and 2011 are primarily for tax consultation services.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also subject to a limit for all non-audit fees of $100,000 per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80"/>
        <w:spacing w:after="0" w:line="369"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Not applicable.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ways in which our corporate governance practices differ from those followed by domestic companies:</w:t>
      </w:r>
    </w:p>
    <w:p>
      <w:pPr>
        <w:spacing w:after="0" w:line="90" w:lineRule="exact"/>
        <w:rPr>
          <w:sz w:val="20"/>
          <w:szCs w:val="20"/>
          <w:color w:val="auto"/>
        </w:rPr>
      </w:pPr>
    </w:p>
    <w:p>
      <w:pPr>
        <w:ind w:left="900" w:right="92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together with the report of PricewaterhouseCoopers Audit thereon, are filed as part of this Annual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20" w:type="dxa"/>
            <w:vAlign w:val="bottom"/>
            <w:gridSpan w:val="8"/>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20" w:type="dxa"/>
            <w:vAlign w:val="bottom"/>
            <w:gridSpan w:val="8"/>
          </w:tcPr>
          <w:p>
            <w:pPr>
              <w:spacing w:after="0"/>
              <w:rPr>
                <w:sz w:val="20"/>
                <w:szCs w:val="20"/>
                <w:color w:val="auto"/>
              </w:rPr>
            </w:pPr>
            <w:r>
              <w:rPr>
                <w:rFonts w:ascii="Arial" w:cs="Arial" w:eastAsia="Arial" w:hAnsi="Arial"/>
                <w:sz w:val="18"/>
                <w:szCs w:val="18"/>
                <w:i w:val="1"/>
                <w:iCs w:val="1"/>
                <w:color w:val="auto"/>
              </w:rPr>
              <w:t>Audited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4100" w:type="dxa"/>
            <w:vAlign w:val="bottom"/>
            <w:tcBorders>
              <w:bottom w:val="single" w:sz="8" w:color="0000EE"/>
            </w:tcBorders>
            <w:gridSpan w:val="2"/>
          </w:tcPr>
          <w:p>
            <w:pPr>
              <w:spacing w:after="0" w:line="184"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Report of Independent Registered Public Accounting Firm</w:t>
              </w:r>
            </w:hyperlink>
          </w:p>
        </w:tc>
        <w:tc>
          <w:tcPr>
            <w:tcW w:w="6460" w:type="dxa"/>
            <w:vAlign w:val="bottom"/>
            <w:gridSpan w:val="5"/>
          </w:tcPr>
          <w:p>
            <w:pPr>
              <w:spacing w:after="0"/>
              <w:rPr>
                <w:sz w:val="15"/>
                <w:szCs w:val="15"/>
                <w:color w:val="auto"/>
              </w:rPr>
            </w:pPr>
          </w:p>
        </w:tc>
        <w:tc>
          <w:tcPr>
            <w:tcW w:w="300" w:type="dxa"/>
            <w:vAlign w:val="bottom"/>
          </w:tcPr>
          <w:p>
            <w:pPr>
              <w:ind w:left="60"/>
              <w:spacing w:after="0" w:line="184" w:lineRule="exact"/>
              <w:rPr>
                <w:sz w:val="20"/>
                <w:szCs w:val="20"/>
                <w:color w:val="auto"/>
              </w:rPr>
            </w:pPr>
            <w:r>
              <w:rPr>
                <w:rFonts w:ascii="Arial" w:cs="Arial" w:eastAsia="Arial" w:hAnsi="Arial"/>
                <w:sz w:val="18"/>
                <w:szCs w:val="18"/>
                <w:color w:val="auto"/>
                <w:w w:val="81"/>
              </w:rPr>
              <w:t>F-1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Balance Sheets as at December 31, 2012 and 2011</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4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Consolidated Statements of Income for the years ended December 31, 2012, 2011 and 2010</w:t>
              </w:r>
            </w:hyperlink>
          </w:p>
        </w:tc>
        <w:tc>
          <w:tcPr>
            <w:tcW w:w="4140" w:type="dxa"/>
            <w:vAlign w:val="bottom"/>
            <w:gridSpan w:val="3"/>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72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Consolidated Statements of Cash Flows for the years ended December 31, 2012, 2011 and 2010</w:t>
              </w:r>
            </w:hyperlink>
          </w:p>
        </w:tc>
        <w:tc>
          <w:tcPr>
            <w:tcW w:w="3840" w:type="dxa"/>
            <w:vAlign w:val="bottom"/>
            <w:gridSpan w:val="2"/>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Consolidated Statements of Stockholders’ Equity for the years ended December 31, 2012, 2011 and 2010</w:t>
              </w:r>
            </w:hyperlink>
          </w:p>
        </w:tc>
        <w:tc>
          <w:tcPr>
            <w:tcW w:w="3140" w:type="dxa"/>
            <w:vAlign w:val="bottom"/>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60" w:type="dxa"/>
            <w:vAlign w:val="bottom"/>
            <w:gridSpan w:val="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Notes to the Consolidated Financial Statements</w:t>
              </w:r>
            </w:hyperlink>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383"/>
        </w:trPr>
        <w:tc>
          <w:tcPr>
            <w:tcW w:w="460" w:type="dxa"/>
            <w:vAlign w:val="bottom"/>
          </w:tcPr>
          <w:p>
            <w:pPr>
              <w:spacing w:after="0"/>
              <w:rPr>
                <w:sz w:val="24"/>
                <w:szCs w:val="24"/>
                <w:color w:val="auto"/>
              </w:rPr>
            </w:pPr>
          </w:p>
        </w:tc>
        <w:tc>
          <w:tcPr>
            <w:tcW w:w="3320" w:type="dxa"/>
            <w:vAlign w:val="bottom"/>
            <w:tcBorders>
              <w:top w:val="single" w:sz="8" w:color="0000EE"/>
            </w:tcBorders>
          </w:tcPr>
          <w:p>
            <w:pPr>
              <w:spacing w:after="0"/>
              <w:rPr>
                <w:sz w:val="24"/>
                <w:szCs w:val="24"/>
                <w:color w:val="auto"/>
              </w:rPr>
            </w:pPr>
          </w:p>
        </w:tc>
        <w:tc>
          <w:tcPr>
            <w:tcW w:w="3100" w:type="dxa"/>
            <w:vAlign w:val="bottom"/>
            <w:gridSpan w:val="3"/>
          </w:tcPr>
          <w:p>
            <w:pPr>
              <w:jc w:val="right"/>
              <w:ind w:right="108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97"/>
              </w:rPr>
              <w:t>Amended and Restated Articles of Incorporation of GSL Holdings, Inc. (incorporated by reference to Exhibit C to Exhibit 2.1 Marathon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Amended and Restated By-laws of GSL Holdings, Inc. (incorporated by reference to Exhibit 3.2 of Global Ship Lease, Inc.’s Registration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Statement on Form F-4 (File No. 333-150309) filed on April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Specimen Class A common share certificate (incorporated by reference to Exhibit 4.2 of Global Ship Lease, Inc.’s Registration Statement on Form</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F-1 (File No. 333-153448) filed on September 12,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Agreement and Plan of Merger by and among Marathon Acquisition Corp., GSL Holdings, Inc., Global Ship Lease, Inc. and CMA CGM S.A.,</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dated as of March 21, 2008 (incorporated by reference to Exhibit 2.1 of Marathon Acquisition Corp.’s Current Report on Form 8-K (File No. 001-</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Amendment, dated as of June 2, 2008, to Agreement and Plan of Merger, dated as of March 21, 2008, among Marathon Acquisition Corp., GSL</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Holdings, Inc., CMA CGM S.A. and Global Ship Lease, Inc. (incorporated by reference to Exhibit 2.1 of Marathon Acquisition Corp.’s Current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001-32983) filed on June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Second Amendment, dated as of July 3, 2008, to Agreement and Plan of Merger, dated as of March 21, 2008, among Marathon Acquisition Corp.,</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GSL Holdings, Inc., CMA CGM S.A. and Global Ship Lease, Inc., as amended (incorporated by reference to Exhibit 2.1 of Marathon Acquisition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Corp.’s Current Report on Form 8-K (File No. 001-32983) filed on July 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Registration Rights Agreement between GSL Holdings, Inc., Marathon Founders, LLC, Marathon Investors, LLC, the insiders listed on</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the signature page thereto and CMA CGM S.A. (incorporated by reference to Exhibit A-1 to Exhibit 2.1 of Marathon Acquisition Corp.’s Current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001-32983) filed on July 24,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First Amendment to Registration Rights Agreement, dated as of February 11,2013, among Global Ship Lease, Inc. (formerly GSL Holdings, Inc.)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and CMA CGM S.A. (incorporated by reference to Exhibit 1 of Global Ship Lease, Inc.’s Current Report on Form 6-K (File No. 001-34153) filed</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February 28, 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Founder Warrant Purchase Agreement, dated as of May 11, 2006, between Marathon Acquisition Corp. and Marathon Investors, LLC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(incorporated by reference to Exhibit 10.8 of Amendment No. 1 to Marathon Acquisition Corp.’s Registration Statement on Form S-1 (File No.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333-134078) filed on June 29,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First Supplemental Founder Warrant Purchase Agreement, dated March 18, 2008, between the Marathon Acquisition Corp. and Marathon</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Investors, LLC (incorporated by reference to Exhibit 4.1 of Marathon Acquisition Corp.’s Current Report on Form 8-K (File No. 001-32983) filed</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Indemnification Agreement between Marathon Acquisition Corp. and each of its directors and executive officers (incorporated by reference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to Exhibit 10.6 of Amendment No. 2 to Marathon Acquisition Corp.’s Registration Statement on Form S-1 (File No. 333-134078) filed on August</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580"/>
              <w:spacing w:after="0"/>
              <w:rPr>
                <w:sz w:val="20"/>
                <w:szCs w:val="20"/>
                <w:color w:val="auto"/>
              </w:rPr>
            </w:pPr>
            <w:r>
              <w:rPr>
                <w:rFonts w:ascii="Arial" w:cs="Arial" w:eastAsia="Arial" w:hAnsi="Arial"/>
                <w:sz w:val="18"/>
                <w:szCs w:val="18"/>
                <w:color w:val="auto"/>
              </w:rPr>
              <w:t>1,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of Transitional Services Agreement between Global Ship Lease Services Limited and CMA CGM S.A. (incorporated by reference to Exhibit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A-5 to Exhibit 2.1 of Marathon Acquisition Corp.’s Current Report on Form 8-K (File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Amended and Restated Asset Purchase Agreement, dated as of December 5, 2007, among Global Ship Lease, Inc. and CMA CGM S.A., Delmas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S.A.S., Pacific I S.N.C. and Pacific II S.N.C. (incorporated by reference to Exhibit 10.7 of Global Ship Lease, Inc.’s Registration Statement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F-4 (File No. 333-150309) filed on April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Form of Second Amended and Restated Asset Purchase Agreement among Global Ship Lease, Inc. and CMA CGM S.A., Delmas S.A.S., Pacific I</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S.N.C. and Pacific II S.N.C. (incorporated by reference to Exhibit A-2 to Exhibit 2.1 of Marathon Acquisition Corp’s Current Report on Form 8-K</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Credit Facility, dated as of December 10, 2007, among the Companies Listed In Part 1 of Schedule 1 thereto, Global Ship Lease, Inc., Fortis Bank</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(Nederland) N.V., Citigroup Global Markets Limited, HSH Nordbank AG, DNB Nor Bank ASA, Sumitomo Mitsui Banking Corporation, Brussels</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Branch (incorporated by reference to Exhibit 10.9 of Amendment No. 3 to Global Ship Lease, Inc.’s Registration Statement on Form F-1 (File No.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333-147070) filed on November 13, 2007).</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4.13</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90"/>
              </w:rPr>
              <w:t>Addendum No. 1 to Credit Facility, dated December 10, 2007, among the Companies Listed In Part 1 of Schedule 1 thereto, Global Ship Lease,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Inc., Fortis Bank (Nederland) N.V., Citigroup Global Markets Limited, HSH Nordbank AG, DNB Nor Bank ASA, Sumitomo Mitsui Banking</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Corporation, Brussels Branch (incorporated by reference to Exhibit 10.10 of Global Ship Lease, Inc.’s Registration Statement on Form F-4 (File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333-150309) filed on April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2 to Credit Facility, dated February 2009, among the Companies Listed In Part 1 of Schedule 1 thereto, Global Ship Lease, Inc.,</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Fortis Bank (Nederland) N.V., Citigroup Global Markets Limited, HSH Nordbank AG, DNB Nor Bank ASA, Sumitomo Mitsui Banking</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Corporation, Brussels Branch, (incorporated by reference to Exhibit II of Global Ship Lease, Inc.’s Current Report on Form 6-K (File No. 001-</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341539) filed on February 10,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April 29, 2009, between Global Ship Lease, Inc. and Fortis Bank (Nederland) N.V., as Facility Agent</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May 1,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June 26, 2009, between Global Ship Lease, Inc. and Fortis Bank (Nederland) N.V., as Facility Agent</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June 29,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Waiver Agreement to Credit Facility, dated July 30, 2009, between Global Ship Lease, Inc. and Fortis Bank (Nederland) N.V., as Facility Agent</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July 31,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Amendment and Restatement Agreement to Credit Facility, dated August 20, 2009, among the Companies Listed In Part 1 of Schedule 1 thereto,</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Global Ship Lease, Inc., Fortis Bank (Nederland) N.V., Citigroup Global Markets Limited, HSH Nordbank AG, DNB Nor Bank ASA, Sumitomo</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Mitsui Banking Corporation, Brussels Branch, (incorporated by reference to Exhibit II of Global Ship Lease, Inc.’s Current Report on Form 6-K</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001-341539) filed on August 21,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Waiver Agreement to Credit Facility, dated November 30, 2011, among the Companies Listed In Part 1 of Schedule 1 thereto, Global Ship Lease,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Inc., ABN Amro Bank N.V., as Facility Agent for and on behalf of the Lenders to the Credit Facility, (incorporated by reference to Exhibit II of</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Global Ship Lease, Inc.’s Current Report on Form 6-K (File No. 001-341539) filed on December 1,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November 9, 2012, among the Companies Listed In Part 1 of Schedule 1 thereto, Global Ship Lease,</w:t>
            </w: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Inc., ABN Amro Bank N.V., as Facility Agent for and on behalf of the Lenders to the Credit Facility, (incorporated by reference to Exhibit III of</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Global Ship Lease, Inc.’s Current Report on Form 6-K (File No. 001-341539) filed on December 1,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Global Ship Lease, Inc. in favor of the charterer listed on Schedule I thereto (incorporated by reference to Exhibit</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the CMA CGM S.A. in favor of Global Ship Lease, Inc. (incorporated by reference to Exhibit 10.11 of Global Ship</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Charter Agreement entered into by a subsidiary of Global Ship Lease, Inc. and CMA CGM S.A. or one of its subsidiaries (incorporated</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by reference to Exhibit 2.1 of Marathon Acquisition Corp.’s Current Report on Form 8-K (File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Form of Ship Management Agreement entered into by CMA Ships and a Subsidiary of Global Ship Lease, Inc. (incorporated by reference to</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Exhibit A-3 to Exhibit 2.1 of Marathon Acquisition Corp.’s Current Report on Form 8-K (File No. 001-32983) filed on March 25,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Global Ship Lease, Inc. in favor of CMA CGM S.A. and CMA Ships (incorporated by reference to Exhibit 10.14 of</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CMA CGM S.A. in favor of Global Ship Lease, Inc. and its Subsidiaries (incorporated by reference to Exhibit 1015</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5"/>
                <w:szCs w:val="15"/>
                <w:color w:val="auto"/>
              </w:rPr>
            </w:pPr>
          </w:p>
        </w:tc>
        <w:tc>
          <w:tcPr>
            <w:tcW w:w="10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4.27</w:t>
            </w:r>
          </w:p>
        </w:tc>
        <w:tc>
          <w:tcPr>
            <w:tcW w:w="580" w:type="dxa"/>
            <w:vAlign w:val="bottom"/>
          </w:tcPr>
          <w:p>
            <w:pPr>
              <w:spacing w:after="0"/>
              <w:rPr>
                <w:sz w:val="16"/>
                <w:szCs w:val="16"/>
                <w:color w:val="auto"/>
              </w:rPr>
            </w:pPr>
          </w:p>
        </w:tc>
        <w:tc>
          <w:tcPr>
            <w:tcW w:w="10340" w:type="dxa"/>
            <w:vAlign w:val="bottom"/>
          </w:tcPr>
          <w:p>
            <w:pPr>
              <w:spacing w:after="0" w:line="195" w:lineRule="exact"/>
              <w:rPr>
                <w:sz w:val="20"/>
                <w:szCs w:val="20"/>
                <w:color w:val="auto"/>
              </w:rPr>
            </w:pPr>
            <w:r>
              <w:rPr>
                <w:rFonts w:ascii="Arial" w:cs="Arial" w:eastAsia="Arial" w:hAnsi="Arial"/>
                <w:sz w:val="18"/>
                <w:szCs w:val="18"/>
                <w:color w:val="auto"/>
                <w:w w:val="90"/>
              </w:rPr>
              <w:t>Form of Global Expense Agreement between CMA Ships and Global Ship Lease, Inc. (incorporated by reference to Exhibit 10.16 of Global Ship</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of Indemnification Agreement entered into between Global Ship Lease, Inc. and each of its directors and officers (incorporated by reference</w:t>
            </w: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to Exhibit 10.17 of Global Ship Lease, Inc.’s Registration Statement on Form F-1 (File No. 333-147070) filed on November 1, 2007).</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6"/>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4.29</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Form of Stockholders Agreement among GSL Holdings, Inc., CMA CGM S.A. and Marathon Founders, LLC (incorporated by reference to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Exhibit B to Exhibit 2.1 of Marathon Acquisition Corp.’s Current Report on Form 8-K (File No. 001-32983) filed on June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4.30</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2008 Equity Incentive Plan (incorporated by reference to Exhibit 10.22 of Global Ship Lease, Inc.’s Registration Statement on Form F-1 (File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No. 333-153448) filed on September 12,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Employment Agreement of Ian J. Webber (incorporated by reference to Exhibit 10.23 of Amendment No. 3 to Global Ship Lease, Inc.’s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Employment Agreement of Susan J. Cook (incorporated by reference to Exhibit 10.24 of Amendment No. 3 to Global Ship Lease, Inc.’s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Form of Employment Agreement of Thomas A. Lister (incorporated by reference to Exhibit 10.25 of Amendment No. 3 to Global Ship Lease,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Inc.’s Registration Statement on Form F-4 (File No. 333-150309) filed on July 3,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789 (incorporated by reference to Exhibit 10.26 of Global Ship Lease, Inc.’s Registration Statement 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790 (incorporated by reference to Exhibit 10.27 of Global Ship Lease, Inc.’s Registration Statement 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in Respect of the Vessel with Builder’s Hull No. YZJ2007-789 dated November 8, 2010 (incorporated by reference to Exhibit III of</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Current Report on Form 6-K (File No. 001-34153) filed on November 12,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in Respect of the Vessel with Builder’s Hull No. YZJ2007-790 dated November 8, 2010 (incorporated by reference to Exhibit III of</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Current Report on Form 6-K (File No. 001-34153) filed on November 12,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List of Subsidiaries of Global Ship Lease, Inc. (incorporated by reference to Exhibit II of Global Ship Lease, Inc.’s Annual Report on Form 20-F</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(File No. 001-341539) filed on June 25, 2009).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Code of Ethics (incorporated by reference to Exhibit II of Global Ship Lease, Inc.’s Annual Report on Form 20-F (File No. 001-341539) filed on</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June 25, 2009).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Ian J. Webber, Chief Executive Officer, pursuant to 18 U.S.C. Section 1350, as adopted pursuant to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Susan J. Cook, Chief Financial Officer, pursuant to 18 U.S.C. Section 1350, as adopted pursuant to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Consent of PricewaterhouseCoopers Audit to the incorporation by reference of the consolidated financial statements of the Company for the</w:t>
            </w:r>
          </w:p>
        </w:tc>
      </w:tr>
    </w:tbl>
    <w:p>
      <w:pPr>
        <w:ind w:left="1160"/>
        <w:spacing w:after="0"/>
        <w:rPr>
          <w:sz w:val="20"/>
          <w:szCs w:val="20"/>
          <w:color w:val="auto"/>
        </w:rPr>
      </w:pPr>
      <w:r>
        <w:rPr>
          <w:rFonts w:ascii="Arial" w:cs="Arial" w:eastAsia="Arial" w:hAnsi="Arial"/>
          <w:sz w:val="18"/>
          <w:szCs w:val="18"/>
          <w:color w:val="auto"/>
        </w:rPr>
        <w:t>fiscal year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color w:val="auto"/>
                <w:w w:val="98"/>
              </w:rPr>
              <w:t>/S/  IAN J. WEBBER</w:t>
            </w:r>
          </w:p>
        </w:tc>
      </w:tr>
      <w:tr>
        <w:trPr>
          <w:trHeight w:val="130"/>
        </w:trPr>
        <w:tc>
          <w:tcPr>
            <w:tcW w:w="280" w:type="dxa"/>
            <w:vAlign w:val="bottom"/>
          </w:tcPr>
          <w:p>
            <w:pPr>
              <w:spacing w:after="0"/>
              <w:rPr>
                <w:sz w:val="11"/>
                <w:szCs w:val="11"/>
                <w:color w:val="auto"/>
              </w:rPr>
            </w:pPr>
          </w:p>
        </w:tc>
        <w:tc>
          <w:tcPr>
            <w:tcW w:w="4280" w:type="dxa"/>
            <w:vAlign w:val="bottom"/>
          </w:tcPr>
          <w:p>
            <w:pPr>
              <w:jc w:val="center"/>
              <w:ind w:left="26"/>
              <w:spacing w:after="0" w:line="131" w:lineRule="exact"/>
              <w:rPr>
                <w:sz w:val="20"/>
                <w:szCs w:val="20"/>
                <w:color w:val="auto"/>
              </w:rPr>
            </w:pPr>
            <w:r>
              <w:rPr>
                <w:rFonts w:ascii="Arial" w:cs="Arial" w:eastAsia="Arial" w:hAnsi="Arial"/>
                <w:sz w:val="14"/>
                <w:szCs w:val="14"/>
                <w:b w:val="1"/>
                <w:bCs w:val="1"/>
                <w:color w:val="auto"/>
                <w:w w:val="90"/>
              </w:rPr>
              <w:t>Ian J. Webber</w:t>
            </w:r>
          </w:p>
        </w:tc>
      </w:tr>
      <w:tr>
        <w:trPr>
          <w:trHeight w:val="174"/>
        </w:trPr>
        <w:tc>
          <w:tcPr>
            <w:tcW w:w="280" w:type="dxa"/>
            <w:vAlign w:val="bottom"/>
          </w:tcPr>
          <w:p>
            <w:pPr>
              <w:spacing w:after="0"/>
              <w:rPr>
                <w:sz w:val="15"/>
                <w:szCs w:val="15"/>
                <w:color w:val="auto"/>
              </w:rPr>
            </w:pPr>
          </w:p>
        </w:tc>
        <w:tc>
          <w:tcPr>
            <w:tcW w:w="4280" w:type="dxa"/>
            <w:vAlign w:val="bottom"/>
          </w:tcPr>
          <w:p>
            <w:pPr>
              <w:jc w:val="center"/>
              <w:ind w:left="6"/>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GLOSSARY OF SHIPPING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definitions of certain terms that are commonly used in the shipping industry and in this Annual Report.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ship is not laden with cargo.</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Bareboat Charter. </w:t>
      </w:r>
      <w:r>
        <w:rPr>
          <w:rFonts w:ascii="Arial" w:cs="Arial" w:eastAsia="Arial" w:hAnsi="Arial"/>
          <w:sz w:val="18"/>
          <w:szCs w:val="18"/>
          <w:color w:val="auto"/>
        </w:rPr>
        <w:t>A charter of a ship under which the ship-owner is usually paid a fixed amount of charterhire for a certain period of time during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charterer is responsible for the ship operating expenses and voyage expenses of the ship and for the management of the ship, including crewing. A bareboat charter is also known as a “demise charter” or a “time charter by demise.”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 and generators.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Capacity</w:t>
      </w:r>
      <w:r>
        <w:rPr>
          <w:rFonts w:ascii="Arial" w:cs="Arial" w:eastAsia="Arial" w:hAnsi="Arial"/>
          <w:sz w:val="18"/>
          <w:szCs w:val="18"/>
          <w:color w:val="auto"/>
        </w:rPr>
        <w:t>. The nominal carrying capacity of the ship, measured in TEU.</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Charterer</w:t>
      </w:r>
      <w:r>
        <w:rPr>
          <w:rFonts w:ascii="Arial" w:cs="Arial" w:eastAsia="Arial" w:hAnsi="Arial"/>
          <w:sz w:val="18"/>
          <w:szCs w:val="18"/>
          <w:color w:val="auto"/>
        </w:rPr>
        <w:t>. The party that hires a ship for a period of time or for a voyage.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Charterhire</w:t>
      </w:r>
      <w:r>
        <w:rPr>
          <w:rFonts w:ascii="Arial" w:cs="Arial" w:eastAsia="Arial" w:hAnsi="Arial"/>
          <w:sz w:val="18"/>
          <w:szCs w:val="18"/>
          <w:color w:val="auto"/>
        </w:rPr>
        <w:t>. A sum of money paid to the ship-owner by a charterer for the use of a ship.</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Charter owner</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 or lessor.</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a Charter owner normally as a daily rate for the use of its containerships by a charterer. Charter rates can be on a time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or bareboat charter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ship and complies with the applicable rules and regulations of the country of the ship’s registry and the international conventions of which that country is a member. A ship that receives its certification is referred to as being “in-class.”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 services using owned or chartered ships with fixed port of call schedules. Also known as</w:t>
      </w:r>
      <w:r>
        <w:rPr>
          <w:rFonts w:ascii="Arial" w:cs="Arial" w:eastAsia="Arial" w:hAnsi="Arial"/>
          <w:sz w:val="18"/>
          <w:szCs w:val="18"/>
          <w:i w:val="1"/>
          <w:iCs w:val="1"/>
          <w:color w:val="auto"/>
        </w:rPr>
        <w:t xml:space="preserve"> </w:t>
      </w:r>
      <w:r>
        <w:rPr>
          <w:rFonts w:ascii="Arial" w:cs="Arial" w:eastAsia="Arial" w:hAnsi="Arial"/>
          <w:sz w:val="18"/>
          <w:szCs w:val="18"/>
          <w:color w:val="auto"/>
        </w:rPr>
        <w:t>a carrier, liner company or an operator.</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Drydocking</w:t>
      </w:r>
      <w:r>
        <w:rPr>
          <w:rFonts w:ascii="Arial" w:cs="Arial" w:eastAsia="Arial" w:hAnsi="Arial"/>
          <w:sz w:val="16"/>
          <w:szCs w:val="16"/>
          <w:color w:val="auto"/>
        </w:rPr>
        <w:t>. Placing the ship in a drydock in order to check and repair areas and parts below the water line. During drydockings, which are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out periodically, certain mandatory classification society inspections are carried out and relevant certifications are issued. Under Classification Society rules, drydockings for containerships are generally required once every three to five years or after an accident resulting in under-water damage.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at 100 cubic feet to the ton.</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Headhaul</w:t>
      </w:r>
      <w:r>
        <w:rPr>
          <w:rFonts w:ascii="Arial" w:cs="Arial" w:eastAsia="Arial" w:hAnsi="Arial"/>
          <w:sz w:val="18"/>
          <w:szCs w:val="18"/>
          <w:color w:val="auto"/>
        </w:rPr>
        <w:t>. 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under construction or just delivered.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Off-hire</w:t>
      </w:r>
      <w:r>
        <w:rPr>
          <w:rFonts w:ascii="Arial" w:cs="Arial" w:eastAsia="Arial" w:hAnsi="Arial"/>
          <w:sz w:val="18"/>
          <w:szCs w:val="18"/>
          <w:color w:val="auto"/>
        </w:rPr>
        <w:t>. The period in which a ship is not available for service under a charter and, accordingly, the charterer generally is not required to pay the hire. Off-hire periods can include days spent on repairs, drydocking and surveys, whether or not scheduled.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government, flag state, class certification and international rules and regulations.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 typically built at the same shipyard.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 a</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society.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ship operating expenses while the charterer is responsible for paying the voyage expenses such as fuel and additional voyage insurance. The ship-owner is paid charterhire, which accrues on a daily basis.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Vessel operating expenses</w:t>
      </w:r>
      <w:r>
        <w:rPr>
          <w:rFonts w:ascii="Arial" w:cs="Arial" w:eastAsia="Arial" w:hAnsi="Arial"/>
          <w:sz w:val="16"/>
          <w:szCs w:val="16"/>
          <w:color w:val="auto"/>
        </w:rPr>
        <w:t>. The costs of operating a ship, primarily consisting of crew wages and associated costs, insurance premiums, ship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fees, costs of lubricants and spare parts, and repair and maintenance costs. Vessel operating expenses exclude bunker costs, port expenses, stevedoring costs, agents’ fees, canal dues, extra war risk insurance and commissions, which are included in “voyage expenses.”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 stevedoring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agents’ fees, canal dues, extra war risk insurance and commissions.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YEAR ENDED DECEMBER 31, 2012</w:t>
      </w:r>
    </w:p>
    <w:p>
      <w:pPr>
        <w:sectPr>
          <w:pgSz w:w="11900" w:h="16838" w:orient="portrait"/>
          <w:cols w:equalWidth="0" w:num="1">
            <w:col w:w="10219"/>
          </w:cols>
          <w:pgMar w:left="240" w:top="45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jc w:val="right"/>
              <w:ind w:right="115"/>
              <w:spacing w:after="0"/>
              <w:rPr>
                <w:sz w:val="20"/>
                <w:szCs w:val="20"/>
                <w:color w:val="auto"/>
              </w:rPr>
            </w:pPr>
            <w:r>
              <w:rPr>
                <w:rFonts w:ascii="Arial" w:cs="Arial" w:eastAsia="Arial" w:hAnsi="Arial"/>
                <w:sz w:val="14"/>
                <w:szCs w:val="14"/>
                <w:color w:val="auto"/>
              </w:rPr>
              <w:t>Page</w:t>
            </w:r>
          </w:p>
        </w:tc>
      </w:tr>
      <w:tr>
        <w:trPr>
          <w:trHeight w:val="184"/>
        </w:trPr>
        <w:tc>
          <w:tcPr>
            <w:tcW w:w="9620" w:type="dxa"/>
            <w:vAlign w:val="bottom"/>
            <w:gridSpan w:val="7"/>
          </w:tcPr>
          <w:p>
            <w:pPr>
              <w:spacing w:after="0" w:line="184" w:lineRule="exact"/>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45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91">
              <w:r>
                <w:rPr>
                  <w:rFonts w:ascii="Arial" w:cs="Arial" w:eastAsia="Arial" w:hAnsi="Arial"/>
                  <w:sz w:val="18"/>
                  <w:szCs w:val="18"/>
                  <w:color w:val="0000EE"/>
                  <w:w w:val="85"/>
                </w:rPr>
                <w:t>Consolidated Balance Sheets as at December 31, 2012 and 2011</w:t>
              </w:r>
            </w:hyperlink>
          </w:p>
        </w:tc>
        <w:tc>
          <w:tcPr>
            <w:tcW w:w="5100" w:type="dxa"/>
            <w:vAlign w:val="bottom"/>
            <w:gridSpan w:val="4"/>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3 - 4</w:t>
            </w:r>
          </w:p>
        </w:tc>
      </w:tr>
      <w:tr>
        <w:trPr>
          <w:trHeight w:val="304"/>
        </w:trPr>
        <w:tc>
          <w:tcPr>
            <w:tcW w:w="9620" w:type="dxa"/>
            <w:vAlign w:val="bottom"/>
            <w:gridSpan w:val="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Statements of Income for the years ended December 31, 2012, 2011 and 2010</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08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Consolidated Statements of Cash Flows for the years ended December 31, 2012, 2011 and 2010</w:t>
              </w:r>
            </w:hyperlink>
          </w:p>
        </w:tc>
        <w:tc>
          <w:tcPr>
            <w:tcW w:w="288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2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Consolidated Statements of Changes in Stockholders’ Equity for the years ended December 31, 2012, 2011 and 2010</w:t>
              </w:r>
            </w:hyperlink>
          </w:p>
        </w:tc>
        <w:tc>
          <w:tcPr>
            <w:tcW w:w="13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9620" w:type="dxa"/>
            <w:vAlign w:val="bottom"/>
            <w:gridSpan w:val="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Notes to Consolidated Financial Statements</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8 - 25</w:t>
            </w: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gridSpan w:val="4"/>
          </w:tcPr>
          <w:p>
            <w:pPr>
              <w:ind w:left="960"/>
              <w:spacing w:after="0"/>
              <w:rPr>
                <w:sz w:val="20"/>
                <w:szCs w:val="20"/>
                <w:color w:val="auto"/>
              </w:rPr>
            </w:pPr>
            <w:r>
              <w:rPr>
                <w:rFonts w:ascii="Arial" w:cs="Arial" w:eastAsia="Arial" w:hAnsi="Arial"/>
                <w:sz w:val="18"/>
                <w:szCs w:val="18"/>
                <w:color w:val="auto"/>
              </w:rPr>
              <w:t>Page 1</w:t>
            </w:r>
          </w:p>
        </w:tc>
        <w:tc>
          <w:tcPr>
            <w:tcW w:w="1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Global Ship Lease, Inc.</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changes in stockholders’ equity and of cash flows present fairly, in all material respects, the financial position of Global Ship Lease, Inc. and its subsidiaries (“the Company”) at December 31, 2012 and December 31, 2011, and the results of their operations and their cash flows for each of the three years in the period ended December 31, 2012 in conformity with accounting principles generally accepted in United States of America. Also in our opinion, the Company maintained, in all material respects, effective internal control over financial reporting as of December 31, 2012, based on criteria established in Internal Control—Integrated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section entitled “Management’s Report on Internal Control Over Financial Reporting” under Item 15 of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discussed in Note 2 (b) (i) to the consolidated financial statements, the Company has entered into significant contracts with CMA CGM, a related party and the sole source of the Company’s operating revenue and consequently the Company is highly dependent on the performance by CMA CGM of its obligations under those contracts which will in turn depend partly on CMA CGM’s financial situation.</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12,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 13)</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Accounts receivable</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14,417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receivables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financing costs (note 7)</w:t>
            </w:r>
          </w:p>
        </w:tc>
        <w:tc>
          <w:tcPr>
            <w:tcW w:w="2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44,018</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shd w:val="clear" w:color="auto" w:fill="CCEEFF"/>
          </w:tcPr>
          <w:p>
            <w:pPr>
              <w:spacing w:after="0"/>
              <w:rPr>
                <w:sz w:val="18"/>
                <w:szCs w:val="18"/>
                <w:color w:val="auto"/>
              </w:rPr>
            </w:pPr>
          </w:p>
        </w:tc>
      </w:tr>
      <w:tr>
        <w:trPr>
          <w:trHeight w:val="221"/>
        </w:trPr>
        <w:tc>
          <w:tcPr>
            <w:tcW w:w="6360" w:type="dxa"/>
            <w:vAlign w:val="bottom"/>
            <w:gridSpan w:val="2"/>
          </w:tcPr>
          <w:p>
            <w:pPr>
              <w:spacing w:after="0"/>
              <w:rPr>
                <w:sz w:val="20"/>
                <w:szCs w:val="20"/>
                <w:color w:val="auto"/>
              </w:rPr>
            </w:pPr>
            <w:r>
              <w:rPr>
                <w:rFonts w:ascii="Arial" w:cs="Arial" w:eastAsia="Arial" w:hAnsi="Arial"/>
                <w:sz w:val="18"/>
                <w:szCs w:val="18"/>
                <w:color w:val="auto"/>
              </w:rPr>
              <w:t>Vessels in operation (note 4)</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856,394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890,249</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Intangible assets – other (note 5)</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financing costs (note 7)</w:t>
            </w:r>
          </w:p>
        </w:tc>
        <w:tc>
          <w:tcPr>
            <w:tcW w:w="2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859,662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894,031</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10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903,680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939,535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(note 9)</w:t>
            </w:r>
          </w:p>
        </w:tc>
        <w:tc>
          <w:tcPr>
            <w:tcW w:w="310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Intangible liability – charter agreements (note 8)</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expenses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6)</w:t>
            </w:r>
          </w:p>
        </w:tc>
        <w:tc>
          <w:tcPr>
            <w:tcW w:w="2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15,920</w:t>
            </w:r>
          </w:p>
        </w:tc>
        <w:tc>
          <w:tcPr>
            <w:tcW w:w="10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75,688</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9)</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375,104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437,612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Preferred shares (note 13)</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8)</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6)</w:t>
            </w:r>
          </w:p>
        </w:tc>
        <w:tc>
          <w:tcPr>
            <w:tcW w:w="2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2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461,404</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535,057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10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537,092</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605,335</w:t>
            </w:r>
          </w:p>
        </w:tc>
        <w:tc>
          <w:tcPr>
            <w:tcW w:w="100" w:type="dxa"/>
            <w:vAlign w:val="bottom"/>
            <w:shd w:val="clear" w:color="auto" w:fill="CCEEFF"/>
          </w:tcPr>
          <w:p>
            <w:pPr>
              <w:spacing w:after="0"/>
              <w:rPr>
                <w:sz w:val="18"/>
                <w:szCs w:val="18"/>
                <w:color w:val="auto"/>
              </w:rPr>
            </w:pPr>
          </w:p>
        </w:tc>
      </w:tr>
      <w:tr>
        <w:trPr>
          <w:trHeight w:val="221"/>
        </w:trPr>
        <w:tc>
          <w:tcPr>
            <w:tcW w:w="63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2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Class A Common stock – authorized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214,000,000 shares with a $0.01 par value;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47,481,864 shares issued and outstanding (2011 – 47,463,978) (note 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20,000,000 shares with a $0.01 par value;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7,405,956 shares issued and outstanding (2011 – 7,405,956) (note 13)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352,316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13,723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366,588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334,200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903,680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939,535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Time charter 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153,205</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156,268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45,517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40,131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7,384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 (note 5)</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operating income (note 10)</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106,341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107,064</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49,927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51,773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 (note 14)</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9,071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(note 17)</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47,481,766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47,262,549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Diluted (note 17)</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47,633,991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47,448,012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46,910,604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share</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Basic (note 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(note 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(note 17)</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Income (Loss) in $ per Class B share</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(note 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2"/>
              </w:rPr>
              <w:t>Year ended</w:t>
            </w: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Year ended</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31,928</w:t>
            </w:r>
          </w:p>
        </w:tc>
        <w:tc>
          <w:tcPr>
            <w:tcW w:w="5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40,343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40,131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 (note 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13,645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Amortization of deferred financing costs (note 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 (note 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 (note 14)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Share based compensation (note 15)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receivables and other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3,958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83,698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74,872</w:t>
            </w: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 (note 14)</w:t>
            </w: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(18,402)</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(19,393)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paid for intangible assets</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vessel purchase options (note 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paid for purchase of vessels, vessel prepayments and vessel deposits</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(24,316)</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(27,254)</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(57,936)</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(49,157)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Variation in restricted cash (note 13)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preferred shares (note 13)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(59,051)</w:t>
            </w:r>
          </w:p>
        </w:tc>
        <w:tc>
          <w:tcPr>
            <w:tcW w:w="18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(50,164)</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(55,423)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25,814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28,360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25,814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income tax paid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2"/>
              </w:rPr>
              <w:t>at $0.01</w:t>
            </w:r>
          </w:p>
        </w:tc>
        <w:tc>
          <w:tcPr>
            <w:tcW w:w="4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w w:val="87"/>
              </w:rPr>
              <w:t>Common</w:t>
            </w:r>
          </w:p>
        </w:tc>
        <w:tc>
          <w:tcPr>
            <w:tcW w:w="4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4"/>
              </w:rPr>
              <w:t>Par value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Stock</w:t>
            </w:r>
          </w:p>
        </w:tc>
        <w:tc>
          <w:tcPr>
            <w:tcW w:w="40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54,086,150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$350,319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Stock Units (note 15)</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13, 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(loss) for the year</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54,536,423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$351,295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(27,276)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Stock Units (note 15)</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13, 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54,869,934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(18,205)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Stock Units (note 15)</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13, 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54,887,820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352,316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366,588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General</w:t>
      </w:r>
    </w:p>
    <w:p>
      <w:pPr>
        <w:spacing w:after="0" w:line="96"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Under the merger agreement, Marathon, a U.S. corporation, first merged with its wholly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Nature of Operations and Basis of Preparation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Nature of Operations</w:t>
      </w:r>
    </w:p>
    <w:p>
      <w:pPr>
        <w:spacing w:after="0" w:line="96" w:lineRule="exact"/>
        <w:rPr>
          <w:sz w:val="20"/>
          <w:szCs w:val="20"/>
          <w:color w:val="auto"/>
        </w:rPr>
      </w:pPr>
    </w:p>
    <w:p>
      <w:pPr>
        <w:ind w:left="460" w:right="760"/>
        <w:spacing w:after="0" w:line="268" w:lineRule="auto"/>
        <w:rPr>
          <w:sz w:val="20"/>
          <w:szCs w:val="20"/>
          <w:color w:val="auto"/>
        </w:rPr>
      </w:pPr>
      <w:r>
        <w:rPr>
          <w:rFonts w:ascii="Arial" w:cs="Arial" w:eastAsia="Arial" w:hAnsi="Arial"/>
          <w:sz w:val="18"/>
          <w:szCs w:val="18"/>
          <w:color w:val="auto"/>
        </w:rPr>
        <w:t>The Company owns and charters out containerships. All vessels are time chartered to CMA CGM S.A. (“CMA CGM”) for remaining terms as at December 31, 2012 ranging from 0.4 to 13.0 years (see note 11).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17 vessels chartered to CMA CGM and which are reflected in these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Remaining</w:t>
            </w:r>
          </w:p>
        </w:tc>
        <w:tc>
          <w:tcPr>
            <w:tcW w:w="58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Charter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Daily</w:t>
            </w:r>
          </w:p>
        </w:tc>
      </w:tr>
      <w:tr>
        <w:trPr>
          <w:trHeight w:val="134"/>
        </w:trPr>
        <w:tc>
          <w:tcPr>
            <w:tcW w:w="78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Capacity</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Purchase Date</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Duration</w:t>
            </w: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5760" w:type="dxa"/>
            <w:vAlign w:val="bottom"/>
          </w:tcPr>
          <w:p>
            <w:pPr>
              <w:spacing w:after="0"/>
              <w:rPr>
                <w:sz w:val="15"/>
                <w:szCs w:val="15"/>
                <w:color w:val="auto"/>
              </w:rPr>
            </w:pPr>
          </w:p>
        </w:tc>
        <w:tc>
          <w:tcPr>
            <w:tcW w:w="98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 xml:space="preserve">in TEUs </w:t>
            </w:r>
            <w:r>
              <w:rPr>
                <w:rFonts w:ascii="Arial" w:cs="Arial" w:eastAsia="Arial" w:hAnsi="Arial"/>
                <w:sz w:val="18"/>
                <w:szCs w:val="18"/>
                <w:b w:val="1"/>
                <w:bCs w:val="1"/>
                <w:color w:val="auto"/>
                <w:vertAlign w:val="superscript"/>
              </w:rPr>
              <w:t>(1)</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Year Built</w:t>
            </w:r>
          </w:p>
        </w:tc>
        <w:tc>
          <w:tcPr>
            <w:tcW w:w="144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by GSL</w:t>
            </w:r>
            <w:r>
              <w:rPr>
                <w:rFonts w:ascii="Arial" w:cs="Arial" w:eastAsia="Arial" w:hAnsi="Arial"/>
                <w:sz w:val="18"/>
                <w:szCs w:val="18"/>
                <w:b w:val="1"/>
                <w:bCs w:val="1"/>
                <w:color w:val="auto"/>
                <w:vertAlign w:val="superscript"/>
              </w:rPr>
              <w:t>(2)</w:t>
            </w:r>
          </w:p>
        </w:tc>
        <w:tc>
          <w:tcPr>
            <w:tcW w:w="960" w:type="dxa"/>
            <w:vAlign w:val="bottom"/>
            <w:gridSpan w:val="2"/>
          </w:tcPr>
          <w:p>
            <w:pPr>
              <w:jc w:val="center"/>
              <w:ind w:right="320"/>
              <w:spacing w:after="0" w:line="162" w:lineRule="exact"/>
              <w:rPr>
                <w:sz w:val="20"/>
                <w:szCs w:val="20"/>
                <w:color w:val="auto"/>
              </w:rPr>
            </w:pPr>
            <w:r>
              <w:rPr>
                <w:rFonts w:ascii="Arial" w:cs="Arial" w:eastAsia="Arial" w:hAnsi="Arial"/>
                <w:sz w:val="12"/>
                <w:szCs w:val="12"/>
                <w:b w:val="1"/>
                <w:bCs w:val="1"/>
                <w:color w:val="auto"/>
                <w:w w:val="97"/>
              </w:rPr>
              <w:t xml:space="preserve">(years) </w:t>
            </w:r>
            <w:r>
              <w:rPr>
                <w:rFonts w:ascii="Arial" w:cs="Arial" w:eastAsia="Arial" w:hAnsi="Arial"/>
                <w:sz w:val="18"/>
                <w:szCs w:val="18"/>
                <w:b w:val="1"/>
                <w:bCs w:val="1"/>
                <w:color w:val="auto"/>
                <w:w w:val="97"/>
                <w:vertAlign w:val="superscript"/>
              </w:rPr>
              <w:t>(3)</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Rate</w:t>
            </w:r>
          </w:p>
        </w:tc>
      </w:tr>
      <w:tr>
        <w:trPr>
          <w:trHeight w:val="203"/>
        </w:trPr>
        <w:tc>
          <w:tcPr>
            <w:tcW w:w="6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1"/>
                <w:szCs w:val="11"/>
                <w:color w:val="auto"/>
              </w:rPr>
              <w:t>(4)</w:t>
            </w: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4,113</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1997</w:t>
            </w: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0.4</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$9.962</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1"/>
                <w:szCs w:val="11"/>
                <w:color w:val="auto"/>
              </w:rPr>
              <w:t>(5)</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4,113</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1996</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$9.962</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2,262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1999</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2,262</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1999</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2,207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2,207</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2,207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2002</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2,207</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2,272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2001</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2,272</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$18.465</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5,089</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January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$33.750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5,089</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3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January 2008</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$33.750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11,040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2008</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$47.200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4,298</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$25.350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4,045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$25.350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4,045</w:t>
            </w:r>
          </w:p>
        </w:tc>
        <w:tc>
          <w:tcPr>
            <w:tcW w:w="3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3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December 2008</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$25.350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6,621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2001</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August 2009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$34.000</w:t>
            </w:r>
          </w:p>
        </w:tc>
      </w:tr>
    </w:tbl>
    <w:p>
      <w:pPr>
        <w:spacing w:after="0" w:line="19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2012. Plus or minus 90 days, other than Ville d’Orion and Ville d’Aquarius,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A new charter commenced on September 21, 2012 and will expire on May 23, 2013 plus or minus 22 days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A new charter commenced on September 20, 2012 and will expire on May 23, 2013 plus or minus 22 days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activity of the Company currently consists solely of the ownership and provision of vessels for container shipping under time charters.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Nature of Operations and Basis of Preparation (continued)</w:t>
      </w:r>
    </w:p>
    <w:p>
      <w:pPr>
        <w:spacing w:after="0" w:line="158" w:lineRule="exact"/>
        <w:rPr>
          <w:sz w:val="20"/>
          <w:szCs w:val="20"/>
          <w:color w:val="auto"/>
        </w:rPr>
      </w:pPr>
    </w:p>
    <w:p>
      <w:pPr>
        <w:ind w:left="720" w:hanging="256"/>
        <w:spacing w:after="0"/>
        <w:tabs>
          <w:tab w:leader="none" w:pos="72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Counterparty risk</w:t>
      </w:r>
    </w:p>
    <w:p>
      <w:pPr>
        <w:spacing w:after="0" w:line="90"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have reported losses.</w:t>
      </w:r>
    </w:p>
    <w:p>
      <w:pPr>
        <w:spacing w:after="0" w:line="2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On February 12, 2013 CMA CGM announced it had finalised its financial restructuring as it had reached agreement with its banks regarding its debt restructuring including a new covenant package taking into account the volatile nature of the container shipping industry. A further part of the restructuring is agreement with the French Fonds Strategique d’Investissement to invest $150 million in bonds redeemable for shares and a further investment by the Yildrim Group of $100 million, also for bonds redeemable for shares.</w:t>
      </w:r>
    </w:p>
    <w:p>
      <w:pPr>
        <w:spacing w:after="0" w:line="62"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62"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The Company has experienced continued delays in receiving charterhire from CMA CGM, where between one and three instalments have been outstanding. Under the charter contracts charterhire is due to be paid every 15 days in advance on the 1st and 16th of each month. As at December 31, 2012, two periods of charterhire, due on December 1 and December 16, 2012, were outstanding amounting to $12,164. This was received in January 2013. As at close of business on April 11, 2013, the latest practicable date prior to the issuance of these consolidated financial statements, one period of charterhire, due on April 1, 2013, was outstanding amounting to $5,886.</w:t>
      </w:r>
    </w:p>
    <w:p>
      <w:pPr>
        <w:spacing w:after="0" w:line="35"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65"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which are under charter, cannot exceed 75%. On November 30, 2011, due to the declines in market values, the Company agreed with its lenders a waiver of the requirement to perform the Leverage Ratio test until November 30, 2012.</w:t>
      </w:r>
    </w:p>
    <w:p>
      <w:pPr>
        <w:spacing w:after="0" w:line="32"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agreed with its lenders on November 13, 2012, a further waiver for two years of the requirement to perform the Leverage Ratio test. The next scheduled test will be as at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9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Generally Accepted Accounting Principles (“U.S. GAAP”) and include the financial statements of the Company and its wholly-owned subsidiaries. All inter-company transactions and accounts have been eliminated on consolidation.</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accounting policies have been consistently applied throughout the periods presented.</w:t>
      </w:r>
    </w:p>
    <w:p>
      <w:pPr>
        <w:spacing w:after="0" w:line="90"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ind w:left="920" w:right="220"/>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90" w:lineRule="exact"/>
        <w:rPr>
          <w:sz w:val="20"/>
          <w:szCs w:val="20"/>
          <w:color w:val="auto"/>
        </w:rPr>
      </w:pPr>
    </w:p>
    <w:p>
      <w:pPr>
        <w:ind w:left="920" w:right="620"/>
        <w:spacing w:after="0" w:line="268"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investments with original maturities of three months or less.</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0"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Cash and cash equivalents subject to restrictions are excluded from cash and cash equivalents in the consolidated balance sheet and are presented as restricted cash.</w:t>
      </w:r>
    </w:p>
    <w:p>
      <w:pPr>
        <w:spacing w:after="0" w:line="5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 nil as of December 31, 2012 (2011: $ nil).</w:t>
      </w:r>
    </w:p>
    <w:p>
      <w:pPr>
        <w:spacing w:after="0" w:line="35"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Vessels</w:t>
      </w:r>
    </w:p>
    <w:p>
      <w:pPr>
        <w:spacing w:after="0" w:line="90" w:lineRule="exact"/>
        <w:rPr>
          <w:sz w:val="20"/>
          <w:szCs w:val="20"/>
          <w:color w:val="auto"/>
        </w:rPr>
      </w:pPr>
    </w:p>
    <w:p>
      <w:pPr>
        <w:ind w:left="920" w:right="20"/>
        <w:spacing w:after="0" w:line="335" w:lineRule="auto"/>
        <w:rPr>
          <w:sz w:val="20"/>
          <w:szCs w:val="20"/>
          <w:color w:val="auto"/>
        </w:rPr>
      </w:pPr>
      <w:r>
        <w:rPr>
          <w:rFonts w:ascii="Arial" w:cs="Arial" w:eastAsia="Arial" w:hAnsi="Arial"/>
          <w:sz w:val="15"/>
          <w:szCs w:val="15"/>
          <w:color w:val="auto"/>
        </w:rPr>
        <w:t>Up to the date of the merger described in note 1, vessels were recorded at their acquisition cost, less an amount allocated to dry dock component, less accumulated depreciation. From the date of the merger, the vessels have been recorded at their fair value at the date of the merger, less a proportion of the negative goodwill arising at the time of the merger allocated to these vessels, less accumulated depreciation and impairment loss, if any.</w:t>
      </w:r>
    </w:p>
    <w:p>
      <w:pPr>
        <w:spacing w:after="0" w:line="7"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In connection with the merger, the Company recognised an intangible asset arising from the comparison of the acquisition prices in the asset purchase agreement between the Company as buyer and CMA CGM as seller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62"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51" w:lineRule="exact"/>
        <w:rPr>
          <w:sz w:val="20"/>
          <w:szCs w:val="20"/>
          <w:color w:val="auto"/>
        </w:rPr>
      </w:pPr>
    </w:p>
    <w:p>
      <w:pPr>
        <w:ind w:left="920" w:right="560"/>
        <w:spacing w:after="0" w:line="370" w:lineRule="auto"/>
        <w:rPr>
          <w:sz w:val="20"/>
          <w:szCs w:val="20"/>
          <w:color w:val="auto"/>
        </w:rPr>
      </w:pPr>
      <w:r>
        <w:rPr>
          <w:rFonts w:ascii="Arial" w:cs="Arial" w:eastAsia="Arial" w:hAnsi="Arial"/>
          <w:sz w:val="15"/>
          <w:szCs w:val="15"/>
          <w:color w:val="auto"/>
        </w:rPr>
        <w:t>Borrowing costs incurred during the construction of vessels or as part of the prefinancing of the acquisition of vessels are capitalized. Interest capitalized in the year ended December 31, 2012 was $ nil (2011: $ nil and 2010: $525). Other borrowing costs are expensed as incurred.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b w:val="1"/>
          <w:bCs w:val="1"/>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Vessels (continued)</w:t>
      </w:r>
    </w:p>
    <w:p>
      <w:pPr>
        <w:spacing w:after="0" w:line="158"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first delivery from the shipyard.</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Prepayments and costs directly related to the future acquisition of vessels are presented in the consolidated balance sheet as vessel deposits.</w:t>
      </w:r>
    </w:p>
    <w:p>
      <w:pPr>
        <w:spacing w:after="0" w:line="113"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90"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Upon initial purchase, an element of the purchase price of a vessel is allocated to a drydock component which is amortized on a straight line basis to the anticipated next dry docking date. Vessels are drydocked approximately every five years for major repairs and maintenance that cannot be performed while the vessels are operating. Costs directly associated with a drydocking, including the required regulatory inspection of the vessel, its hull and its machinery and for the defouling and repainting of the hull are capitalized as they are incurred and depreciated on a straight line basis over the period between drydocks. All capitalized drydocking costs have been classified within investing activities in the statement of cashflows.</w:t>
      </w:r>
    </w:p>
    <w:p>
      <w:pPr>
        <w:spacing w:after="0" w:line="35"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options</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Cash consideration paid or transferred for the acquisition of purchase options to acquire vessels at a fixed purchase price are recognized as intangible assets in an amount up to the difference, as at the transaction date, between (i) the amount paid for the options plus the purchase price of the vessels and (ii) the fair value of the vessels plus the fair value of attached charters. The fair value of the vessel is assessed based on independent broker valuations. The fair value of a charter attached to the vessel is assessed based on market rates compared to the contracted attached charter rates for the life of the charter.</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agreements</w:t>
      </w:r>
    </w:p>
    <w:p>
      <w:pPr>
        <w:spacing w:after="0" w:line="90" w:lineRule="exact"/>
        <w:rPr>
          <w:sz w:val="20"/>
          <w:szCs w:val="20"/>
          <w:color w:val="auto"/>
        </w:rPr>
      </w:pPr>
    </w:p>
    <w:p>
      <w:pPr>
        <w:ind w:left="920" w:right="260"/>
        <w:spacing w:after="0" w:line="259" w:lineRule="auto"/>
        <w:rPr>
          <w:sz w:val="20"/>
          <w:szCs w:val="20"/>
          <w:color w:val="auto"/>
        </w:rPr>
      </w:pPr>
      <w:r>
        <w:rPr>
          <w:rFonts w:ascii="Arial" w:cs="Arial" w:eastAsia="Arial" w:hAnsi="Arial"/>
          <w:sz w:val="18"/>
          <w:szCs w:val="18"/>
          <w:color w:val="auto"/>
        </w:rPr>
        <w:t>In connection with the merger (see note 1), the Company recognised an intangible asset arising from the comparison of the contracted acquisition prices and the estimated fair value at the date of the merger of the vessels to be purchased. This intangible asset was not amortized and was transferred to the cost of each appropriate vessel on its purchase.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Impairment</w:t>
      </w:r>
    </w:p>
    <w:p>
      <w:pPr>
        <w:spacing w:after="0" w:line="90"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Intangible assets are reviewed individually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59"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90"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wherein the Company’s actual charter rates were compared to market rates at the merger date. These intangible liabilities, recognizing the below market rates as at the date of merger, are amortized as an increase of time charter revenue over the remaining term of the relevant charters.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0"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net present value of future cash flows discounted by an appropriate discount rate.</w:t>
      </w:r>
    </w:p>
    <w:p>
      <w:pPr>
        <w:spacing w:after="0" w:line="3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Accordingly, an impairment test, based on expected undiscounted cash flows by vessel, was performed as at December 31, 2011. Tests of impairment were also undertaken at September 30, 2011 and December 31, 2010.</w:t>
      </w:r>
    </w:p>
    <w:p>
      <w:pPr>
        <w:spacing w:after="0" w:line="59"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agreement of new charters of two of the Company’s vessels at rates substantially below the previous rates was seen as an indicator of potential impairment of their carrying value. Accordingly, an impairment test, based on expected undiscounted cash flows by vessel, was performed for these two vessels as at September 30, 2012.</w:t>
      </w:r>
    </w:p>
    <w:p>
      <w:pPr>
        <w:spacing w:after="0" w:line="59" w:lineRule="exact"/>
        <w:rPr>
          <w:sz w:val="20"/>
          <w:szCs w:val="20"/>
          <w:color w:val="auto"/>
        </w:rPr>
      </w:pPr>
    </w:p>
    <w:p>
      <w:pPr>
        <w:ind w:left="920" w:right="340"/>
        <w:spacing w:after="0" w:line="259" w:lineRule="auto"/>
        <w:rPr>
          <w:sz w:val="20"/>
          <w:szCs w:val="20"/>
          <w:color w:val="auto"/>
        </w:rPr>
      </w:pPr>
      <w:r>
        <w:rPr>
          <w:rFonts w:ascii="Arial" w:cs="Arial" w:eastAsia="Arial" w:hAnsi="Arial"/>
          <w:sz w:val="18"/>
          <w:szCs w:val="18"/>
          <w:color w:val="auto"/>
        </w:rPr>
        <w:t>Due to continuing poor industry conditions, a further impairment test on a vessel by vessel basis was performed as at December 31, 2012. No impairment has been recognised as, based on the assumptions made, the expected undiscounted future cash flows exceeded the vessels’ carrying amounts.</w:t>
      </w:r>
    </w:p>
    <w:p>
      <w:pPr>
        <w:spacing w:after="0" w:line="59" w:lineRule="exact"/>
        <w:rPr>
          <w:sz w:val="20"/>
          <w:szCs w:val="20"/>
          <w:color w:val="auto"/>
        </w:rPr>
      </w:pPr>
    </w:p>
    <w:p>
      <w:pPr>
        <w:ind w:left="920" w:right="100"/>
        <w:spacing w:after="0" w:line="302" w:lineRule="auto"/>
        <w:rPr>
          <w:sz w:val="20"/>
          <w:szCs w:val="20"/>
          <w:color w:val="auto"/>
        </w:rPr>
      </w:pPr>
      <w:r>
        <w:rPr>
          <w:rFonts w:ascii="Arial" w:cs="Arial" w:eastAsia="Arial" w:hAnsi="Arial"/>
          <w:sz w:val="15"/>
          <w:szCs w:val="15"/>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w:t>
      </w:r>
    </w:p>
    <w:p>
      <w:pPr>
        <w:spacing w:after="0" w:line="2" w:lineRule="exact"/>
        <w:rPr>
          <w:sz w:val="20"/>
          <w:szCs w:val="20"/>
          <w:color w:val="auto"/>
        </w:rPr>
      </w:pPr>
    </w:p>
    <w:p>
      <w:pPr>
        <w:ind w:left="920" w:right="560" w:firstLine="1"/>
        <w:spacing w:after="0" w:line="352" w:lineRule="auto"/>
        <w:tabs>
          <w:tab w:leader="none" w:pos="1217" w:val="left"/>
        </w:tabs>
        <w:numPr>
          <w:ilvl w:val="0"/>
          <w:numId w:val="73"/>
        </w:numPr>
        <w:rPr>
          <w:rFonts w:ascii="Arial" w:cs="Arial" w:eastAsia="Arial" w:hAnsi="Arial"/>
          <w:sz w:val="15"/>
          <w:szCs w:val="15"/>
          <w:color w:val="auto"/>
        </w:rPr>
      </w:pPr>
      <w:r>
        <w:rPr>
          <w:rFonts w:ascii="Arial" w:cs="Arial" w:eastAsia="Arial" w:hAnsi="Arial"/>
          <w:sz w:val="15"/>
          <w:szCs w:val="15"/>
          <w:color w:val="auto"/>
        </w:rPr>
        <w:t>dry docking frequency, duration and cost and (v) estimated useful life which is assessed as a total of 30 years from first delivery from the shipyard. In the case of an indication of impairment, the results of a recoverability test would also be sensitive to the discount rate applied.</w:t>
      </w:r>
    </w:p>
    <w:p>
      <w:pPr>
        <w:spacing w:after="0" w:line="1" w:lineRule="exact"/>
        <w:rPr>
          <w:sz w:val="20"/>
          <w:szCs w:val="20"/>
          <w:color w:val="auto"/>
        </w:rPr>
      </w:pPr>
    </w:p>
    <w:p>
      <w:pPr>
        <w:ind w:left="920" w:right="540"/>
        <w:spacing w:after="0" w:line="268" w:lineRule="auto"/>
        <w:rPr>
          <w:sz w:val="20"/>
          <w:szCs w:val="20"/>
          <w:color w:val="auto"/>
        </w:rPr>
      </w:pPr>
      <w:r>
        <w:rPr>
          <w:rFonts w:ascii="Arial" w:cs="Arial" w:eastAsia="Arial" w:hAnsi="Arial"/>
          <w:sz w:val="18"/>
          <w:szCs w:val="18"/>
          <w:color w:val="auto"/>
        </w:rPr>
        <w:t>Based on the assumptions made, the expected undiscounted future cash flows exceeded the vessels’ carrying amounts at each of the test dates disclosed above and accordingly no impairment has been recognised.</w:t>
      </w:r>
    </w:p>
    <w:p>
      <w:pPr>
        <w:spacing w:after="0" w:line="51"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rate hedges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entered into certain hedging agreements in connection with its borrowings.</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59"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The Company’s interest rate derivative instruments do not qualify for hedge accounting. Changes in the fair value are recognized immediately in the Consolidated Statement of Income within “Unrealized gain (loss) on interest rate derivatives”. Cash settlements of interest rate derivative instruments are recognized immediately in the Consolidated Statement of Income within “Realized loss on interest rate derivatives”. Cash flows related to interest rate derivatives (including payments and periodic cash settlements) are included within “Net cash used in investing activities”.</w:t>
      </w:r>
    </w:p>
    <w:p>
      <w:pPr>
        <w:spacing w:after="0" w:line="32"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The fair value of derivatives is presented on the face of the consolidated balance sheet under the line item “Derivative instruments” and is split into current and non-current portions based on the net cash flows expected within one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245"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Deferred financing costs</w:t>
      </w:r>
    </w:p>
    <w:p>
      <w:pPr>
        <w:spacing w:after="0" w:line="90"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w:t>
      </w:r>
    </w:p>
    <w:p>
      <w:pPr>
        <w:spacing w:after="0" w:line="26"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90" w:lineRule="exact"/>
        <w:rPr>
          <w:sz w:val="20"/>
          <w:szCs w:val="20"/>
          <w:color w:val="auto"/>
        </w:rPr>
      </w:pPr>
    </w:p>
    <w:p>
      <w:pPr>
        <w:ind w:left="920" w:right="420"/>
        <w:spacing w:after="0" w:line="255" w:lineRule="auto"/>
        <w:rPr>
          <w:sz w:val="20"/>
          <w:szCs w:val="20"/>
          <w:color w:val="auto"/>
        </w:rPr>
      </w:pPr>
      <w:r>
        <w:rPr>
          <w:rFonts w:ascii="Arial" w:cs="Arial" w:eastAsia="Arial" w:hAnsi="Arial"/>
          <w:sz w:val="18"/>
          <w:szCs w:val="18"/>
          <w:color w:val="auto"/>
        </w:rPr>
        <w:t>Preferred shares have been included within liabilities in the consolidated balance sheet and preferred share dividends included within interest expense in the consolidated statement of income as their nature is similar to that of a liability rather than equity. Holders of these mandatorily redeemable preferred shares are entitled to receive a dividend equal to 3-month U.S. dollar LIBOR plus 2% on the original issue price and rank senior to the Class A and Class B common shares with respect to dividend rights and rights upon liquidation, dissolution or winding up of the Company.</w:t>
      </w:r>
    </w:p>
    <w:p>
      <w:pPr>
        <w:spacing w:after="0" w:line="6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90"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51"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90"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Other comprehensive income (loss), which is reported in the consolidated statement of equity, consists of net income (loss) and other gains and losses affecting equity that, under U.S. GAAP, are excluded from net income (loss). Under ASU 2011-05, an entity reporting comprehensive income in a single continuous financial statement shall present its components in two sections, net income and other comprehensive income. As the Company does not, to date, have other comprehensive income, the accompanying consolidated financial statements only include a consolidated statement of income.</w:t>
      </w:r>
    </w:p>
    <w:p>
      <w:pPr>
        <w:spacing w:after="0" w:line="62"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90"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except for loss generating time charters, in which case the loss is recognized in the period when such accumulated loss is determined. The Company has no loss generating time charters.</w:t>
      </w:r>
    </w:p>
    <w:p>
      <w:pPr>
        <w:spacing w:after="0" w:line="62"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5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90" w:lineRule="exact"/>
        <w:rPr>
          <w:sz w:val="20"/>
          <w:szCs w:val="20"/>
          <w:color w:val="auto"/>
        </w:rPr>
      </w:pPr>
    </w:p>
    <w:p>
      <w:pPr>
        <w:ind w:left="920" w:right="180"/>
        <w:spacing w:after="0" w:line="256"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 (loss).</w:t>
      </w:r>
    </w:p>
    <w:p>
      <w:pPr>
        <w:spacing w:after="0" w:line="62"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245"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expensed over the period covered by the insurance contract.</w:t>
      </w:r>
    </w:p>
    <w:p>
      <w:pPr>
        <w:spacing w:after="0" w:line="62"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awards restricted stock units to its management and Directors as part of their compensation.</w:t>
      </w:r>
    </w:p>
    <w:p>
      <w:pPr>
        <w:spacing w:after="0" w:line="90" w:lineRule="exact"/>
        <w:rPr>
          <w:sz w:val="20"/>
          <w:szCs w:val="20"/>
          <w:color w:val="auto"/>
        </w:rPr>
      </w:pPr>
    </w:p>
    <w:p>
      <w:pPr>
        <w:ind w:left="920" w:right="400"/>
        <w:spacing w:after="0" w:line="259"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expected vesting period.</w:t>
      </w:r>
    </w:p>
    <w:p>
      <w:pPr>
        <w:spacing w:after="0" w:line="59"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Company and its Marshall Island subsidiaries are exempt from taxation in the Marshall Islands. The Company’s vessels are flagged in Bahamas,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Cyprus and Panama and are liable for tax based on the tonnage of the vessel. The cost, which is included within operating expenses, amounted to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$146, $124 and $130 for the years ended December 31, 2012, 2011 and 2010, respectively. The Cyprus subsidiaries are liable for income tax payable</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any interest income earned from non-shipping activity.</w:t>
      </w:r>
    </w:p>
    <w:p>
      <w:pPr>
        <w:spacing w:after="0" w:line="84"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24% (2011: 26%, 2010: 28%). This subsidiary earns management and other fees from fellow group companies.</w:t>
      </w:r>
    </w:p>
    <w:p>
      <w:pPr>
        <w:spacing w:after="0" w:line="51"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recorded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2012 a deferred tax liability of $27 (2011: deferred tax asset of $29) was recognized relating to stock based compensation costs charged to the consolidated statement of income in respect of unvested shares and timing differences between the carrying amounts of assets for financial reporting purposes and their tax bases.</w:t>
      </w:r>
    </w:p>
    <w:p>
      <w:pPr>
        <w:spacing w:after="0" w:line="37"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The Company recognizes uncertain tax positions only if it is more likely than not that the tax position will be sustained on examination by the taxing authorities, based solely on the technical merits of the position.</w:t>
      </w:r>
    </w:p>
    <w:p>
      <w:pPr>
        <w:spacing w:after="0" w:line="5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consolidated balance sheet in the line item “Dividends payable”.</w:t>
      </w:r>
    </w:p>
    <w:p>
      <w:pPr>
        <w:spacing w:after="0" w:line="51"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sz w:val="20"/>
          <w:szCs w:val="20"/>
          <w:color w:val="auto"/>
        </w:rPr>
      </w:pPr>
    </w:p>
    <w:p>
      <w:pPr>
        <w:ind w:left="920" w:right="80"/>
        <w:spacing w:after="0" w:line="323" w:lineRule="auto"/>
        <w:rPr>
          <w:sz w:val="20"/>
          <w:szCs w:val="20"/>
          <w:color w:val="auto"/>
        </w:rPr>
      </w:pPr>
      <w:r>
        <w:rPr>
          <w:rFonts w:ascii="Arial" w:cs="Arial" w:eastAsia="Arial" w:hAnsi="Arial"/>
          <w:sz w:val="15"/>
          <w:szCs w:val="15"/>
          <w:color w:val="auto"/>
        </w:rPr>
        <w:t>Basic earnings per common share are based on income available to common shareholders divided by the weighted-average number of common shares outstanding during the period, excluding non-vested restricted stock units. Diluted earnings per common share are calculated by applying the treasury stock method. All outstanding warrants and non-vested restricted stock units that have a dilutive effect are included in the calculation. The basic and diluted earnings per share for the period are presented for each category of participating common shares under the two-class method.</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accounting standards applicable to the Company have been issued since December 31, 2011.</w:t>
      </w:r>
    </w:p>
    <w:p>
      <w:pPr>
        <w:spacing w:after="0" w:line="90"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consolidated financial statements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4</w:t>
            </w:r>
            <w:r>
              <w:rPr>
                <w:rFonts w:ascii="Arial" w:cs="Arial" w:eastAsia="Arial" w:hAnsi="Arial"/>
                <w:sz w:val="18"/>
                <w:szCs w:val="18"/>
                <w:color w:val="auto"/>
                <w:w w:val="79"/>
              </w:rPr>
              <w:t>.</w:t>
            </w:r>
          </w:p>
        </w:tc>
        <w:tc>
          <w:tcPr>
            <w:tcW w:w="750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$1,014,367</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$1,012,051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(158,205)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(122,325)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50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856,394</w:t>
            </w:r>
          </w:p>
        </w:tc>
        <w:tc>
          <w:tcPr>
            <w:tcW w:w="2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890,249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500" w:type="dxa"/>
            <w:vAlign w:val="bottom"/>
            <w:gridSpan w:val="2"/>
            <w:vMerge w:val="restart"/>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00" w:type="dxa"/>
            <w:vAlign w:val="bottom"/>
          </w:tcPr>
          <w:p>
            <w:pPr>
              <w:spacing w:after="0"/>
              <w:rPr>
                <w:sz w:val="24"/>
                <w:szCs w:val="24"/>
                <w:color w:val="auto"/>
              </w:rPr>
            </w:pPr>
          </w:p>
        </w:tc>
        <w:tc>
          <w:tcPr>
            <w:tcW w:w="75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890,249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922,498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(40,299)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(40,112)</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500" w:type="dxa"/>
            <w:vAlign w:val="bottom"/>
            <w:gridSpan w:val="2"/>
          </w:tcPr>
          <w:p>
            <w:pPr>
              <w:ind w:left="108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856,394</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890,249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all 17 vessels were pledged as collateral under the credit facility agreement (see note 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60" w:type="dxa"/>
            <w:vAlign w:val="bottom"/>
            <w:gridSpan w:val="4"/>
          </w:tcPr>
          <w:p>
            <w:pPr>
              <w:ind w:left="6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4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7"/>
              </w:rPr>
              <w:t>Opening balance – vessel purchase options and software development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Impairment – vessel purchase options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(13,645)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Addition – software development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Depreciation – software development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On November 8, 2010, the Company signed agreements with the sellers of two 4,250 TEU newbuildings to terminate the Company’s purchase obligations under contracts entered into in September 2008 and grant the Company options to purchase the vessels one year later. Intangible assets relating to these purchase options were recognised at the fair value of the purchase options on the date of the agreement amounting to $13,645. As a result of this agreement, previously paid vessel deposits amounting to $17,082 were impaired in November 2010.</w:t>
      </w:r>
    </w:p>
    <w:p>
      <w:pPr>
        <w:spacing w:after="0" w:line="3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The purchase options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unable to obtain committed finance on acceptable terms, the intangible assets relating to these purchase options were written off in the second quarter 2011. The purchase options have lapsed.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6.</w:t>
            </w:r>
          </w:p>
        </w:tc>
        <w:tc>
          <w:tcPr>
            <w:tcW w:w="70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Derivative Instruments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7020" w:type="dxa"/>
            <w:vAlign w:val="bottom"/>
            <w:gridSpan w:val="2"/>
          </w:tcPr>
          <w:p>
            <w:pPr>
              <w:ind w:left="160"/>
              <w:spacing w:after="0"/>
              <w:rPr>
                <w:sz w:val="20"/>
                <w:szCs w:val="20"/>
                <w:color w:val="auto"/>
              </w:rPr>
            </w:pPr>
            <w:r>
              <w:rPr>
                <w:rFonts w:ascii="Arial" w:cs="Arial" w:eastAsia="Arial" w:hAnsi="Arial"/>
                <w:sz w:val="18"/>
                <w:szCs w:val="18"/>
                <w:color w:val="auto"/>
                <w:w w:val="96"/>
              </w:rPr>
              <w:t>The fair value of derivative financial instruments contracted by the Company is as follows:</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b w:val="1"/>
                <w:bCs w:val="1"/>
                <w:color w:val="auto"/>
                <w:w w:val="85"/>
              </w:rPr>
              <w:t>December 31,</w:t>
            </w:r>
          </w:p>
        </w:tc>
        <w:tc>
          <w:tcPr>
            <w:tcW w:w="1500" w:type="dxa"/>
            <w:vAlign w:val="bottom"/>
            <w:gridSpan w:val="3"/>
          </w:tcPr>
          <w:p>
            <w:pPr>
              <w:ind w:left="6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4"/>
              </w:rPr>
              <w:t>Fair value of interest rate swap hedging instruments —current and non current</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   35,591</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portions</w:t>
            </w:r>
          </w:p>
        </w:tc>
        <w:tc>
          <w:tcPr>
            <w:tcW w:w="1240" w:type="dxa"/>
            <w:vAlign w:val="bottom"/>
            <w:gridSpan w:val="2"/>
            <w:vMerge w:val="continue"/>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45,315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2012 and December 31, 2011, none of the Company’s derivative instruments qualified for hedge accounting.</w:t>
      </w:r>
    </w:p>
    <w:p>
      <w:pPr>
        <w:spacing w:after="0" w:line="90"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The Company entered into certain derivative interest rate agreements to fix the interest rate on debt drawn or anticipated to be drawn under its credit facility. A total of $580,000 has been swapped into fixed rate debt at a weighted average rate of 3.59%, with details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Notional</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4"/>
                <w:szCs w:val="14"/>
                <w:b w:val="1"/>
                <w:bCs w:val="1"/>
                <w:color w:val="auto"/>
              </w:rPr>
              <w:t>Start Date</w:t>
            </w:r>
          </w:p>
        </w:tc>
        <w:tc>
          <w:tcPr>
            <w:tcW w:w="4720" w:type="dxa"/>
            <w:vAlign w:val="bottom"/>
          </w:tcPr>
          <w:p>
            <w:pPr>
              <w:ind w:left="1220"/>
              <w:spacing w:after="0"/>
              <w:rPr>
                <w:sz w:val="20"/>
                <w:szCs w:val="20"/>
                <w:color w:val="auto"/>
              </w:rPr>
            </w:pPr>
            <w:r>
              <w:rPr>
                <w:rFonts w:ascii="Arial" w:cs="Arial" w:eastAsia="Arial" w:hAnsi="Arial"/>
                <w:sz w:val="14"/>
                <w:szCs w:val="14"/>
                <w:b w:val="1"/>
                <w:bCs w:val="1"/>
                <w:color w:val="auto"/>
              </w:rPr>
              <w:t>Maturity Date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Fixed Rate %</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May 12, 2008</w:t>
            </w:r>
          </w:p>
        </w:tc>
        <w:tc>
          <w:tcPr>
            <w:tcW w:w="4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March 17, 2013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3.40</w:t>
            </w:r>
          </w:p>
        </w:tc>
        <w:tc>
          <w:tcPr>
            <w:tcW w:w="2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May 19, 2008</w:t>
            </w:r>
          </w:p>
        </w:tc>
        <w:tc>
          <w:tcPr>
            <w:tcW w:w="4720" w:type="dxa"/>
            <w:vAlign w:val="bottom"/>
          </w:tcPr>
          <w:p>
            <w:pPr>
              <w:ind w:left="1220"/>
              <w:spacing w:after="0"/>
              <w:rPr>
                <w:sz w:val="20"/>
                <w:szCs w:val="20"/>
                <w:color w:val="auto"/>
              </w:rPr>
            </w:pPr>
            <w:r>
              <w:rPr>
                <w:rFonts w:ascii="Arial" w:cs="Arial" w:eastAsia="Arial" w:hAnsi="Arial"/>
                <w:sz w:val="18"/>
                <w:szCs w:val="18"/>
                <w:color w:val="auto"/>
              </w:rPr>
              <w:t>March 17,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3.40</w:t>
            </w:r>
          </w:p>
        </w:tc>
        <w:tc>
          <w:tcPr>
            <w:tcW w:w="2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May 20, 2008</w:t>
            </w:r>
          </w:p>
        </w:tc>
        <w:tc>
          <w:tcPr>
            <w:tcW w:w="4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March 17, 2013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3.40</w:t>
            </w:r>
          </w:p>
        </w:tc>
        <w:tc>
          <w:tcPr>
            <w:tcW w:w="2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November 19, 2008</w:t>
            </w:r>
          </w:p>
        </w:tc>
        <w:tc>
          <w:tcPr>
            <w:tcW w:w="4720" w:type="dxa"/>
            <w:vAlign w:val="bottom"/>
          </w:tcPr>
          <w:p>
            <w:pPr>
              <w:ind w:left="1220"/>
              <w:spacing w:after="0"/>
              <w:rPr>
                <w:sz w:val="20"/>
                <w:szCs w:val="20"/>
                <w:color w:val="auto"/>
              </w:rPr>
            </w:pPr>
            <w:r>
              <w:rPr>
                <w:rFonts w:ascii="Arial" w:cs="Arial" w:eastAsia="Arial" w:hAnsi="Arial"/>
                <w:sz w:val="18"/>
                <w:szCs w:val="18"/>
                <w:color w:val="auto"/>
              </w:rPr>
              <w:t>November 29,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3.30</w:t>
            </w:r>
          </w:p>
        </w:tc>
        <w:tc>
          <w:tcPr>
            <w:tcW w:w="2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March 17, 2013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3.40</w:t>
            </w:r>
          </w:p>
        </w:tc>
        <w:tc>
          <w:tcPr>
            <w:tcW w:w="2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December 17, 2008</w:t>
            </w:r>
          </w:p>
        </w:tc>
        <w:tc>
          <w:tcPr>
            <w:tcW w:w="4720" w:type="dxa"/>
            <w:vAlign w:val="bottom"/>
          </w:tcPr>
          <w:p>
            <w:pPr>
              <w:ind w:left="1220"/>
              <w:spacing w:after="0"/>
              <w:rPr>
                <w:sz w:val="20"/>
                <w:szCs w:val="20"/>
                <w:color w:val="auto"/>
              </w:rPr>
            </w:pPr>
            <w:r>
              <w:rPr>
                <w:rFonts w:ascii="Arial" w:cs="Arial" w:eastAsia="Arial" w:hAnsi="Arial"/>
                <w:sz w:val="18"/>
                <w:szCs w:val="18"/>
                <w:color w:val="auto"/>
              </w:rPr>
              <w:t>December 17, 2016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3.69</w:t>
            </w:r>
          </w:p>
        </w:tc>
        <w:tc>
          <w:tcPr>
            <w:tcW w:w="2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December 17, 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3.81</w:t>
            </w:r>
          </w:p>
        </w:tc>
        <w:tc>
          <w:tcPr>
            <w:tcW w:w="2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December 17, 2008</w:t>
            </w:r>
          </w:p>
        </w:tc>
        <w:tc>
          <w:tcPr>
            <w:tcW w:w="4720" w:type="dxa"/>
            <w:vAlign w:val="bottom"/>
          </w:tcPr>
          <w:p>
            <w:pPr>
              <w:ind w:left="1220"/>
              <w:spacing w:after="0"/>
              <w:rPr>
                <w:sz w:val="20"/>
                <w:szCs w:val="20"/>
                <w:color w:val="auto"/>
              </w:rPr>
            </w:pPr>
            <w:r>
              <w:rPr>
                <w:rFonts w:ascii="Arial" w:cs="Arial" w:eastAsia="Arial" w:hAnsi="Arial"/>
                <w:sz w:val="18"/>
                <w:szCs w:val="18"/>
                <w:color w:val="auto"/>
              </w:rPr>
              <w:t>March 17, 2013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3.40</w:t>
            </w:r>
          </w:p>
        </w:tc>
        <w:tc>
          <w:tcPr>
            <w:tcW w:w="2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December 17, 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3.71</w:t>
            </w:r>
          </w:p>
        </w:tc>
        <w:tc>
          <w:tcPr>
            <w:tcW w:w="22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July 15, 2009</w:t>
            </w:r>
          </w:p>
        </w:tc>
        <w:tc>
          <w:tcPr>
            <w:tcW w:w="4720" w:type="dxa"/>
            <w:vAlign w:val="bottom"/>
          </w:tcPr>
          <w:p>
            <w:pPr>
              <w:ind w:left="1220"/>
              <w:spacing w:after="0"/>
              <w:rPr>
                <w:sz w:val="20"/>
                <w:szCs w:val="20"/>
                <w:color w:val="auto"/>
              </w:rPr>
            </w:pPr>
            <w:r>
              <w:rPr>
                <w:rFonts w:ascii="Arial" w:cs="Arial" w:eastAsia="Arial" w:hAnsi="Arial"/>
                <w:sz w:val="18"/>
                <w:szCs w:val="18"/>
                <w:color w:val="auto"/>
              </w:rPr>
              <w:t>August 29, 2014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41,000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3.78</w:t>
            </w:r>
          </w:p>
        </w:tc>
        <w:tc>
          <w:tcPr>
            <w:tcW w:w="22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October 29, 2010</w:t>
            </w:r>
          </w:p>
        </w:tc>
        <w:tc>
          <w:tcPr>
            <w:tcW w:w="4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October 29, 2015</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4.25</w:t>
            </w:r>
          </w:p>
        </w:tc>
        <w:tc>
          <w:tcPr>
            <w:tcW w:w="220" w:type="dxa"/>
            <w:vAlign w:val="bottom"/>
            <w:shd w:val="clear" w:color="auto" w:fill="CCEEFF"/>
          </w:tcPr>
          <w:p>
            <w:pPr>
              <w:spacing w:after="0"/>
              <w:rPr>
                <w:sz w:val="18"/>
                <w:szCs w:val="18"/>
                <w:color w:val="auto"/>
              </w:rPr>
            </w:pPr>
          </w:p>
        </w:tc>
      </w:tr>
      <w:tr>
        <w:trPr>
          <w:trHeight w:val="223"/>
        </w:trPr>
        <w:tc>
          <w:tcPr>
            <w:tcW w:w="2640" w:type="dxa"/>
            <w:vAlign w:val="bottom"/>
          </w:tcPr>
          <w:p>
            <w:pPr>
              <w:spacing w:after="0"/>
              <w:rPr>
                <w:sz w:val="19"/>
                <w:szCs w:val="19"/>
                <w:color w:val="auto"/>
              </w:rPr>
            </w:pPr>
          </w:p>
        </w:tc>
        <w:tc>
          <w:tcPr>
            <w:tcW w:w="4720" w:type="dxa"/>
            <w:vAlign w:val="bottom"/>
          </w:tcPr>
          <w:p>
            <w:pPr>
              <w:ind w:left="1220"/>
              <w:spacing w:after="0"/>
              <w:rPr>
                <w:sz w:val="20"/>
                <w:szCs w:val="20"/>
                <w:color w:val="auto"/>
              </w:rPr>
            </w:pPr>
            <w:r>
              <w:rPr>
                <w:rFonts w:ascii="Arial" w:cs="Arial" w:eastAsia="Arial" w:hAnsi="Arial"/>
                <w:sz w:val="18"/>
                <w:szCs w:val="18"/>
                <w:b w:val="1"/>
                <w:bCs w:val="1"/>
                <w:color w:val="auto"/>
              </w:rPr>
              <w:t>Total / Weighted average rate</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580,000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3.59%</w:t>
            </w:r>
          </w:p>
        </w:tc>
      </w:tr>
      <w:tr>
        <w:trPr>
          <w:trHeight w:val="20"/>
        </w:trPr>
        <w:tc>
          <w:tcPr>
            <w:tcW w:w="2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counterparty had a one time option to cancel the swaps in February 2013 which was not exercised</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counterparties had a one time option to cancel the swaps in March 2013 which was not exercised</w:t>
      </w:r>
    </w:p>
    <w:p>
      <w:pPr>
        <w:spacing w:after="0" w:line="83" w:lineRule="exact"/>
        <w:rPr>
          <w:rFonts w:ascii="Arial" w:cs="Arial" w:eastAsia="Arial" w:hAnsi="Arial"/>
          <w:sz w:val="18"/>
          <w:szCs w:val="18"/>
          <w:i w:val="1"/>
          <w:iCs w:val="1"/>
          <w:color w:val="auto"/>
        </w:rPr>
      </w:pPr>
    </w:p>
    <w:p>
      <w:pPr>
        <w:ind w:left="460" w:right="6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As of December 31, 2012 the maximum length of time over which the Company has hedged its interest rate exposure is approximately four years (2011: five years).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7</w:t>
            </w:r>
            <w:r>
              <w:rPr>
                <w:rFonts w:ascii="Arial" w:cs="Arial" w:eastAsia="Arial" w:hAnsi="Arial"/>
                <w:sz w:val="18"/>
                <w:szCs w:val="18"/>
                <w:color w:val="auto"/>
                <w:w w:val="79"/>
              </w:rPr>
              <w:t>.</w:t>
            </w:r>
          </w:p>
        </w:tc>
        <w:tc>
          <w:tcPr>
            <w:tcW w:w="73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 Financing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2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5"/>
              </w:rPr>
              <w:t>December 31,</w:t>
            </w:r>
          </w:p>
        </w:tc>
        <w:tc>
          <w:tcPr>
            <w:tcW w:w="1240" w:type="dxa"/>
            <w:vAlign w:val="bottom"/>
            <w:gridSpan w:val="4"/>
          </w:tcPr>
          <w:p>
            <w:pPr>
              <w:ind w:left="36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Expenditure in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within 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30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73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4,659</w:t>
            </w:r>
          </w:p>
        </w:tc>
        <w:tc>
          <w:tcPr>
            <w:tcW w:w="42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On November, 30, 2011 the Company obtained a waiver until November 30, 2012 from the Leverage Ratio test required under its credit facility (see note 9). The fees and related costs paid amounted to $1,021 and were deferred and are being amortized over the remaining term of the credit agreement.</w:t>
      </w:r>
    </w:p>
    <w:p>
      <w:pPr>
        <w:spacing w:after="0" w:line="4" w:lineRule="exact"/>
        <w:rPr>
          <w:sz w:val="20"/>
          <w:szCs w:val="20"/>
          <w:color w:val="auto"/>
        </w:rPr>
      </w:pPr>
    </w:p>
    <w:p>
      <w:pPr>
        <w:ind w:left="460" w:right="320"/>
        <w:spacing w:after="0" w:line="332" w:lineRule="auto"/>
        <w:rPr>
          <w:sz w:val="20"/>
          <w:szCs w:val="20"/>
          <w:color w:val="auto"/>
        </w:rPr>
      </w:pPr>
      <w:r>
        <w:rPr>
          <w:rFonts w:ascii="Arial" w:cs="Arial" w:eastAsia="Arial" w:hAnsi="Arial"/>
          <w:sz w:val="16"/>
          <w:szCs w:val="16"/>
          <w:color w:val="auto"/>
        </w:rPr>
        <w:t>On November 13, 2012 the Company obtained a further waiver until December 1, 2014 from the Leverage Ratio test. The fees and related costs paid amounted to $1,115 and have been deferred and are being amortized over the remaining term of the credit agreement.</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600" w:type="dxa"/>
            <w:vAlign w:val="bottom"/>
            <w:gridSpan w:val="2"/>
          </w:tcPr>
          <w:p>
            <w:pPr>
              <w:jc w:val="center"/>
              <w:ind w:left="256"/>
              <w:spacing w:after="0"/>
              <w:rPr>
                <w:sz w:val="20"/>
                <w:szCs w:val="20"/>
                <w:color w:val="auto"/>
              </w:rPr>
            </w:pPr>
            <w:r>
              <w:rPr>
                <w:rFonts w:ascii="Arial" w:cs="Arial" w:eastAsia="Arial" w:hAnsi="Arial"/>
                <w:sz w:val="18"/>
                <w:szCs w:val="18"/>
                <w:b w:val="1"/>
                <w:bCs w:val="1"/>
                <w:color w:val="auto"/>
                <w:w w:val="88"/>
              </w:rPr>
              <w:t>Global Ship Lease, Inc.</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60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86"/>
              </w:rPr>
              <w:t>Notes to the Consolidated Financial Statements (continued)</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0" w:type="dxa"/>
            <w:vAlign w:val="bottom"/>
            <w:gridSpan w:val="2"/>
          </w:tcPr>
          <w:p>
            <w:pPr>
              <w:jc w:val="center"/>
              <w:ind w:left="276"/>
              <w:spacing w:after="0"/>
              <w:rPr>
                <w:sz w:val="20"/>
                <w:szCs w:val="20"/>
                <w:color w:val="auto"/>
              </w:rPr>
            </w:pPr>
            <w:r>
              <w:rPr>
                <w:rFonts w:ascii="Arial" w:cs="Arial" w:eastAsia="Arial" w:hAnsi="Arial"/>
                <w:sz w:val="18"/>
                <w:szCs w:val="18"/>
                <w:color w:val="auto"/>
                <w:w w:val="88"/>
              </w:rPr>
              <w:t>(Expressed in thousands of U.S. dollars)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8</w:t>
            </w:r>
            <w:r>
              <w:rPr>
                <w:rFonts w:ascii="Arial" w:cs="Arial" w:eastAsia="Arial" w:hAnsi="Arial"/>
                <w:sz w:val="18"/>
                <w:szCs w:val="18"/>
                <w:color w:val="auto"/>
                <w:w w:val="79"/>
              </w:rPr>
              <w:t>.</w:t>
            </w:r>
          </w:p>
        </w:tc>
        <w:tc>
          <w:tcPr>
            <w:tcW w:w="7540" w:type="dxa"/>
            <w:vAlign w:val="bottom"/>
            <w:gridSpan w:val="4"/>
          </w:tcPr>
          <w:p>
            <w:pPr>
              <w:ind w:left="160"/>
              <w:spacing w:after="0"/>
              <w:rPr>
                <w:sz w:val="20"/>
                <w:szCs w:val="20"/>
                <w:color w:val="auto"/>
              </w:rPr>
            </w:pPr>
            <w:r>
              <w:rPr>
                <w:rFonts w:ascii="Arial" w:cs="Arial" w:eastAsia="Arial" w:hAnsi="Arial"/>
                <w:sz w:val="18"/>
                <w:szCs w:val="18"/>
                <w:b w:val="1"/>
                <w:bCs w:val="1"/>
                <w:color w:val="auto"/>
              </w:rPr>
              <w:t>Intangible Liability – Charter Agreements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600" w:type="dxa"/>
            <w:vAlign w:val="bottom"/>
            <w:gridSpan w:val="4"/>
          </w:tcPr>
          <w:p>
            <w:pPr>
              <w:ind w:left="44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3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600" w:type="dxa"/>
            <w:vAlign w:val="bottom"/>
            <w:gridSpan w:val="2"/>
            <w:shd w:val="clear" w:color="auto" w:fill="CCEEFF"/>
          </w:tcPr>
          <w:p>
            <w:pPr>
              <w:ind w:left="4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Amortization in period</w:t>
            </w: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18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4600" w:type="dxa"/>
            <w:vAlign w:val="bottom"/>
            <w:gridSpan w:val="2"/>
            <w:shd w:val="clear" w:color="auto" w:fill="CCEEFF"/>
          </w:tcPr>
          <w:p>
            <w:pPr>
              <w:ind w:left="44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20,050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Intangible liabilities relate to management’s estimate of the fair value of below-market charters on August 14, 2008, the date of the merger (see note 1).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market lease rates for similar vessels. The intangible liabilities were determined by discounting the difference in the projected lease cash flows using a discount rate of 8.0% and the length of the charter as the relevant time period.</w:t>
      </w:r>
    </w:p>
    <w:p>
      <w:pPr>
        <w:spacing w:after="0" w:line="35"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upon delivery. These intangible liabilities are amortized as an increase of time charter revenue over the remaining term of the relevant charter.</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Long Term Debt</w:t>
      </w:r>
    </w:p>
    <w:p>
      <w:pPr>
        <w:spacing w:after="0" w:line="96"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 In February 2013, one member of the syndicate novated part of their commitment to the following funds: FPA Hawkeye-7 Fund, FPA Crescent Fund, FPA Hawkeye Fund and FPA Value Partners Fund.</w:t>
      </w:r>
    </w:p>
    <w:p>
      <w:pPr>
        <w:spacing w:after="0" w:line="35"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Leverage Ratio is not permitted to exceed 75%.</w:t>
      </w:r>
    </w:p>
    <w:p>
      <w:pPr>
        <w:spacing w:after="0" w:line="90" w:lineRule="exact"/>
        <w:rPr>
          <w:sz w:val="20"/>
          <w:szCs w:val="20"/>
          <w:color w:val="auto"/>
        </w:rPr>
      </w:pPr>
    </w:p>
    <w:p>
      <w:pPr>
        <w:jc w:val="both"/>
        <w:ind w:left="460" w:right="60"/>
        <w:spacing w:after="0" w:line="306" w:lineRule="auto"/>
        <w:rPr>
          <w:sz w:val="20"/>
          <w:szCs w:val="20"/>
          <w:color w:val="auto"/>
        </w:rPr>
      </w:pPr>
      <w:r>
        <w:rPr>
          <w:rFonts w:ascii="Arial" w:cs="Arial" w:eastAsia="Arial" w:hAnsi="Arial"/>
          <w:sz w:val="16"/>
          <w:szCs w:val="16"/>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26" w:lineRule="exact"/>
        <w:rPr>
          <w:sz w:val="20"/>
          <w:szCs w:val="20"/>
          <w:color w:val="auto"/>
        </w:rPr>
      </w:pPr>
    </w:p>
    <w:p>
      <w:pPr>
        <w:ind w:left="460" w:right="400"/>
        <w:spacing w:after="0" w:line="306" w:lineRule="auto"/>
        <w:rPr>
          <w:sz w:val="20"/>
          <w:szCs w:val="20"/>
          <w:color w:val="auto"/>
        </w:rPr>
      </w:pPr>
      <w:r>
        <w:rPr>
          <w:rFonts w:ascii="Arial" w:cs="Arial" w:eastAsia="Arial" w:hAnsi="Arial"/>
          <w:sz w:val="16"/>
          <w:szCs w:val="16"/>
          <w:color w:val="auto"/>
        </w:rPr>
        <w:t>At April 30, 2011 the Leverage Ratio was less than 75% and greater than 65%. Accordingly, from that date (i) interest margin paid on borrowings was 3.00% (ii) prepayments of borrowings were fixed at $10,000 per quarter, and (iii) the Company was able to make dividend payments to common shareholders. On this basis, further repayments of $10,000 were made on both June 30, 2011 and September 30, 2011.</w:t>
      </w:r>
    </w:p>
    <w:p>
      <w:pPr>
        <w:spacing w:after="0" w:line="26" w:lineRule="exact"/>
        <w:rPr>
          <w:sz w:val="20"/>
          <w:szCs w:val="20"/>
          <w:color w:val="auto"/>
        </w:rPr>
      </w:pPr>
    </w:p>
    <w:p>
      <w:pPr>
        <w:ind w:left="460" w:right="100"/>
        <w:spacing w:after="0" w:line="254" w:lineRule="auto"/>
        <w:rPr>
          <w:sz w:val="20"/>
          <w:szCs w:val="20"/>
          <w:color w:val="auto"/>
        </w:rPr>
      </w:pPr>
      <w:r>
        <w:rPr>
          <w:rFonts w:ascii="Arial" w:cs="Arial" w:eastAsia="Arial" w:hAnsi="Arial"/>
          <w:sz w:val="18"/>
          <w:szCs w:val="18"/>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prepayments of borrowings were made quarterly in an amount equal to free cash in excess of $20,000 determined as at the previous month end subject to a minimum of $40,000 repayment a year on a rolling 12 month trailing basis, and (iii) the Company was unable to make dividend payments to common shareholders. Repayments were made of $15,341 on December 30, 2011, $11,788 on March 30, 2012, $12,068 on June 29, 2012 and $23,000 on September 28, 2012.</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Long Term Debt (continued)</w:t>
      </w:r>
    </w:p>
    <w:p>
      <w:pPr>
        <w:spacing w:after="0" w:line="245"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As the Company anticipated, due to continuing poor industry conditions, that the Leverage Ratio as at November 30, 2012 would, if tested, exceed 75%, it agreed with its lenders on November 13, 2012, a further waiver for two years of the requirement to perform the Leverage Ratio test. Accordingly, the next scheduled test will be as at December 1, 2014. In the waiver period, the fixed interest margin to be paid over LIBOR is 3.75%, prepayments are based on cash flow, as in the previous waiver, and dividends on common shares cannot be paid. As a result of the new waiver, debt cannot be accelerated for the Leverage Ratio during the waiver period and debt estimated to be payable after one year is classified as non-current in the consolidated balance sheet. It was also agreed that all secured vessels will be included in the Leverage Ratio test, whether they are subject to a charter or not. Under the terms of the new waiver, a repayment of the credit facility was made of $11,080 on December 31, 2012.</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 term debt is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660" w:type="dxa"/>
            <w:vAlign w:val="bottom"/>
            <w:gridSpan w:val="4"/>
          </w:tcPr>
          <w:p>
            <w:pPr>
              <w:ind w:left="15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4"/>
          </w:tcPr>
          <w:p>
            <w:pPr>
              <w:ind w:left="260"/>
              <w:spacing w:after="0"/>
              <w:rPr>
                <w:sz w:val="20"/>
                <w:szCs w:val="20"/>
                <w:color w:val="auto"/>
              </w:rPr>
            </w:pPr>
            <w:r>
              <w:rPr>
                <w:rFonts w:ascii="Arial" w:cs="Arial" w:eastAsia="Arial" w:hAnsi="Arial"/>
                <w:sz w:val="14"/>
                <w:szCs w:val="14"/>
                <w:color w:val="auto"/>
                <w:w w:val="97"/>
              </w:rPr>
              <w:t>December 31,</w:t>
            </w:r>
          </w:p>
        </w:tc>
      </w:tr>
      <w:tr>
        <w:trPr>
          <w:trHeight w:val="175"/>
        </w:trPr>
        <w:tc>
          <w:tcPr>
            <w:tcW w:w="4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5"/>
                <w:szCs w:val="15"/>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+ 2.50% to 3.75%</w:t>
            </w: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425,676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483,612</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(50,572)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(46,000)</w:t>
            </w:r>
          </w:p>
        </w:tc>
      </w:tr>
      <w:tr>
        <w:trPr>
          <w:trHeight w:val="27"/>
        </w:trPr>
        <w:tc>
          <w:tcPr>
            <w:tcW w:w="4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5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375,104</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437,612</w:t>
            </w:r>
          </w:p>
        </w:tc>
        <w:tc>
          <w:tcPr>
            <w:tcW w:w="12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Based on (i) management’s reasonable estimate of cash flows from January 1, 2013 and (ii) the waiver of the requirement to test the Leverage Ratio until December 1, 2014 at which point it is assumed to be less than 75% meaning that the Company will be able to comply with the leverage ratio covenant at its next measurement date, the estimated repayments in each of the relevant periods are as follows:</w:t>
      </w:r>
    </w:p>
    <w:p>
      <w:pPr>
        <w:spacing w:after="0" w:line="1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580" w:type="dxa"/>
            <w:vAlign w:val="bottom"/>
            <w:gridSpan w:val="4"/>
          </w:tcPr>
          <w:p>
            <w:pPr>
              <w:ind w:left="2680"/>
              <w:spacing w:after="0"/>
              <w:rPr>
                <w:sz w:val="20"/>
                <w:szCs w:val="20"/>
                <w:color w:val="auto"/>
              </w:rPr>
            </w:pPr>
            <w:r>
              <w:rPr>
                <w:rFonts w:ascii="Arial" w:cs="Arial" w:eastAsia="Arial" w:hAnsi="Arial"/>
                <w:sz w:val="14"/>
                <w:szCs w:val="14"/>
                <w:b w:val="1"/>
                <w:bCs w:val="1"/>
                <w:color w:val="auto"/>
                <w:w w:val="96"/>
              </w:rPr>
              <w:t>December 31,</w:t>
            </w:r>
          </w:p>
        </w:tc>
      </w:tr>
      <w:tr>
        <w:trPr>
          <w:trHeight w:val="175"/>
        </w:trPr>
        <w:tc>
          <w:tcPr>
            <w:tcW w:w="418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2014</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52,441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2016</w:t>
            </w:r>
          </w:p>
        </w:tc>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282,663</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26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425,676</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Other Operating (Income)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operating (income) expense is summarized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 ended</w:t>
            </w:r>
          </w:p>
        </w:tc>
        <w:tc>
          <w:tcPr>
            <w:tcW w:w="380" w:type="dxa"/>
            <w:vAlign w:val="bottom"/>
          </w:tcPr>
          <w:p>
            <w:pPr>
              <w:spacing w:after="0"/>
              <w:rPr>
                <w:sz w:val="14"/>
                <w:szCs w:val="14"/>
                <w:color w:val="auto"/>
              </w:rPr>
            </w:pPr>
          </w:p>
        </w:tc>
        <w:tc>
          <w:tcPr>
            <w:tcW w:w="1540" w:type="dxa"/>
            <w:vAlign w:val="bottom"/>
            <w:gridSpan w:val="3"/>
          </w:tcPr>
          <w:p>
            <w:pPr>
              <w:jc w:val="center"/>
              <w:ind w:right="780"/>
              <w:spacing w:after="0"/>
              <w:rPr>
                <w:sz w:val="20"/>
                <w:szCs w:val="20"/>
                <w:color w:val="auto"/>
              </w:rPr>
            </w:pPr>
            <w:r>
              <w:rPr>
                <w:rFonts w:ascii="Arial" w:cs="Arial" w:eastAsia="Arial" w:hAnsi="Arial"/>
                <w:sz w:val="14"/>
                <w:szCs w:val="14"/>
                <w:color w:val="auto"/>
                <w:w w:val="82"/>
              </w:rPr>
              <w:t>Year ended</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Year ended</w:t>
            </w:r>
          </w:p>
        </w:tc>
      </w:tr>
      <w:tr>
        <w:trPr>
          <w:trHeight w:val="149"/>
        </w:trPr>
        <w:tc>
          <w:tcPr>
            <w:tcW w:w="55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w w:val="97"/>
              </w:rPr>
              <w:t>December 31,</w:t>
            </w:r>
          </w:p>
        </w:tc>
      </w:tr>
      <w:tr>
        <w:trPr>
          <w:trHeight w:val="175"/>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color w:val="auto"/>
              </w:rPr>
              <w:t>2011</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 sundry income</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7"/>
        </w:trPr>
        <w:tc>
          <w:tcPr>
            <w:tcW w:w="5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(342)</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r>
      <w:tr>
        <w:trPr>
          <w:trHeight w:val="20"/>
        </w:trPr>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Related Party Transactions</w:t>
      </w:r>
    </w:p>
    <w:p>
      <w:pPr>
        <w:spacing w:after="0" w:line="96"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2012 is a significant shareholder of the Company, owning Class A and Class B common shares representing a 45% voting interest in the Company.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1500" w:type="dxa"/>
            <w:vAlign w:val="bottom"/>
            <w:gridSpan w:val="4"/>
          </w:tcPr>
          <w:p>
            <w:pPr>
              <w:ind w:left="6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7,077</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14,413</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December 31, 2012 and December 31, 2011 relate to amounts payable to or recoverable from CMA CGM group companies.</w:t>
      </w:r>
    </w:p>
    <w:p>
      <w:pPr>
        <w:spacing w:after="0" w:line="4"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Company has experienced continued and from time to time, increased delays in receiving charterhire from CMA CGM, where between one and three instalments have been outstanding up to the date of these financial statements. Under the charter contracts charterhire is due to be paid every 15 days in advance on the 1st and 16th of each month.</w:t>
      </w:r>
    </w:p>
    <w:p>
      <w:pPr>
        <w:spacing w:after="0" w:line="59" w:lineRule="exact"/>
        <w:rPr>
          <w:sz w:val="20"/>
          <w:szCs w:val="20"/>
          <w:color w:val="auto"/>
        </w:rPr>
      </w:pPr>
    </w:p>
    <w:p>
      <w:pPr>
        <w:ind w:left="460" w:right="460"/>
        <w:spacing w:after="0" w:line="306" w:lineRule="auto"/>
        <w:rPr>
          <w:sz w:val="20"/>
          <w:szCs w:val="20"/>
          <w:color w:val="auto"/>
        </w:rPr>
      </w:pPr>
      <w:r>
        <w:rPr>
          <w:rFonts w:ascii="Arial" w:cs="Arial" w:eastAsia="Arial" w:hAnsi="Arial"/>
          <w:sz w:val="16"/>
          <w:szCs w:val="16"/>
          <w:color w:val="auto"/>
        </w:rPr>
        <w:t>As at December 31, 2012, two periods of charterhire, due on December 1 and December 16, 2012, were outstanding amounting to $12,164. This was received in January 2013. As at close of business on April 11, 2013, the latest practicable date prior to the issuance of these consolidated financial statements, one period of charterhire, due on April 1, 2013, was outstanding amounting to $5,886.</w:t>
      </w:r>
    </w:p>
    <w:p>
      <w:pPr>
        <w:spacing w:after="0" w:line="26"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CMA CGM holds all of the Series A preferred shares of the Company. During the year to December 31, 2012, the Company paid CMA CGM dividends on the preferred shares of $1,161 (2011: $1,125, 2010: $1,136). Dividends on preferred shares are included within interest expense.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duration of the charter. The charters are for remaining periods as at December 31, 2012 of between 0.4 and 13.0 years (see note 2(a)). All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$1,049,240 maximum contracted future charter hire receivable for the fleet set out in note 12 relates to the 17 vessels currently chartered to CMA CGM.</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 Management Agreement</w:t>
      </w:r>
    </w:p>
    <w:p>
      <w:pPr>
        <w:spacing w:after="0" w:line="9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Company outsources day to day technical management of its 17 vessels to a ship manager, CMA Ships, a wholly owned subsidiary of CMA CGM. The Company pays CMA Ships an annual management fee of $114 per vessel and reimburses costs incurred on its behalf, mainly being for the provision of crew, lubricating oils and routine maintenance. Such reimbursement is subject to a cap, depending on the vessel, of between $5.4 and $8.8 per day per vessel. The impact of the cap is determined quarterly and for the fleet as a whole. Ship management fees expensed for the year ended December 31, 2012 amounted to $1,938 (2011: $1,938, 2010: $1,943).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Commitments and Contingencies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Charter Hire Receivable</w:t>
      </w:r>
    </w:p>
    <w:p>
      <w:pPr>
        <w:spacing w:after="0" w:line="96"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The Company has entered into time charters for all of its vessels. The charter hire is fixed for the duration of the charter. The maximum contracted future annual charter hire receivable (not allowing for any offhire) for the fleet of 17 vessels as at December 31, 2012, including the two replacement charters entered into in September 2012 as referred to in note 2(a), is as follows: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Fleet as at</w:t>
            </w:r>
          </w:p>
        </w:tc>
      </w:tr>
      <w:tr>
        <w:trPr>
          <w:trHeight w:val="149"/>
        </w:trPr>
        <w:tc>
          <w:tcPr>
            <w:tcW w:w="4180" w:type="dxa"/>
            <w:vAlign w:val="bottom"/>
          </w:tcPr>
          <w:p>
            <w:pPr>
              <w:spacing w:after="0"/>
              <w:rPr>
                <w:sz w:val="12"/>
                <w:szCs w:val="12"/>
                <w:color w:val="auto"/>
              </w:rPr>
            </w:pPr>
          </w:p>
        </w:tc>
        <w:tc>
          <w:tcPr>
            <w:tcW w:w="3580" w:type="dxa"/>
            <w:vAlign w:val="bottom"/>
            <w:gridSpan w:val="3"/>
          </w:tcPr>
          <w:p>
            <w:pPr>
              <w:jc w:val="center"/>
              <w:ind w:left="2477"/>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18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480" w:type="dxa"/>
            <w:vAlign w:val="bottom"/>
            <w:gridSpan w:val="2"/>
          </w:tcPr>
          <w:p>
            <w:pPr>
              <w:jc w:val="center"/>
              <w:ind w:left="259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138,781</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2016</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135,013</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107,811</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Thereafter</w:t>
            </w:r>
          </w:p>
        </w:tc>
        <w:tc>
          <w:tcPr>
            <w:tcW w:w="2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395,731</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1,049,240</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 Capital</w:t>
      </w:r>
    </w:p>
    <w:p>
      <w:pPr>
        <w:spacing w:after="0" w:line="96" w:lineRule="exact"/>
        <w:rPr>
          <w:sz w:val="20"/>
          <w:szCs w:val="20"/>
          <w:color w:val="auto"/>
        </w:rPr>
      </w:pPr>
    </w:p>
    <w:p>
      <w:pPr>
        <w:jc w:val="both"/>
        <w:ind w:left="460" w:right="180"/>
        <w:spacing w:after="0" w:line="259" w:lineRule="auto"/>
        <w:rPr>
          <w:sz w:val="20"/>
          <w:szCs w:val="20"/>
          <w:color w:val="auto"/>
        </w:rPr>
      </w:pPr>
      <w:r>
        <w:rPr>
          <w:rFonts w:ascii="Arial" w:cs="Arial" w:eastAsia="Arial" w:hAnsi="Arial"/>
          <w:sz w:val="18"/>
          <w:szCs w:val="18"/>
          <w:color w:val="auto"/>
        </w:rPr>
        <w:t>At December 31, 2012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59" w:lineRule="exact"/>
        <w:rPr>
          <w:sz w:val="20"/>
          <w:szCs w:val="20"/>
          <w:color w:val="auto"/>
        </w:rPr>
      </w:pPr>
    </w:p>
    <w:p>
      <w:pPr>
        <w:ind w:left="1480" w:hanging="446"/>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secondly, to all Class A common shares until they have received payment for all preceding quarters at the rate of $0.23 per share per quarter;</w:t>
      </w:r>
    </w:p>
    <w:p>
      <w:pPr>
        <w:spacing w:after="0" w:line="124" w:lineRule="exact"/>
        <w:rPr>
          <w:rFonts w:ascii="Arial" w:cs="Arial" w:eastAsia="Arial" w:hAnsi="Arial"/>
          <w:sz w:val="15"/>
          <w:szCs w:val="15"/>
          <w:color w:val="auto"/>
        </w:rPr>
      </w:pPr>
    </w:p>
    <w:p>
      <w:pPr>
        <w:ind w:left="1480" w:hanging="446"/>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90"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39" w:lineRule="exact"/>
        <w:rPr>
          <w:sz w:val="20"/>
          <w:szCs w:val="20"/>
          <w:color w:val="auto"/>
        </w:rPr>
      </w:pPr>
    </w:p>
    <w:p>
      <w:pPr>
        <w:ind w:left="460" w:right="700"/>
        <w:spacing w:after="0" w:line="268" w:lineRule="auto"/>
        <w:rPr>
          <w:sz w:val="20"/>
          <w:szCs w:val="20"/>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15).</w:t>
      </w:r>
    </w:p>
    <w:p>
      <w:pPr>
        <w:spacing w:after="0" w:line="51" w:lineRule="exact"/>
        <w:rPr>
          <w:sz w:val="20"/>
          <w:szCs w:val="20"/>
          <w:color w:val="auto"/>
        </w:rPr>
      </w:pPr>
    </w:p>
    <w:p>
      <w:pPr>
        <w:jc w:val="both"/>
        <w:ind w:left="460" w:right="260"/>
        <w:spacing w:after="0" w:line="357" w:lineRule="auto"/>
        <w:rPr>
          <w:sz w:val="20"/>
          <w:szCs w:val="20"/>
          <w:color w:val="auto"/>
        </w:rPr>
      </w:pPr>
      <w:r>
        <w:rPr>
          <w:rFonts w:ascii="Arial" w:cs="Arial" w:eastAsia="Arial" w:hAnsi="Arial"/>
          <w:sz w:val="15"/>
          <w:szCs w:val="15"/>
          <w:color w:val="auto"/>
        </w:rPr>
        <w:t>The Series A preferred shares rank senior to the common shares and are mandatorily redeemable in 12 quarterly instalments commencing on August 31, 2016. They are classified as a long-term liability. The dividend that preferred shareholders are entitled to be paid is presented as part of interest expense.</w:t>
      </w:r>
    </w:p>
    <w:p>
      <w:pPr>
        <w:ind w:left="460"/>
        <w:spacing w:after="0" w:line="256" w:lineRule="auto"/>
        <w:rPr>
          <w:sz w:val="20"/>
          <w:szCs w:val="20"/>
          <w:color w:val="auto"/>
        </w:rPr>
      </w:pPr>
      <w:r>
        <w:rPr>
          <w:rFonts w:ascii="Arial" w:cs="Arial" w:eastAsia="Arial" w:hAnsi="Arial"/>
          <w:sz w:val="18"/>
          <w:szCs w:val="18"/>
          <w:color w:val="auto"/>
        </w:rPr>
        <w:t>Total proceeds received in 2008, and recorded as restricted cash, from the exercise of Public Warrants prior to their expiry was $3,027 (December 31, 2011: $3,027). These proceeds were to be used to redeem the Series A preferred shares with a minimum redemption amount of $5,000. As part of the replacement time charters agreed in September 2012 for the Ville d’Aquarius and the Ville d’Orion, the Company accelerated the redemption of 63 Series A preferred shares of $48 each for $3,024.</w:t>
      </w:r>
    </w:p>
    <w:p>
      <w:pPr>
        <w:spacing w:after="0" w:line="62"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There are 6,188,088 Class A Warrants outstanding which expire on September 1, 2013 and give the holders the right to purchase one Class A common share at a price of $9.25.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Interest Rate Derivatives and Fair Value Measurements</w:t>
      </w:r>
    </w:p>
    <w:p>
      <w:pPr>
        <w:spacing w:after="0" w:line="9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and details of existing interest rate derivatives are set out in note 6.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 There were no initial payments on derivatives made in the years ended December 31, 2012 and December 31, 2011.</w:t>
      </w:r>
    </w:p>
    <w:p>
      <w:pPr>
        <w:spacing w:after="0" w:line="39" w:lineRule="exact"/>
        <w:rPr>
          <w:sz w:val="20"/>
          <w:szCs w:val="20"/>
          <w:color w:val="auto"/>
        </w:rPr>
      </w:pPr>
    </w:p>
    <w:p>
      <w:pPr>
        <w:ind w:left="460" w:right="220"/>
        <w:spacing w:after="0" w:line="306" w:lineRule="auto"/>
        <w:rPr>
          <w:sz w:val="20"/>
          <w:szCs w:val="20"/>
          <w:color w:val="auto"/>
        </w:rPr>
      </w:pPr>
      <w:r>
        <w:rPr>
          <w:rFonts w:ascii="Arial" w:cs="Arial" w:eastAsia="Arial" w:hAnsi="Arial"/>
          <w:sz w:val="16"/>
          <w:szCs w:val="16"/>
          <w:color w:val="auto"/>
        </w:rPr>
        <w:t>Realized gains or losses from interest rate derivatives are recognized in the consolidated statement of income together with cash settlements. In addition, the interest rate derivatives are “marked to market” at each reporting period end and are recorded at fair values. The unrealized gain on interest rate derivatives for the year ended December 31, 2012 was $9,725 (2011: $881 loss, 2010: $15,322 loss).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has three levels based on the reliability of the inputs used to determine fair value as follows:</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Level 3.  Unobservable inputs in which there is little or no market data, which require the reporting entity to develop its own assumptions.</w:t>
      </w:r>
    </w:p>
    <w:p>
      <w:pPr>
        <w:spacing w:after="0" w:line="113"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2012 there was a liability of $35,591 (2011: $45,315). The fair value of the Company’s derivative instruments is the estimated amount that the Company would receive or pay to terminate the agreements at the reporting date, taking into account interest rates at that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color w:val="auto"/>
        </w:rPr>
        <w:t>In August 2008, the Company’s Board adopted the 2008 Equity Incentive Plan (the “Plan”), which enables management, consultants and Directors of the Company and its subsidiaries to receive options, stock appreciation rights, stock grants, stock units and dividend equivalents.</w:t>
      </w:r>
    </w:p>
    <w:p>
      <w:pPr>
        <w:spacing w:after="0" w:line="4"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w:t>
      </w:r>
    </w:p>
    <w:p>
      <w:pPr>
        <w:spacing w:after="0" w:line="59"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plan, the Company has issued the following share based awards: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w w:val="92"/>
              </w:rPr>
              <w:t>Restricted Stock Units</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4"/>
              </w:rPr>
              <w:t>Weighted</w:t>
            </w:r>
          </w:p>
        </w:tc>
        <w:tc>
          <w:tcPr>
            <w:tcW w:w="48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Arial" w:cs="Arial" w:eastAsia="Arial" w:hAnsi="Arial"/>
                <w:sz w:val="14"/>
                <w:szCs w:val="14"/>
                <w:color w:val="auto"/>
                <w:w w:val="92"/>
              </w:rPr>
              <w:t>Actual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4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4"/>
              </w:rPr>
              <w:t>Fair Value</w:t>
            </w:r>
          </w:p>
        </w:tc>
        <w:tc>
          <w:tcPr>
            <w:tcW w:w="4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3"/>
              </w:rPr>
              <w:t>Value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180" w:type="dxa"/>
            <w:vAlign w:val="bottom"/>
            <w:gridSpan w:val="4"/>
          </w:tcPr>
          <w:p>
            <w:pPr>
              <w:jc w:val="right"/>
              <w:ind w:right="760"/>
              <w:spacing w:after="0" w:line="149" w:lineRule="exact"/>
              <w:rPr>
                <w:sz w:val="20"/>
                <w:szCs w:val="20"/>
                <w:color w:val="auto"/>
              </w:rPr>
            </w:pPr>
            <w:r>
              <w:rPr>
                <w:rFonts w:ascii="Arial" w:cs="Arial" w:eastAsia="Arial" w:hAnsi="Arial"/>
                <w:sz w:val="14"/>
                <w:szCs w:val="14"/>
                <w:color w:val="auto"/>
              </w:rPr>
              <w:t>Number of Units</w:t>
            </w: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on Grant</w:t>
            </w:r>
          </w:p>
        </w:tc>
        <w:tc>
          <w:tcPr>
            <w:tcW w:w="4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w w:val="85"/>
              </w:rPr>
              <w:t>Management</w:t>
            </w:r>
          </w:p>
        </w:tc>
        <w:tc>
          <w:tcPr>
            <w:tcW w:w="9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9"/>
              </w:rPr>
              <w:t>Directors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center"/>
              <w:ind w:right="53"/>
              <w:spacing w:after="0" w:line="159" w:lineRule="exact"/>
              <w:rPr>
                <w:sz w:val="20"/>
                <w:szCs w:val="20"/>
                <w:color w:val="auto"/>
              </w:rPr>
            </w:pPr>
            <w:r>
              <w:rPr>
                <w:rFonts w:ascii="Arial" w:cs="Arial" w:eastAsia="Arial" w:hAnsi="Arial"/>
                <w:sz w:val="14"/>
                <w:szCs w:val="14"/>
                <w:color w:val="auto"/>
                <w:w w:val="80"/>
              </w:rPr>
              <w:t>date</w:t>
            </w:r>
          </w:p>
        </w:tc>
        <w:tc>
          <w:tcPr>
            <w:tcW w:w="480" w:type="dxa"/>
            <w:vAlign w:val="bottom"/>
          </w:tcPr>
          <w:p>
            <w:pPr>
              <w:spacing w:after="0"/>
              <w:rPr>
                <w:sz w:val="13"/>
                <w:szCs w:val="13"/>
                <w:color w:val="auto"/>
              </w:rPr>
            </w:pPr>
          </w:p>
        </w:tc>
        <w:tc>
          <w:tcPr>
            <w:tcW w:w="58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2010</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560,000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150,273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January 2010</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(150,273)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 2010</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September 2010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(210,000)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260,000</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58,511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4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 on March 17, 2011</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15,000</w:t>
            </w:r>
          </w:p>
        </w:tc>
        <w:tc>
          <w:tcPr>
            <w:tcW w:w="680" w:type="dxa"/>
            <w:vAlign w:val="bottom"/>
          </w:tcPr>
          <w:p>
            <w:pPr>
              <w:jc w:val="right"/>
              <w:spacing w:after="0"/>
              <w:rPr>
                <w:sz w:val="20"/>
                <w:szCs w:val="20"/>
                <w:color w:val="auto"/>
              </w:rPr>
            </w:pPr>
            <w:r>
              <w:rPr>
                <w:rFonts w:ascii="Arial" w:cs="Arial" w:eastAsia="Arial" w:hAnsi="Arial"/>
                <w:sz w:val="18"/>
                <w:szCs w:val="18"/>
                <w:color w:val="auto"/>
              </w:rPr>
              <w:t>17,886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6.15</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September 2011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(206,250)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 on September 2, 2011</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150,000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(68,750)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150,000</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w:t>
            </w:r>
          </w:p>
        </w:tc>
        <w:tc>
          <w:tcPr>
            <w:tcW w:w="4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2012</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 on March 13, 2012</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75,000</w:t>
            </w:r>
          </w:p>
        </w:tc>
        <w:tc>
          <w:tcPr>
            <w:tcW w:w="680" w:type="dxa"/>
            <w:vAlign w:val="bottom"/>
          </w:tcPr>
          <w:p>
            <w:pPr>
              <w:jc w:val="right"/>
              <w:spacing w:after="0"/>
              <w:rPr>
                <w:sz w:val="20"/>
                <w:szCs w:val="20"/>
                <w:color w:val="auto"/>
              </w:rPr>
            </w:pPr>
            <w:r>
              <w:rPr>
                <w:rFonts w:ascii="Arial" w:cs="Arial" w:eastAsia="Arial" w:hAnsi="Arial"/>
                <w:sz w:val="18"/>
                <w:szCs w:val="18"/>
                <w:color w:val="auto"/>
              </w:rPr>
              <w:t>32,070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3.43</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2012</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225,000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32,070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The restricted stock units granted to three members of management on August 14, 2008 were to vest over a period of three years; with a third vesting each year on the anniversary of the merger. The vesting dates were subsequently amended and a total of 260,000 vested annually during September and October of 2009, 2010 and 2011.</w:t>
      </w:r>
    </w:p>
    <w:p>
      <w:pPr>
        <w:spacing w:after="0" w:line="5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restricted stock units granted to one member of management on November 12, 2008 were to vest over a period of two years; half on the first anniversary of the merger and half on the second anniversary. The vesting date of both tranches was amended and a total of 40,000 vested in September and October 2009 and the remaining 40,000 vested in September and October 2010.</w:t>
      </w:r>
    </w:p>
    <w:p>
      <w:pPr>
        <w:spacing w:after="0" w:line="59"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The restricted stock units granted to Directors on May 18, 2009, March 1, 2010, March 17, 2011 and March 13, 2012 vested in January 2010, January 2011, January 2012 and January 2013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245"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color w:val="auto"/>
        </w:rPr>
        <w:t>Restricted stock units granted to one member of management on March 17, 2011 vested during September and October 2011. 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is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w:t>
      </w:r>
    </w:p>
    <w:p>
      <w:pPr>
        <w:spacing w:after="0" w:line="39"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consolidated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32" w:lineRule="exact"/>
        <w:rPr>
          <w:sz w:val="20"/>
          <w:szCs w:val="20"/>
          <w:color w:val="auto"/>
        </w:rPr>
      </w:pPr>
    </w:p>
    <w:p>
      <w:pPr>
        <w:ind w:left="460" w:right="200"/>
        <w:spacing w:after="0" w:line="357" w:lineRule="auto"/>
        <w:rPr>
          <w:sz w:val="20"/>
          <w:szCs w:val="20"/>
          <w:color w:val="auto"/>
        </w:rPr>
      </w:pPr>
      <w:r>
        <w:rPr>
          <w:rFonts w:ascii="Arial" w:cs="Arial" w:eastAsia="Arial" w:hAnsi="Arial"/>
          <w:sz w:val="15"/>
          <w:szCs w:val="15"/>
          <w:color w:val="auto"/>
        </w:rPr>
        <w:t>For the grants issued on March 1, 2010, March 17, 2011, September 2, 2011 and March 13, 2012, the fair value at the grant date was the closing price for the common stock on that date. The share value has not been discounted as no dividends were expected to be paid on the common stock at that time.</w:t>
      </w:r>
    </w:p>
    <w:p>
      <w:pPr>
        <w:jc w:val="both"/>
        <w:ind w:left="460" w:right="40"/>
        <w:spacing w:after="0" w:line="259" w:lineRule="auto"/>
        <w:rPr>
          <w:sz w:val="20"/>
          <w:szCs w:val="20"/>
          <w:color w:val="auto"/>
        </w:rPr>
      </w:pPr>
      <w:r>
        <w:rPr>
          <w:rFonts w:ascii="Arial" w:cs="Arial" w:eastAsia="Arial" w:hAnsi="Arial"/>
          <w:sz w:val="18"/>
          <w:szCs w:val="18"/>
          <w:color w:val="auto"/>
        </w:rPr>
        <w:t>During the year ended December 31, 2012 the Company recognized a total of $460 (2011: $565, 2010: $980) in respect of share based compensation costs. As at December 31, 2012 there was a total of $260 (2011: $352) unrecognized compensation costs relating to the above share based awards. The remaining costs are expected to be recognized over a period of 21 months.</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Risks Associated with Concentration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90"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derives 100% of its revenue from CMA CGM which is exposed to the cyclicality of the container shipping industry.</w:t>
      </w:r>
    </w:p>
    <w:p>
      <w:pPr>
        <w:spacing w:after="0" w:line="90"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2012 to the extent that substantially all of the amounts are deposited with four banks (2011; four banks). However, the Company believes this risk is remote as the banks are high credit quality financial institutions.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1"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years ended December 31, 2012, December 31, 2011 and December 31, 2010 no dividend was declared.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3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59"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At December 31, 2012, there were 6,188,088 Class A Warrants to purchase Class A common shares at an exercise price of $9.25 outstanding which are due to expire on September 1, 2013. In addition, there were 257,070 restricted stock units granted and unvested as part of management’s equity incentive plan and as part of the Directors’ compensation as at the period end. As of December 31, 2012 only Class A and B common shares are participating securities.</w:t>
      </w:r>
    </w:p>
    <w:p>
      <w:pPr>
        <w:spacing w:after="0" w:line="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For the year ended December 31, 2010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an antidilutive effect. For the years ended December 31, 2012 and December 31, 2011, the diluted weighted average number of shares includes the incremental effect of outstanding stock based incentive awards but excludes the effect of outstanding warrants as these were antidilutive.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Global Ship Lease, Inc.</w:t>
      </w:r>
    </w:p>
    <w:p>
      <w:pPr>
        <w:spacing w:after="0" w:line="9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6"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Earnings per Share (continued)</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84"/>
              </w:rPr>
              <w:t>Year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Year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 ended</w:t>
            </w:r>
          </w:p>
        </w:tc>
      </w:tr>
      <w:tr>
        <w:trPr>
          <w:trHeight w:val="149"/>
        </w:trPr>
        <w:tc>
          <w:tcPr>
            <w:tcW w:w="57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5720" w:type="dxa"/>
            <w:vAlign w:val="bottom"/>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47,481,766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47,262,549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46,910,604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152,225</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185,463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47,633,991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47,448,012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46,910,604</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Common shares (H)</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 (loss) available for Class A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 (loss) available to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 (loss) available for Class A (E)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Class B (G)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22"/>
        </w:trPr>
        <w:tc>
          <w:tcPr>
            <w:tcW w:w="5720" w:type="dxa"/>
            <w:vAlign w:val="bottom"/>
          </w:tcPr>
          <w:p>
            <w:pPr>
              <w:ind w:left="44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subsequent events other than those disclosed elsewhere in these consolidated financial statements.</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0500"/>
          </w:cols>
          <w:pgMar w:left="240" w:top="459" w:right="11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90"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Dated: April 12, 2013</w:t>
            </w:r>
          </w:p>
        </w:tc>
        <w:tc>
          <w:tcPr>
            <w:tcW w:w="7720" w:type="dxa"/>
            <w:vAlign w:val="bottom"/>
            <w:gridSpan w:val="2"/>
          </w:tcPr>
          <w:p>
            <w:pPr>
              <w:ind w:left="2140"/>
              <w:spacing w:after="0"/>
              <w:rPr>
                <w:sz w:val="20"/>
                <w:szCs w:val="20"/>
                <w:color w:val="auto"/>
              </w:rPr>
            </w:pPr>
            <w:r>
              <w:rPr>
                <w:rFonts w:ascii="Arial" w:cs="Arial" w:eastAsia="Arial" w:hAnsi="Arial"/>
                <w:sz w:val="18"/>
                <w:szCs w:val="18"/>
                <w:color w:val="auto"/>
              </w:rPr>
              <w:t>By:  /s/ Ian J. Webber</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Ian J. Webber</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9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2012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Ian J. Webber, Chief Executive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Ian J. Webber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2012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Susan J. Cook, Chief Financial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15.1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333-156454) and Form F-3 (No. 333-172096) of Global Ship Lease, Inc. of our report dated April 12, 2013 relating to the consolidated financial statements and the effectiveness of internal control over financial reporting, which appear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12,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decimal"/>
      <w:start w:val="2"/>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lowerLetter"/>
      <w:start w:val="2"/>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2"/>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emdash "/>
      <w:numFmt w:val="bullet"/>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upperLetter"/>
      <w:start w:val="1"/>
    </w:lvl>
    <w:lvl w:ilvl="1">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decimal"/>
      <w:start w:val="2"/>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lowerLetter"/>
      <w:start w:val="1"/>
    </w:lvl>
    <w:lvl w:ilvl="1">
      <w:lvlJc w:val="left"/>
      <w:lvlText w:val="(%2)"/>
      <w:numFmt w:val="lowerLetter"/>
      <w:start w:val="2"/>
    </w:lvl>
  </w:abstractNum>
  <w:abstractNum w:abstractNumId="57">
    <w:nsid w:val="42963E5A"/>
    <w:multiLevelType w:val="hybridMultilevel"/>
    <w:lvl w:ilvl="0">
      <w:lvlJc w:val="left"/>
      <w:lvlText w:val="(%1)"/>
      <w:numFmt w:val="lowerLetter"/>
      <w:start w:val="9"/>
    </w:lvl>
    <w:lvl w:ilvl="1">
      <w:lvlJc w:val="left"/>
      <w:lvlText w:val="%2"/>
      <w:numFmt w:val="lowerLetter"/>
      <w:start w:val="1"/>
    </w:lvl>
  </w:abstractNum>
  <w:abstractNum w:abstractNumId="58">
    <w:nsid w:val="A0382C5"/>
    <w:multiLevelType w:val="hybridMultilevel"/>
    <w:lvl w:ilvl="0">
      <w:lvlJc w:val="left"/>
      <w:lvlText w:val="(%1)"/>
      <w:numFmt w:val="lowerRoman"/>
      <w:start w:val="2"/>
    </w:lvl>
  </w:abstractNum>
  <w:abstractNum w:abstractNumId="59">
    <w:nsid w:val="8F2B15E"/>
    <w:multiLevelType w:val="hybridMultilevel"/>
    <w:lvl w:ilvl="0">
      <w:lvlJc w:val="left"/>
      <w:lvlText w:val="%1."/>
      <w:numFmt w:val="decimal"/>
      <w:start w:val="3"/>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lowerLetter"/>
      <w:start w:val="2"/>
    </w:lvl>
  </w:abstractNum>
  <w:abstractNum w:abstractNumId="62">
    <w:nsid w:val="68EB2F63"/>
    <w:multiLevelType w:val="hybridMultilevel"/>
    <w:lvl w:ilvl="0">
      <w:lvlJc w:val="left"/>
      <w:lvlText w:val="(%1)"/>
      <w:numFmt w:val="lowerLetter"/>
      <w:start w:val="3"/>
    </w:lvl>
  </w:abstractNum>
  <w:abstractNum w:abstractNumId="63">
    <w:nsid w:val="4962813B"/>
    <w:multiLevelType w:val="hybridMultilevel"/>
    <w:lvl w:ilvl="0">
      <w:lvlJc w:val="left"/>
      <w:lvlText w:val="(%1)"/>
      <w:numFmt w:val="lowerLetter"/>
      <w:start w:val="4"/>
    </w:lvl>
  </w:abstractNum>
  <w:abstractNum w:abstractNumId="64">
    <w:nsid w:val="60B6DF70"/>
    <w:multiLevelType w:val="hybridMultilevel"/>
    <w:lvl w:ilvl="0">
      <w:lvlJc w:val="left"/>
      <w:lvlText w:val="(%1)"/>
      <w:numFmt w:val="lowerLetter"/>
      <w:start w:val="5"/>
    </w:lvl>
  </w:abstractNum>
  <w:abstractNum w:abstractNumId="65">
    <w:nsid w:val="6A5EE64"/>
    <w:multiLevelType w:val="hybridMultilevel"/>
    <w:lvl w:ilvl="0">
      <w:lvlJc w:val="left"/>
      <w:lvlText w:val="(%1)"/>
      <w:numFmt w:val="lowerLetter"/>
      <w:start w:val="6"/>
    </w:lvl>
  </w:abstractNum>
  <w:abstractNum w:abstractNumId="66">
    <w:nsid w:val="14330624"/>
    <w:multiLevelType w:val="hybridMultilevel"/>
    <w:lvl w:ilvl="0">
      <w:lvlJc w:val="left"/>
      <w:lvlText w:val="%1."/>
      <w:numFmt w:val="decimal"/>
      <w:start w:val="3"/>
    </w:lvl>
    <w:lvl w:ilvl="1">
      <w:lvlJc w:val="left"/>
      <w:lvlText w:val="(%2)"/>
      <w:numFmt w:val="lowerLetter"/>
      <w:start w:val="6"/>
    </w:lvl>
  </w:abstractNum>
  <w:abstractNum w:abstractNumId="67">
    <w:nsid w:val="7FFFCA11"/>
    <w:multiLevelType w:val="hybridMultilevel"/>
    <w:lvl w:ilvl="0">
      <w:lvlJc w:val="left"/>
      <w:lvlText w:val="(%1)"/>
      <w:numFmt w:val="lowerLetter"/>
      <w:start w:val="7"/>
    </w:lvl>
  </w:abstractNum>
  <w:abstractNum w:abstractNumId="68">
    <w:nsid w:val="1A27709E"/>
    <w:multiLevelType w:val="hybridMultilevel"/>
    <w:lvl w:ilvl="0">
      <w:lvlJc w:val="left"/>
      <w:lvlText w:val="(%1)"/>
      <w:numFmt w:val="lowerLetter"/>
      <w:start w:val="8"/>
    </w:lvl>
  </w:abstractNum>
  <w:abstractNum w:abstractNumId="69">
    <w:nsid w:val="71EA1109"/>
    <w:multiLevelType w:val="hybridMultilevel"/>
    <w:lvl w:ilvl="0">
      <w:lvlJc w:val="left"/>
      <w:lvlText w:val="(%1)"/>
      <w:numFmt w:val="lowerRoman"/>
      <w:start w:val="1"/>
    </w:lvl>
  </w:abstractNum>
  <w:abstractNum w:abstractNumId="70">
    <w:nsid w:val="100F59DC"/>
    <w:multiLevelType w:val="hybridMultilevel"/>
    <w:lvl w:ilvl="0">
      <w:lvlJc w:val="left"/>
      <w:lvlText w:val="%1."/>
      <w:numFmt w:val="decimal"/>
      <w:start w:val="3"/>
    </w:lvl>
  </w:abstractNum>
  <w:abstractNum w:abstractNumId="71">
    <w:nsid w:val="7FB7E0AA"/>
    <w:multiLevelType w:val="hybridMultilevel"/>
    <w:lvl w:ilvl="0">
      <w:lvlJc w:val="left"/>
      <w:lvlText w:val="(%1)"/>
      <w:numFmt w:val="lowerLetter"/>
      <w:start w:val="10"/>
    </w:lvl>
  </w:abstractNum>
  <w:abstractNum w:abstractNumId="72">
    <w:nsid w:val="6EB5BD4"/>
    <w:multiLevelType w:val="hybridMultilevel"/>
    <w:lvl w:ilvl="0">
      <w:lvlJc w:val="left"/>
      <w:lvlText w:val="(%1)"/>
      <w:numFmt w:val="lowerRoman"/>
      <w:start w:val="4"/>
    </w:lvl>
  </w:abstractNum>
  <w:abstractNum w:abstractNumId="73">
    <w:nsid w:val="6F6DD9AC"/>
    <w:multiLevelType w:val="hybridMultilevel"/>
    <w:lvl w:ilvl="0">
      <w:lvlJc w:val="left"/>
      <w:lvlText w:val="(%1)"/>
      <w:numFmt w:val="lowerLetter"/>
      <w:start w:val="11"/>
    </w:lvl>
  </w:abstractNum>
  <w:abstractNum w:abstractNumId="74">
    <w:nsid w:val="94211F2"/>
    <w:multiLevelType w:val="hybridMultilevel"/>
    <w:lvl w:ilvl="0">
      <w:lvlJc w:val="left"/>
      <w:lvlText w:val="%1."/>
      <w:numFmt w:val="decimal"/>
      <w:start w:val="3"/>
    </w:lvl>
  </w:abstractNum>
  <w:abstractNum w:abstractNumId="75">
    <w:nsid w:val="885E1B"/>
    <w:multiLevelType w:val="hybridMultilevel"/>
    <w:lvl w:ilvl="0">
      <w:lvlJc w:val="left"/>
      <w:lvlText w:val="(%1)"/>
      <w:numFmt w:val="lowerLetter"/>
      <w:start w:val="12"/>
    </w:lvl>
  </w:abstractNum>
  <w:abstractNum w:abstractNumId="76">
    <w:nsid w:val="76272110"/>
    <w:multiLevelType w:val="hybridMultilevel"/>
    <w:lvl w:ilvl="0">
      <w:lvlJc w:val="left"/>
      <w:lvlText w:val="(%1)"/>
      <w:numFmt w:val="lowerLetter"/>
      <w:start w:val="13"/>
    </w:lvl>
  </w:abstractNum>
  <w:abstractNum w:abstractNumId="77">
    <w:nsid w:val="4C04A8AF"/>
    <w:multiLevelType w:val="hybridMultilevel"/>
    <w:lvl w:ilvl="0">
      <w:lvlJc w:val="left"/>
      <w:lvlText w:val="(%1)"/>
      <w:numFmt w:val="lowerLetter"/>
      <w:start w:val="14"/>
    </w:lvl>
  </w:abstractNum>
  <w:abstractNum w:abstractNumId="78">
    <w:nsid w:val="1716703B"/>
    <w:multiLevelType w:val="hybridMultilevel"/>
    <w:lvl w:ilvl="0">
      <w:lvlJc w:val="left"/>
      <w:lvlText w:val="(%1)"/>
      <w:numFmt w:val="lowerLetter"/>
      <w:start w:val="15"/>
    </w:lvl>
  </w:abstractNum>
  <w:abstractNum w:abstractNumId="79">
    <w:nsid w:val="14E17E33"/>
    <w:multiLevelType w:val="hybridMultilevel"/>
    <w:lvl w:ilvl="0">
      <w:lvlJc w:val="left"/>
      <w:lvlText w:val="(%1)"/>
      <w:numFmt w:val="lowerLetter"/>
      <w:start w:val="16"/>
    </w:lvl>
  </w:abstractNum>
  <w:abstractNum w:abstractNumId="80">
    <w:nsid w:val="3222E7CD"/>
    <w:multiLevelType w:val="hybridMultilevel"/>
    <w:lvl w:ilvl="0">
      <w:lvlJc w:val="left"/>
      <w:lvlText w:val="(%1)"/>
      <w:numFmt w:val="lowerLetter"/>
      <w:start w:val="17"/>
    </w:lvl>
  </w:abstractNum>
  <w:abstractNum w:abstractNumId="81">
    <w:nsid w:val="74DE0EE3"/>
    <w:multiLevelType w:val="hybridMultilevel"/>
    <w:lvl w:ilvl="0">
      <w:lvlJc w:val="left"/>
      <w:lvlText w:val="(%1)"/>
      <w:numFmt w:val="lowerLetter"/>
      <w:start w:val="18"/>
    </w:lvl>
  </w:abstractNum>
  <w:abstractNum w:abstractNumId="82">
    <w:nsid w:val="68EBC550"/>
    <w:multiLevelType w:val="hybridMultilevel"/>
    <w:lvl w:ilvl="0">
      <w:lvlJc w:val="left"/>
      <w:lvlText w:val="%1."/>
      <w:numFmt w:val="decimal"/>
      <w:start w:val="3"/>
    </w:lvl>
  </w:abstractNum>
  <w:abstractNum w:abstractNumId="83">
    <w:nsid w:val="2DF6D648"/>
    <w:multiLevelType w:val="hybridMultilevel"/>
    <w:lvl w:ilvl="0">
      <w:lvlJc w:val="left"/>
      <w:lvlText w:val="(%1)"/>
      <w:numFmt w:val="lowerLetter"/>
      <w:start w:val="19"/>
    </w:lvl>
  </w:abstractNum>
  <w:abstractNum w:abstractNumId="84">
    <w:nsid w:val="46B7D447"/>
    <w:multiLevelType w:val="hybridMultilevel"/>
    <w:lvl w:ilvl="0">
      <w:lvlJc w:val="left"/>
      <w:lvlText w:val="(%1)"/>
      <w:numFmt w:val="lowerLetter"/>
      <w:start w:val="20"/>
    </w:lvl>
  </w:abstractNum>
  <w:abstractNum w:abstractNumId="85">
    <w:nsid w:val="4A2AC315"/>
    <w:multiLevelType w:val="hybridMultilevel"/>
    <w:lvl w:ilvl="0">
      <w:lvlJc w:val="left"/>
      <w:lvlText w:val="(%1)"/>
      <w:numFmt w:val="lowerLetter"/>
      <w:start w:val="21"/>
    </w:lvl>
  </w:abstractNum>
  <w:abstractNum w:abstractNumId="86">
    <w:nsid w:val="39EE015C"/>
    <w:multiLevelType w:val="hybridMultilevel"/>
    <w:lvl w:ilvl="0">
      <w:lvlJc w:val="left"/>
      <w:lvlText w:val="(%1)"/>
      <w:numFmt w:val="lowerRoman"/>
      <w:start w:val="5"/>
    </w:lvl>
  </w:abstractNum>
  <w:abstractNum w:abstractNumId="87">
    <w:nsid w:val="57FC4FBB"/>
    <w:multiLevelType w:val="hybridMultilevel"/>
    <w:lvl w:ilvl="0">
      <w:lvlJc w:val="left"/>
      <w:lvlText w:val="(%1)"/>
      <w:numFmt w:val="lowerLetter"/>
      <w:start w:val="23"/>
    </w:lvl>
  </w:abstractNum>
  <w:abstractNum w:abstractNumId="88">
    <w:nsid w:val="CC1016F"/>
    <w:multiLevelType w:val="hybridMultilevel"/>
    <w:lvl w:ilvl="0">
      <w:lvlJc w:val="left"/>
      <w:lvlText w:val="%1."/>
      <w:numFmt w:val="decimal"/>
      <w:start w:val="3"/>
    </w:lvl>
  </w:abstractNum>
  <w:abstractNum w:abstractNumId="89">
    <w:nsid w:val="43F18422"/>
    <w:multiLevelType w:val="hybridMultilevel"/>
    <w:lvl w:ilvl="0">
      <w:lvlJc w:val="left"/>
      <w:lvlText w:val="(%1)"/>
      <w:numFmt w:val="lowerRoman"/>
      <w:start w:val="10"/>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lowerRoman"/>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2019-12-07T18:27:19Z</dcterms:created>
  <dcterms:modified xsi:type="dcterms:W3CDTF">2019-12-07T18:27:19Z</dcterms:modified>
</cp:coreProperties>
</file>