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March 11,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p>
      <w:pPr>
        <w:ind w:right="3840"/>
        <w:spacing w:after="0" w:line="229"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7" w:lineRule="exact"/>
        <w:rPr>
          <w:sz w:val="24"/>
          <w:szCs w:val="24"/>
          <w:color w:val="auto"/>
        </w:rPr>
      </w:pPr>
    </w:p>
    <w:p>
      <w:pPr>
        <w:ind w:right="376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72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Attached hereto as Exhibit I is a press release dated March 11, 2013 of Global Ship Lease, Inc. (the “Company”) reporting the Company’s financial results for the fourth quarter of 2012 and the resignation of Jeffrey Pribor from the Company’s board of directors. Attached hereto as Exhibit II are the Company’s interim unaudited consolidated financial statements for the three months and year ended December 31, 2012.</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020" w:val="left"/>
          <w:tab w:leader="none" w:pos="8020" w:val="left"/>
          <w:tab w:leader="none" w:pos="8360" w:val="left"/>
        </w:tabs>
        <w:rPr>
          <w:sz w:val="20"/>
          <w:szCs w:val="20"/>
          <w:color w:val="auto"/>
        </w:rPr>
      </w:pPr>
      <w:r>
        <w:rPr>
          <w:rFonts w:ascii="Arial" w:cs="Arial" w:eastAsia="Arial" w:hAnsi="Arial"/>
          <w:sz w:val="18"/>
          <w:szCs w:val="18"/>
          <w:color w:val="auto"/>
        </w:rPr>
        <w:t>Date: March 12,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320"/>
          </w:cols>
          <w:pgMar w:left="240" w:top="27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Burke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Fourth Quarter of 2012</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LONDON, ENGLAND — March 11, 2013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and year ended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To Date Highlights</w:t>
      </w:r>
    </w:p>
    <w:p>
      <w:pPr>
        <w:spacing w:after="0" w:line="9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$36.2 million for the fourth quarter 2012 and $153.2 million for the full year</w:t>
      </w:r>
    </w:p>
    <w:p>
      <w:pPr>
        <w:spacing w:after="0" w:line="171" w:lineRule="exact"/>
        <w:rPr>
          <w:rFonts w:ascii="Arial" w:cs="Arial" w:eastAsia="Arial" w:hAnsi="Arial"/>
          <w:sz w:val="18"/>
          <w:szCs w:val="18"/>
          <w:color w:val="auto"/>
        </w:rPr>
      </w:pPr>
    </w:p>
    <w:p>
      <w:pPr>
        <w:ind w:right="2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$8.1 million for the fourth quarter 2012, after a $4.7 million non-cash interest rate derivative mark-to-market gain; net income for full year 2012 was $31.9 million, after a $9.7 million non-cash mark-to-market gain</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Normalized net income</w:t>
      </w:r>
      <w:r>
        <w:rPr>
          <w:rFonts w:ascii="Arial" w:cs="Arial" w:eastAsia="Arial" w:hAnsi="Arial"/>
          <w:sz w:val="11"/>
          <w:szCs w:val="11"/>
          <w:color w:val="auto"/>
        </w:rPr>
        <w:t>(1)</w:t>
      </w:r>
      <w:r>
        <w:rPr>
          <w:rFonts w:ascii="Arial" w:cs="Arial" w:eastAsia="Arial" w:hAnsi="Arial"/>
          <w:sz w:val="18"/>
          <w:szCs w:val="18"/>
          <w:color w:val="auto"/>
        </w:rPr>
        <w:t xml:space="preserve"> was $3.5 million for the fourth quarter and $22.2 million for the full year 2012</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$23.3 million of Adjusted EBITDA</w:t>
      </w:r>
      <w:r>
        <w:rPr>
          <w:rFonts w:ascii="Arial" w:cs="Arial" w:eastAsia="Arial" w:hAnsi="Arial"/>
          <w:sz w:val="11"/>
          <w:szCs w:val="11"/>
          <w:color w:val="auto"/>
        </w:rPr>
        <w:t>(1)</w:t>
      </w:r>
      <w:r>
        <w:rPr>
          <w:rFonts w:ascii="Arial" w:cs="Arial" w:eastAsia="Arial" w:hAnsi="Arial"/>
          <w:sz w:val="18"/>
          <w:szCs w:val="18"/>
          <w:color w:val="auto"/>
        </w:rPr>
        <w:t xml:space="preserve"> for the fourth quarter 2012, and $102.2 million for the full year</w:t>
      </w:r>
    </w:p>
    <w:p>
      <w:pPr>
        <w:spacing w:after="0" w:line="171" w:lineRule="exact"/>
        <w:rPr>
          <w:rFonts w:ascii="Arial" w:cs="Arial" w:eastAsia="Arial" w:hAnsi="Arial"/>
          <w:sz w:val="18"/>
          <w:szCs w:val="18"/>
          <w:color w:val="auto"/>
        </w:rPr>
      </w:pPr>
    </w:p>
    <w:p>
      <w:pPr>
        <w:ind w:right="4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with lenders in November 2012 to waive the requirement to test the Leverage Ratio until December 1, 2014 and also to include all secured vessels in the test, whether subject to a charter or not</w:t>
      </w:r>
    </w:p>
    <w:p>
      <w:pPr>
        <w:spacing w:after="0" w:line="131" w:lineRule="exact"/>
        <w:rPr>
          <w:rFonts w:ascii="Arial" w:cs="Arial" w:eastAsia="Arial" w:hAnsi="Arial"/>
          <w:sz w:val="18"/>
          <w:szCs w:val="18"/>
          <w:color w:val="auto"/>
        </w:rPr>
      </w:pPr>
    </w:p>
    <w:p>
      <w:pPr>
        <w:ind w:right="3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$11.1 million of bank debt during the fourth quarter of 2012; repaid $57.9 million in the year ended December 31, 2012 and $173.4 million since the fourth quarter 2009</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Ian Webber, Chief Executive Officer of Global Ship Lease, stated, “On the strength of our stable business model and a 99% utilization rate, we generated Adjusted EBITDA of $23.3 million for the fourth quarter and continued to de-lever our balance sheet, repaying an additional $11.1 million of debt. With all of our 17 vessels fully employed on time charters, we generated Adjusted EBITDA of $102.2 million during 2012 and utilized our sizeable cash flow to pay down a total of $57.9 million of debt.”</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Mr. Webber continued, “With an average remaining lease term of over seven years for our fleet and contracted revenue totaling $1 billion, we remain well insulated from the current charter rate environment. Further, with supportive credit markets and having secured relief from our loan-to-value test until December 2014, our top priority is to strengthen our capital structure and enhance our financial flexibility to create incremental value for our shareholders. In the meantime, we will continue to utilize our cash flow to further de-lever our balance sheet.”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40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color w:val="auto"/>
                <w:w w:val="87"/>
              </w:rPr>
              <w:t>Three</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2"/>
              </w:rPr>
              <w:t>months</w:t>
            </w:r>
          </w:p>
        </w:tc>
        <w:tc>
          <w:tcPr>
            <w:tcW w:w="1320" w:type="dxa"/>
            <w:vAlign w:val="bottom"/>
            <w:gridSpan w:val="2"/>
            <w:vMerge w:val="continue"/>
          </w:tcPr>
          <w:p>
            <w:pPr>
              <w:spacing w:after="0"/>
              <w:rPr>
                <w:sz w:val="8"/>
                <w:szCs w:val="8"/>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6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320" w:type="dxa"/>
            <w:vAlign w:val="bottom"/>
            <w:gridSpan w:val="2"/>
            <w:vMerge w:val="restart"/>
          </w:tcPr>
          <w:p>
            <w:pPr>
              <w:jc w:val="center"/>
              <w:ind w:right="520"/>
              <w:spacing w:after="0" w:line="147" w:lineRule="exact"/>
              <w:rPr>
                <w:sz w:val="20"/>
                <w:szCs w:val="20"/>
                <w:color w:val="auto"/>
              </w:rPr>
            </w:pPr>
            <w:r>
              <w:rPr>
                <w:rFonts w:ascii="Arial" w:cs="Arial" w:eastAsia="Arial" w:hAnsi="Arial"/>
                <w:sz w:val="14"/>
                <w:szCs w:val="14"/>
                <w:color w:val="auto"/>
                <w:w w:val="87"/>
              </w:rPr>
              <w:t>months</w:t>
            </w:r>
          </w:p>
        </w:tc>
        <w:tc>
          <w:tcPr>
            <w:tcW w:w="1340" w:type="dxa"/>
            <w:vAlign w:val="bottom"/>
            <w:gridSpan w:val="2"/>
            <w:vMerge w:val="continue"/>
          </w:tcPr>
          <w:p>
            <w:pPr>
              <w:spacing w:after="0"/>
              <w:rPr>
                <w:sz w:val="6"/>
                <w:szCs w:val="6"/>
                <w:color w:val="auto"/>
              </w:rPr>
            </w:pPr>
          </w:p>
        </w:tc>
        <w:tc>
          <w:tcPr>
            <w:tcW w:w="86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ended</w:t>
            </w:r>
          </w:p>
        </w:tc>
        <w:tc>
          <w:tcPr>
            <w:tcW w:w="132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2"/>
              </w:rPr>
              <w:t>ended</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ended</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December 31,</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36,168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153,205</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13,249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16,503</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61,832</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31,928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Adjusted EBITDA (1)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23,315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26,579</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102,175</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22,203</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17 vessel fleet generated revenue from fixed rate long-term time charters of $36.2 million in the three months ended December 31, 2012, down $3.5 million on revenue of $39.7 million for the comparative period in 2011 mainly due to lower levels of charterhire on two vessels for new charters which commenced in late September 2012. The new daily rate is $9,962 compared to $28,500 previously. There were 16 days offhire, including 10 for a scheduled drydocking, up four on the prior period. During the three months ended December 31, 2012, there were 1,564 ownership days, the same as the comparable period in 2011. The 16 days offhire in the three months ended December 31, 2012 gives a utilization of 99.0%. In the comparable period of 2011 utilization was 99.2%.</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year ended December 31, 2012, revenue was $153.2 million, down $3.1 million on revenue of $156.3 million in the comparative period, mainly due to lower charter rates on two vessels as noted above. Offhire days were 98, including 82 for planned drydockings, 8 fewer days offhire than in 2011. There were 17 additional ownership days in 2012 due to the leap year.</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shows fleet utilization for the three months and year ended December 31, 2012 and 2011 and for the years ended December 31, 2011,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color w:val="auto"/>
                <w:w w:val="91"/>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jc w:val="right"/>
              <w:ind w:right="740"/>
              <w:spacing w:after="0"/>
              <w:rPr>
                <w:sz w:val="20"/>
                <w:szCs w:val="20"/>
                <w:color w:val="auto"/>
              </w:rPr>
            </w:pPr>
            <w:r>
              <w:rPr>
                <w:rFonts w:ascii="Arial" w:cs="Arial" w:eastAsia="Arial" w:hAnsi="Arial"/>
                <w:sz w:val="14"/>
                <w:szCs w:val="14"/>
                <w:color w:val="auto"/>
              </w:rPr>
              <w:t>Year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2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25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Dec 31,</w:t>
            </w:r>
          </w:p>
        </w:tc>
        <w:tc>
          <w:tcPr>
            <w:tcW w:w="3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6"/>
              </w:rPr>
              <w:t>Dec 31,</w:t>
            </w:r>
          </w:p>
        </w:tc>
        <w:tc>
          <w:tcPr>
            <w:tcW w:w="82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2"/>
              </w:rPr>
              <w:t>Dec 31,</w:t>
            </w:r>
          </w:p>
        </w:tc>
        <w:tc>
          <w:tcPr>
            <w:tcW w:w="860" w:type="dxa"/>
            <w:vAlign w:val="bottom"/>
            <w:tcBorders>
              <w:top w:val="single" w:sz="8" w:color="auto"/>
            </w:tcBorders>
            <w:gridSpan w:val="2"/>
          </w:tcPr>
          <w:p>
            <w:pPr>
              <w:jc w:val="right"/>
              <w:ind w:right="42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Dec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gridSpan w:val="3"/>
            <w:vMerge w:val="continue"/>
          </w:tcPr>
          <w:p>
            <w:pPr>
              <w:spacing w:after="0"/>
              <w:rPr>
                <w:sz w:val="11"/>
                <w:szCs w:val="11"/>
                <w:color w:val="auto"/>
              </w:rPr>
            </w:pPr>
          </w:p>
        </w:tc>
        <w:tc>
          <w:tcPr>
            <w:tcW w:w="3000" w:type="dxa"/>
            <w:vAlign w:val="bottom"/>
            <w:gridSpan w:val="2"/>
          </w:tcPr>
          <w:p>
            <w:pPr>
              <w:jc w:val="right"/>
              <w:ind w:right="22"/>
              <w:spacing w:after="0" w:line="113" w:lineRule="exact"/>
              <w:rPr>
                <w:sz w:val="20"/>
                <w:szCs w:val="20"/>
                <w:color w:val="auto"/>
              </w:rPr>
            </w:pPr>
            <w:r>
              <w:rPr>
                <w:rFonts w:ascii="Arial" w:cs="Arial" w:eastAsia="Arial" w:hAnsi="Arial"/>
                <w:sz w:val="12"/>
                <w:szCs w:val="12"/>
                <w:color w:val="auto"/>
              </w:rPr>
              <w:t>2012</w:t>
            </w:r>
          </w:p>
        </w:tc>
        <w:tc>
          <w:tcPr>
            <w:tcW w:w="380" w:type="dxa"/>
            <w:vAlign w:val="bottom"/>
          </w:tcPr>
          <w:p>
            <w:pPr>
              <w:spacing w:after="0"/>
              <w:rPr>
                <w:sz w:val="11"/>
                <w:szCs w:val="11"/>
                <w:color w:val="auto"/>
              </w:rPr>
            </w:pPr>
          </w:p>
        </w:tc>
        <w:tc>
          <w:tcPr>
            <w:tcW w:w="460" w:type="dxa"/>
            <w:vAlign w:val="bottom"/>
          </w:tcPr>
          <w:p>
            <w:pPr>
              <w:jc w:val="right"/>
              <w:ind w:right="19"/>
              <w:spacing w:after="0" w:line="113" w:lineRule="exact"/>
              <w:rPr>
                <w:sz w:val="20"/>
                <w:szCs w:val="20"/>
                <w:color w:val="auto"/>
              </w:rPr>
            </w:pPr>
            <w:r>
              <w:rPr>
                <w:rFonts w:ascii="Arial" w:cs="Arial" w:eastAsia="Arial" w:hAnsi="Arial"/>
                <w:sz w:val="12"/>
                <w:szCs w:val="12"/>
                <w:color w:val="auto"/>
              </w:rPr>
              <w:t>2011</w:t>
            </w:r>
          </w:p>
        </w:tc>
        <w:tc>
          <w:tcPr>
            <w:tcW w:w="380" w:type="dxa"/>
            <w:vAlign w:val="bottom"/>
          </w:tcPr>
          <w:p>
            <w:pPr>
              <w:spacing w:after="0"/>
              <w:rPr>
                <w:sz w:val="11"/>
                <w:szCs w:val="11"/>
                <w:color w:val="auto"/>
              </w:rPr>
            </w:pPr>
          </w:p>
        </w:tc>
        <w:tc>
          <w:tcPr>
            <w:tcW w:w="460" w:type="dxa"/>
            <w:vAlign w:val="bottom"/>
          </w:tcPr>
          <w:p>
            <w:pPr>
              <w:jc w:val="right"/>
              <w:ind w:right="19"/>
              <w:spacing w:after="0" w:line="113" w:lineRule="exact"/>
              <w:rPr>
                <w:sz w:val="20"/>
                <w:szCs w:val="20"/>
                <w:color w:val="auto"/>
              </w:rPr>
            </w:pPr>
            <w:r>
              <w:rPr>
                <w:rFonts w:ascii="Arial" w:cs="Arial" w:eastAsia="Arial" w:hAnsi="Arial"/>
                <w:sz w:val="12"/>
                <w:szCs w:val="12"/>
                <w:color w:val="auto"/>
              </w:rPr>
              <w:t>2012</w:t>
            </w:r>
          </w:p>
        </w:tc>
        <w:tc>
          <w:tcPr>
            <w:tcW w:w="380" w:type="dxa"/>
            <w:vAlign w:val="bottom"/>
          </w:tcPr>
          <w:p>
            <w:pPr>
              <w:spacing w:after="0"/>
              <w:rPr>
                <w:sz w:val="11"/>
                <w:szCs w:val="11"/>
                <w:color w:val="auto"/>
              </w:rPr>
            </w:pPr>
          </w:p>
        </w:tc>
        <w:tc>
          <w:tcPr>
            <w:tcW w:w="440" w:type="dxa"/>
            <w:vAlign w:val="bottom"/>
          </w:tcPr>
          <w:p>
            <w:pPr>
              <w:jc w:val="right"/>
              <w:ind w:right="1"/>
              <w:spacing w:after="0" w:line="113" w:lineRule="exact"/>
              <w:rPr>
                <w:sz w:val="20"/>
                <w:szCs w:val="20"/>
                <w:color w:val="auto"/>
              </w:rPr>
            </w:pPr>
            <w:r>
              <w:rPr>
                <w:rFonts w:ascii="Arial" w:cs="Arial" w:eastAsia="Arial" w:hAnsi="Arial"/>
                <w:sz w:val="12"/>
                <w:szCs w:val="12"/>
                <w:color w:val="auto"/>
              </w:rPr>
              <w:t>2011</w:t>
            </w:r>
          </w:p>
        </w:tc>
        <w:tc>
          <w:tcPr>
            <w:tcW w:w="380" w:type="dxa"/>
            <w:vAlign w:val="bottom"/>
          </w:tcPr>
          <w:p>
            <w:pPr>
              <w:spacing w:after="0"/>
              <w:rPr>
                <w:sz w:val="11"/>
                <w:szCs w:val="11"/>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2"/>
                <w:szCs w:val="12"/>
                <w:color w:val="auto"/>
              </w:rPr>
              <w:t>2010</w:t>
            </w:r>
          </w:p>
        </w:tc>
        <w:tc>
          <w:tcPr>
            <w:tcW w:w="400" w:type="dxa"/>
            <w:vAlign w:val="bottom"/>
          </w:tcPr>
          <w:p>
            <w:pPr>
              <w:spacing w:after="0"/>
              <w:rPr>
                <w:sz w:val="11"/>
                <w:szCs w:val="11"/>
                <w:color w:val="auto"/>
              </w:rPr>
            </w:pPr>
          </w:p>
        </w:tc>
        <w:tc>
          <w:tcPr>
            <w:tcW w:w="460" w:type="dxa"/>
            <w:vAlign w:val="bottom"/>
          </w:tcPr>
          <w:p>
            <w:pPr>
              <w:jc w:val="right"/>
              <w:ind w:right="19"/>
              <w:spacing w:after="0" w:line="113" w:lineRule="exact"/>
              <w:rPr>
                <w:sz w:val="20"/>
                <w:szCs w:val="20"/>
                <w:color w:val="auto"/>
              </w:rPr>
            </w:pPr>
            <w:r>
              <w:rPr>
                <w:rFonts w:ascii="Arial" w:cs="Arial" w:eastAsia="Arial" w:hAnsi="Arial"/>
                <w:sz w:val="12"/>
                <w:szCs w:val="12"/>
                <w:color w:val="auto"/>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1,564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6,205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6,205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5,968</w:t>
            </w:r>
          </w:p>
        </w:tc>
        <w:tc>
          <w:tcPr>
            <w:tcW w:w="0" w:type="dxa"/>
            <w:vAlign w:val="bottom"/>
          </w:tcPr>
          <w:p>
            <w:pPr>
              <w:spacing w:after="0"/>
              <w:rPr>
                <w:sz w:val="1"/>
                <w:szCs w:val="1"/>
                <w:color w:val="auto"/>
              </w:rPr>
            </w:pPr>
          </w:p>
        </w:tc>
      </w:tr>
      <w:tr>
        <w:trPr>
          <w:trHeight w:val="322"/>
        </w:trPr>
        <w:tc>
          <w:tcPr>
            <w:tcW w:w="4020" w:type="dxa"/>
            <w:vAlign w:val="bottom"/>
            <w:gridSpan w:val="3"/>
          </w:tcPr>
          <w:p>
            <w:pPr>
              <w:spacing w:after="0"/>
              <w:rPr>
                <w:sz w:val="20"/>
                <w:szCs w:val="20"/>
                <w:color w:val="auto"/>
              </w:rPr>
            </w:pPr>
            <w:r>
              <w:rPr>
                <w:rFonts w:ascii="Arial" w:cs="Arial" w:eastAsia="Arial" w:hAnsi="Arial"/>
                <w:sz w:val="18"/>
                <w:szCs w:val="18"/>
                <w:color w:val="auto"/>
              </w:rPr>
              <w:t>Planned offhire - scheduled drydock</w:t>
            </w:r>
          </w:p>
        </w:tc>
        <w:tc>
          <w:tcPr>
            <w:tcW w:w="338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2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2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3"/>
            <w:vMerge w:val="continue"/>
          </w:tcPr>
          <w:p>
            <w:pPr>
              <w:spacing w:after="0"/>
              <w:rPr>
                <w:sz w:val="19"/>
                <w:szCs w:val="19"/>
                <w:color w:val="auto"/>
              </w:rPr>
            </w:pPr>
          </w:p>
        </w:tc>
        <w:tc>
          <w:tcPr>
            <w:tcW w:w="2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1,548</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1,552</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6,124</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6,099</w:t>
            </w:r>
          </w:p>
        </w:tc>
        <w:tc>
          <w:tcPr>
            <w:tcW w:w="3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6,202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3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80" w:type="dxa"/>
            <w:vAlign w:val="bottom"/>
            <w:gridSpan w:val="3"/>
          </w:tcPr>
          <w:p>
            <w:pPr>
              <w:jc w:val="right"/>
              <w:ind w:right="1440"/>
              <w:spacing w:after="0"/>
              <w:rPr>
                <w:sz w:val="20"/>
                <w:szCs w:val="20"/>
                <w:color w:val="auto"/>
              </w:rPr>
            </w:pPr>
            <w:r>
              <w:rPr>
                <w:rFonts w:ascii="Arial" w:cs="Arial" w:eastAsia="Arial" w:hAnsi="Arial"/>
                <w:sz w:val="18"/>
                <w:szCs w:val="18"/>
                <w:color w:val="auto"/>
              </w:rPr>
              <w:t>Page 2</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drydocking of six vessels was completed in the year ended December 31, 2012. Three drydockings are scheduled for 2013, two in 2014, and none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Vessel operating expenses, which include costs of crew, lubricating oil, spares and insurance, were $11.5 million for the three months ended December 31, 2012. The average cost per ownership day was $7,363 up $44, or 0.6% on $7,319 for the rolling four quarters ended September 30, 2012. Increased spend on repairs, maintenance and supplies have been offset by a benefit from exchange rate movements on costs denominated in euros, fewer insurance deductibles and lower expenses from fewer drydockings. The fourth quarter 2012 average daily cost was up $30, or 0.4% from the average daily cost of $7,333 for the fourth quarter 2011 for mainly the same reasons.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 ended December 31, 2012 vessel operating expenses were essentially flat at $45.6 million or an average of $7,327 per day, compared to $45.5 million in the comparative period or $7,336 per day.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December 31, 2012 was $10.1 million, the same as in the fourth quarter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year ended December 31, 2012 was $40.3 million, compared to $40.1 million in the comparative period of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General and administrative costs were $1.5 million in the three months ended December 31, 2012, compared to $1.8 million in the fourth quarter of 2011 with the reduction due mainly to lower legal and professional fees.</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the year ended December 31, 2012, general and administrative costs were $5.8 million compared to $7.4 million for 2011. The reduction is due mainly to lower legal and professional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 2011</w:t>
      </w:r>
    </w:p>
    <w:p>
      <w:pPr>
        <w:spacing w:after="0" w:line="90"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Purchase options in the Company’s favor to purchase two 4,250 TEU newbuildings at the end of 2011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not able to obtain committed finance on acceptable terms, the purchase options were allowed to lapse and the intangible assets relating to the options were written off in the Second Quarter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December 31, 2012 was $116,000, compared to $100,000 in the fourth quarter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other operating income was $0.3 million, the same as for the comparative period.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33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the above, Adjusted EBITDA was $23.3 million for the three months ended December 31, 2012 down $3.3 million from $26.6 million for the three months ended December 31,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year ended December 31, 2012 was $102.2 million, down $1.5 million from $103.7 million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expense, excluding the effect of interest rate derivatives, for the three months ended December 31, 2012 was $5.1 million. The Company’s borrowings under its credit facility averaged $436.8 million during the three months ended December 31, 2012. The average amount of preferred shares outstanding throughout the three months ended December 31, 2012 was $45.0 million, giving total average borrowings through the period of $481.7 million. Interest expense of $5.1 million in the comparative period in 2011 was due to a lower applicable margin on higher average borrowings, including the preferred shares, of $547.0 million.</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year ended December 31, 2012, interest expense, excluding the effect of interest rate derivatives, was $21.2 million. The Company’s borrowings under its credit facility and including the preferred shares, averaged $509.6 million during the year ended December 31, 2012. Interest expense for the year ended December 31, 2011 was $20.6 million based on average borrowings in that period, including the preferred shares, of $562.8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and year ended December 31, 2012 and 2011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marked-to-market at each period end with any change in the fair value being booked to the income and expenditure account. The Company’s derivative hedging instruments gave a realized loss of $4.7 million in the three months ended December 31, 2012 for settlements of swaps in the period, as current LIBOR rates are lower than the average fixed rates. Further, there was a $4.7 million unrealized gain for revaluation of the balance sheet position given current LIBOR and movements in the forward curve for interest rates. This compares to a realized loss of $4.8 million for the settlement of swaps and an unrealized mark-to-market gain of $4.0 million in the three months ended December 31, 2011.</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 ended December 31, 2012, the realized loss from hedges was $18.4 million and the unrealized gain was $9.7 million. This compares to a realized loss of $19.4 million and an unrealized loss of $0.9 million in the year ended December 31, 2011.</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December 31, 2012, interest rate derivatives totaled $580.0 million against floating rate debt of $470.7 million, including the preferred shares. As a consequence, the Company is over hedged. This arises from accelerated amortization of the credit facility debt and not incurring additional floating rate debt anticipated to be drawn in connection with the originally intended purchases of the two 4,250 TEU vessels at the end of 2011. $253.0 million of the interest rate derivatives at a fixed rate of 3.40% expire mid March 2013. The total mark-to-market unrealized loss recognized as a liability on the balance sheet at December 31, 2012 was $35.6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1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Taxation</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Taxation for the three months ended December 31, 2012 was a charge of $38,000, compared to a credit of $212,000 in the fourth quarter of 2011, mainly for movements in the deferred tax balance.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year ended December 31, 2012 was a charge of $0.1 million, the same as for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income for the three months ended December 31, 2012 was $8.1 million after a $4.7 million non-cash interest rate derivative mark-to-market gain. For the three months ended December 31, 2011 net income was $10.9 million, after $4.0 million non-cash interest rate derivative mark-to-market gain. Normalized net income was $3.5 million for the three months ended December 31, 2012 and $6.8 million for the three months ended December 31, 2011, which excludes the effect of the non-cash interest rate derivative mark-to-market gains.</w:t>
      </w:r>
    </w:p>
    <w:p>
      <w:pPr>
        <w:spacing w:after="0" w:line="143"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Net income was $31.9 million for the year ended December 31, 2012 after a $9.7 million non-cash interest rate derivative mark-to-market gain. For the year ended December 31, 2011, net income was $9.1 million after the $13.6 million non-cash impairment charge and a $0.9 million non-cash interest rate derivative mark-to-market loss. Normalized net income was $22.2 million for the year ended December 31, 2012, and $23.6 million for the year ended December 31,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 is largely predictable under its business model.</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the continuing excess supply of capacity, there has been a decline in charter free market values of containerships in recent months. The Company anticipated that the Leverage Ratio as at November 30, 2012 would, if tested, exceed 75%. Therefore, it has agreed with its lenders a further waiver for two years of the requirement to perform the Leverage Ratio test. The next scheduled test will be as at December 1, 2014. During the waiver period, the fixed interest margin to be paid over LIBOR is 3.75%, prepayments are based on cash flow, subject to a minimum of $40 million on a rolling 12 month basis, rather than a fixed amount, and dividends on common shares cannot be paid. It has also been agreed that all secured vessels will be included in the Leverage Ratio test, whether they are subject to a charter or not.</w:t>
      </w:r>
    </w:p>
    <w:p>
      <w:pPr>
        <w:spacing w:after="0" w:line="14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the three months ended December 31, 2012, a total of $11.1 million of debt was prepaid leaving a balance outstanding of $425.7 million. In the year ended December 31, 2012, a total of $57.9 million of debt was prepaid.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agreement with CMA CGM in July 2012, granting the Company the right but not the obligation to enter new charters for Ville d’Orion and Ville d’Aquarius on the expiry of the then current charters, the Company redeemed $3.0 million of preferred shares held by CMA CGM, out of restricted cash received from the exercise of warrants in 2008 and for which the sole use is the redemption of these preferred shares. The remaining balance outstanding of preferred shares is $45.0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waiver of the requirement to perform the Leverage Ratio test, Global Ship Lease is not currently able to pay a dividend on common shares.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41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Board of Directors</w:t>
      </w:r>
    </w:p>
    <w:p>
      <w:pPr>
        <w:spacing w:after="0" w:line="90"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As of March 8, 2013, Jeffrey Pribor stepped down as a Director of the Company in order to dedicate his time and attention to his new role at Jefferies &amp; Co. as Global Head of Maritime Investment Banking. Global Ship Lease’s Board of Directors now consists of four members, the majority of whom are independent.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Michael Gross, Chairman of the Company’s board of Directors, commented, “We would like to thank Jeff for his years of service and contribution as a member of Global Ship Lease’s Board of Directors. We wish him the best in his future endeavors.”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December 31, 2012, about the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Remaining</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Capacity</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2"/>
              </w:rPr>
              <w:t>Purchase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Charter</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in TEUs</w:t>
            </w:r>
          </w:p>
        </w:tc>
        <w:tc>
          <w:tcPr>
            <w:tcW w:w="7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0"/>
                <w:szCs w:val="10"/>
                <w:b w:val="1"/>
                <w:bCs w:val="1"/>
                <w:color w:val="auto"/>
              </w:rPr>
              <w:t xml:space="preserve">Term </w:t>
            </w:r>
            <w:r>
              <w:rPr>
                <w:rFonts w:ascii="Arial" w:cs="Arial" w:eastAsia="Arial" w:hAnsi="Arial"/>
                <w:sz w:val="14"/>
                <w:szCs w:val="14"/>
                <w:b w:val="1"/>
                <w:bCs w:val="1"/>
                <w:color w:val="auto"/>
                <w:vertAlign w:val="superscript"/>
              </w:rPr>
              <w:t>(2)</w:t>
            </w: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Charter Expiry</w:t>
            </w: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1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5"/>
                <w:szCs w:val="15"/>
                <w:color w:val="auto"/>
              </w:rPr>
            </w:pPr>
          </w:p>
        </w:tc>
        <w:tc>
          <w:tcPr>
            <w:tcW w:w="700" w:type="dxa"/>
            <w:vAlign w:val="bottom"/>
            <w:gridSpan w:val="2"/>
          </w:tcPr>
          <w:p>
            <w:pPr>
              <w:ind w:left="60"/>
              <w:spacing w:after="0" w:line="154" w:lineRule="exact"/>
              <w:rPr>
                <w:sz w:val="20"/>
                <w:szCs w:val="20"/>
                <w:color w:val="auto"/>
              </w:rPr>
            </w:pPr>
            <w:r>
              <w:rPr>
                <w:rFonts w:ascii="Arial" w:cs="Arial" w:eastAsia="Arial" w:hAnsi="Arial"/>
                <w:sz w:val="14"/>
                <w:szCs w:val="14"/>
                <w:b w:val="1"/>
                <w:bCs w:val="1"/>
                <w:color w:val="auto"/>
              </w:rPr>
              <w:t>Built</w:t>
            </w:r>
          </w:p>
        </w:tc>
        <w:tc>
          <w:tcPr>
            <w:tcW w:w="10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by GSL</w:t>
            </w:r>
          </w:p>
        </w:tc>
        <w:tc>
          <w:tcPr>
            <w:tcW w:w="92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7"/>
              </w:rPr>
              <w:t>(years)</w:t>
            </w:r>
          </w:p>
        </w:tc>
        <w:tc>
          <w:tcPr>
            <w:tcW w:w="134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5"/>
              </w:rPr>
              <w:t>Date</w:t>
            </w:r>
          </w:p>
        </w:tc>
        <w:tc>
          <w:tcPr>
            <w:tcW w:w="64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0"/>
              </w:rPr>
              <w:t>Rate $</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1997</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Dec 2007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May 1, 2013</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May 1, 2013</w:t>
            </w:r>
          </w:p>
        </w:tc>
        <w:tc>
          <w:tcPr>
            <w:tcW w:w="54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14,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Sept 7,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Oct 18, 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Oct 11, 2020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 2025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17,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16, 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19,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Aug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May 28, 2021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2012. Plus or minus 90 days (22 days for Ville d’Orion &amp; Ville d’Aquarius) at charterer’s option.</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New charters came into effect in September 2012 for Ville d’Aquarius and Ville d’Orion. They expire May 23, 2013 plus or minus 22 days at charterer’s option and are at a rate of $9,962 per vessel per day.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December 31, 2012 today, Monday, March 11, 2013 at 10:30 a.m. Eastern Time. There are two ways to access the conference call: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 (866) 682-8490 or (631) 621-5256; Passcode: 14137489</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are unable to participate at this time, a replay of the call will be available through Monday, March 25, 2013 at (866) 247-4222 or (631) 510-</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7499. Enter the code 14137489 to access the audio replay. The webcast will also be archived on the Company’s website: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1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Report on Form 20F</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2011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December 31, 2012 of 8.8 years. All of the current vessels are fixed on charters to CMA CGM with an average remaining term of 6.1 years, or 7.4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Adjusted EBITDA represents Net income (loss) before interest income and expense including 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80"/>
          </w:cols>
          <w:pgMar w:left="240" w:top="409"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Three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Year</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Ended</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10,860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31,928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10,066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10,076</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40,343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charge</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Realized loss on interest rate derivatives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4,663</w:t>
            </w:r>
          </w:p>
        </w:tc>
        <w:tc>
          <w:tcPr>
            <w:tcW w:w="540" w:type="dxa"/>
            <w:vAlign w:val="bottom"/>
          </w:tcPr>
          <w:p>
            <w:pPr>
              <w:jc w:val="right"/>
              <w:spacing w:after="0"/>
              <w:rPr>
                <w:sz w:val="20"/>
                <w:szCs w:val="20"/>
                <w:color w:val="auto"/>
              </w:rPr>
            </w:pPr>
            <w:r>
              <w:rPr>
                <w:rFonts w:ascii="Arial" w:cs="Arial" w:eastAsia="Arial" w:hAnsi="Arial"/>
                <w:sz w:val="18"/>
                <w:szCs w:val="18"/>
                <w:color w:val="auto"/>
              </w:rPr>
              <w:t>4,788</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18,402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loss on interest rate derivatives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(4,650)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Income tax</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23,315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102,175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Year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10,860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31,928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34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(4,650)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(4,049)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(9,725)</w:t>
            </w:r>
          </w:p>
        </w:tc>
        <w:tc>
          <w:tcPr>
            <w:tcW w:w="5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charge</w:t>
            </w: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340" w:type="dxa"/>
            <w:vAlign w:val="bottom"/>
            <w:gridSpan w:val="2"/>
          </w:tcPr>
          <w:p>
            <w:pPr>
              <w:spacing w:after="0"/>
              <w:rPr>
                <w:sz w:val="20"/>
                <w:szCs w:val="20"/>
                <w:color w:val="auto"/>
              </w:rPr>
            </w:pPr>
            <w:r>
              <w:rPr>
                <w:rFonts w:ascii="Arial" w:cs="Arial" w:eastAsia="Arial" w:hAnsi="Arial"/>
                <w:sz w:val="18"/>
                <w:szCs w:val="18"/>
                <w:color w:val="auto"/>
              </w:rPr>
              <w:t>Normalized 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3,471</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6,811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22,203</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23,597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409" w:right="279" w:bottom="1440" w:gutter="0" w:footer="0" w:header="0"/>
        </w:sectPr>
      </w:pPr>
    </w:p>
    <w:bookmarkStart w:id="10" w:name="page11"/>
    <w:bookmarkEnd w:id="10"/>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40"/>
          </w:cols>
          <w:pgMar w:left="240" w:top="280" w:right="319" w:bottom="1440" w:gutter="0" w:footer="0" w:header="0"/>
        </w:sectPr>
      </w:pPr>
    </w:p>
    <w:bookmarkStart w:id="11" w:name="page12"/>
    <w:bookmarkEnd w:id="1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00"/>
          </w:cols>
          <w:pgMar w:left="240" w:top="280"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0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36,168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39,714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153,205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156,268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45,588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40,343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13,249</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61,832</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(18,402)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29"/>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4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4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47,481,864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47,460,969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47,481,766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47,262,549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47,656,019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47,460,969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47,633,991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47,448,012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856,394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890,249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75,688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70,278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437,612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8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461,404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535,057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605,335</w:t>
            </w: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3"/>
              </w:rPr>
              <w:t>Class A Common stock – authorized 214,000,000 shares with a $0.01 par value; 47,481,864 shares issued and outstanding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 47,463,978)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0"/>
              </w:rPr>
              <w:t>Class B Common stock – authorized 20,000,000 shares with a $0.01 par value; 7,405,956 shares issued and outstanding (2011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 7,405,956)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352,316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13,723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366,588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10,860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31,928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Adjustments to Reconcile Net Income to Net Cash Provided by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10,066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10,076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receivables and other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14,869</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11,064</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83,698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0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(24,316)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(27,254)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Repayments of debt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(11,080)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(15,341)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(57,936)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preferred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0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(12,195)</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(16,348)</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(59,051)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(50,164)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29,318</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38,554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28,360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25,814</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20,105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19,518</w:t>
            </w:r>
          </w:p>
        </w:tc>
        <w:tc>
          <w:tcPr>
            <w:tcW w:w="0" w:type="dxa"/>
            <w:vAlign w:val="bottom"/>
          </w:tcPr>
          <w:p>
            <w:pPr>
              <w:spacing w:after="0"/>
              <w:rPr>
                <w:sz w:val="1"/>
                <w:szCs w:val="1"/>
                <w:color w:val="auto"/>
              </w:rPr>
            </w:pPr>
          </w:p>
        </w:tc>
      </w:tr>
      <w:tr>
        <w:trPr>
          <w:trHeight w:val="322"/>
        </w:trPr>
        <w:tc>
          <w:tcPr>
            <w:tcW w:w="70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5420"/>
              <w:spacing w:after="0"/>
              <w:rPr>
                <w:sz w:val="20"/>
                <w:szCs w:val="20"/>
                <w:color w:val="auto"/>
              </w:rPr>
            </w:pPr>
            <w:r>
              <w:rPr>
                <w:rFonts w:ascii="Arial" w:cs="Arial" w:eastAsia="Arial" w:hAnsi="Arial"/>
                <w:sz w:val="18"/>
                <w:szCs w:val="18"/>
                <w:color w:val="auto"/>
              </w:rPr>
              <w:t>Page 13</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MONTHS AND YEAR ENDED DECEMBER 31, 2012</w:t>
      </w:r>
    </w:p>
    <w:p>
      <w:pPr>
        <w:sectPr>
          <w:pgSz w:w="11900" w:h="16838" w:orient="portrait"/>
          <w:cols w:equalWidth="0" w:num="1">
            <w:col w:w="10220"/>
          </w:cols>
          <w:pgMar w:left="14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440" w:type="dxa"/>
            <w:vAlign w:val="bottom"/>
            <w:vMerge w:val="restart"/>
          </w:tcPr>
          <w:p>
            <w:pPr>
              <w:ind w:left="5840"/>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6"/>
                <w:szCs w:val="16"/>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26,145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440" w:type="dxa"/>
            <w:vAlign w:val="bottom"/>
            <w:shd w:val="clear" w:color="auto" w:fill="CCEEFF"/>
          </w:tcPr>
          <w:p>
            <w:pPr>
              <w:jc w:val="center"/>
              <w:ind w:left="5434"/>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Accounts receivable</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receivables</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440" w:type="dxa"/>
            <w:vAlign w:val="bottom"/>
          </w:tcPr>
          <w:p>
            <w:pPr>
              <w:jc w:val="center"/>
              <w:ind w:left="5434"/>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856,394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6440" w:type="dxa"/>
            <w:vAlign w:val="bottom"/>
          </w:tcPr>
          <w:p>
            <w:pPr>
              <w:jc w:val="center"/>
              <w:ind w:left="5434"/>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859,662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80" w:type="dxa"/>
            <w:vAlign w:val="bottom"/>
            <w:gridSpan w:val="2"/>
            <w:vMerge w:val="continue"/>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903,680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939,535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 and Stockholders’ Equity</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440" w:type="dxa"/>
            <w:vAlign w:val="bottom"/>
            <w:shd w:val="clear" w:color="auto" w:fill="CCEEFF"/>
          </w:tcPr>
          <w:p>
            <w:pPr>
              <w:jc w:val="center"/>
              <w:ind w:left="5434"/>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50,572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Intangible liability – charter agreements</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expenses</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440" w:type="dxa"/>
            <w:vAlign w:val="bottom"/>
            <w:shd w:val="clear" w:color="auto" w:fill="CCEEFF"/>
          </w:tcPr>
          <w:p>
            <w:pPr>
              <w:jc w:val="center"/>
              <w:ind w:left="541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75,688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440" w:type="dxa"/>
            <w:vAlign w:val="bottom"/>
            <w:shd w:val="clear" w:color="auto" w:fill="CCEEFF"/>
          </w:tcPr>
          <w:p>
            <w:pPr>
              <w:jc w:val="center"/>
              <w:ind w:left="5434"/>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375,104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Preferred shares</w:t>
            </w:r>
          </w:p>
        </w:tc>
        <w:tc>
          <w:tcPr>
            <w:tcW w:w="6440" w:type="dxa"/>
            <w:vAlign w:val="bottom"/>
          </w:tcPr>
          <w:p>
            <w:pPr>
              <w:jc w:val="center"/>
              <w:ind w:left="5434"/>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0"/>
              </w:rPr>
              <w:t>Intangible liability – charter agreements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440" w:type="dxa"/>
            <w:vAlign w:val="bottom"/>
            <w:shd w:val="clear" w:color="auto" w:fill="CCEEFF"/>
          </w:tcPr>
          <w:p>
            <w:pPr>
              <w:jc w:val="center"/>
              <w:ind w:left="541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8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461,404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537,092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440" w:type="dxa"/>
            <w:vAlign w:val="bottom"/>
          </w:tcPr>
          <w:p>
            <w:pPr>
              <w:jc w:val="center"/>
              <w:ind w:left="5434"/>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40" w:type="dxa"/>
            <w:vAlign w:val="bottom"/>
          </w:tcPr>
          <w:p>
            <w:pPr>
              <w:jc w:val="center"/>
              <w:ind w:right="694"/>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40" w:type="dxa"/>
            <w:vAlign w:val="bottom"/>
          </w:tcPr>
          <w:p>
            <w:pPr>
              <w:jc w:val="center"/>
              <w:ind w:right="674"/>
              <w:spacing w:after="0"/>
              <w:rPr>
                <w:sz w:val="20"/>
                <w:szCs w:val="20"/>
                <w:color w:val="auto"/>
              </w:rPr>
            </w:pPr>
            <w:r>
              <w:rPr>
                <w:rFonts w:ascii="Arial" w:cs="Arial" w:eastAsia="Arial" w:hAnsi="Arial"/>
                <w:sz w:val="18"/>
                <w:szCs w:val="18"/>
                <w:color w:val="auto"/>
                <w:w w:val="84"/>
              </w:rPr>
              <w:t>Page 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920" w:type="dxa"/>
            <w:vAlign w:val="bottom"/>
            <w:vMerge w:val="restart"/>
          </w:tcPr>
          <w:p>
            <w:pPr>
              <w:jc w:val="center"/>
              <w:ind w:left="239"/>
              <w:spacing w:after="0"/>
              <w:rPr>
                <w:sz w:val="20"/>
                <w:szCs w:val="20"/>
                <w:color w:val="auto"/>
              </w:rPr>
            </w:pPr>
            <w:r>
              <w:rPr>
                <w:rFonts w:ascii="Arial" w:cs="Arial" w:eastAsia="Arial" w:hAnsi="Arial"/>
                <w:sz w:val="14"/>
                <w:szCs w:val="14"/>
                <w:color w:val="auto"/>
                <w:w w:val="94"/>
              </w:rPr>
              <w:t>Note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220" w:type="dxa"/>
            <w:vAlign w:val="bottom"/>
            <w:gridSpan w:val="2"/>
          </w:tcPr>
          <w:p>
            <w:pPr>
              <w:spacing w:after="0"/>
              <w:rPr>
                <w:sz w:val="20"/>
                <w:szCs w:val="20"/>
                <w:color w:val="auto"/>
              </w:rPr>
            </w:pPr>
            <w:r>
              <w:rPr>
                <w:rFonts w:ascii="Arial" w:cs="Arial" w:eastAsia="Arial" w:hAnsi="Arial"/>
                <w:sz w:val="18"/>
                <w:szCs w:val="18"/>
                <w:color w:val="auto"/>
                <w:w w:val="92"/>
              </w:rPr>
              <w:t>Class A Common stock – authorized 214,000,000 shares with a $0.01 par value; 47,481,864 shares issued and</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outstanding (2011 – 47,463,978)</w:t>
            </w:r>
          </w:p>
        </w:tc>
        <w:tc>
          <w:tcPr>
            <w:tcW w:w="920" w:type="dxa"/>
            <w:vAlign w:val="bottom"/>
          </w:tcPr>
          <w:p>
            <w:pPr>
              <w:jc w:val="center"/>
              <w:ind w:left="239"/>
              <w:spacing w:after="0"/>
              <w:rPr>
                <w:sz w:val="20"/>
                <w:szCs w:val="20"/>
                <w:color w:val="auto"/>
              </w:rPr>
            </w:pPr>
            <w:r>
              <w:rPr>
                <w:rFonts w:ascii="Arial" w:cs="Arial" w:eastAsia="Arial" w:hAnsi="Arial"/>
                <w:sz w:val="18"/>
                <w:szCs w:val="18"/>
                <w:color w:val="auto"/>
                <w:w w:val="79"/>
              </w:rPr>
              <w:t>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 authorized 20,000,000 shares with a $0.01 par value; 7,405,956 shares issued and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(2011 – 7,405,956)</w:t>
            </w:r>
          </w:p>
        </w:tc>
        <w:tc>
          <w:tcPr>
            <w:tcW w:w="920" w:type="dxa"/>
            <w:vAlign w:val="bottom"/>
            <w:shd w:val="clear" w:color="auto" w:fill="CCEEFF"/>
          </w:tcPr>
          <w:p>
            <w:pPr>
              <w:jc w:val="center"/>
              <w:ind w:left="239"/>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352,316</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351,856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330"/>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366,588</w:t>
            </w:r>
          </w:p>
        </w:tc>
        <w:tc>
          <w:tcPr>
            <w:tcW w:w="4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903,680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220" w:type="dxa"/>
            <w:vAlign w:val="bottom"/>
            <w:vMerge w:val="restart"/>
          </w:tcPr>
          <w:p>
            <w:pPr>
              <w:jc w:val="right"/>
              <w:ind w:right="374"/>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Time charter revenue</w:t>
            </w: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36,168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39,714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153,205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156,268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11,515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10,066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13,249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61,832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(4,663)</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(18,402)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2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10,648</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46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4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4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47,481,864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47,460,969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47,481,766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47,262,549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47,656,019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47,460,969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47,633,991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47,448,012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7,405,956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10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8,121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10,860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31,928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w:t>
            </w:r>
          </w:p>
        </w:tc>
        <w:tc>
          <w:tcPr>
            <w:tcW w:w="1000" w:type="dxa"/>
            <w:vAlign w:val="bottom"/>
          </w:tcPr>
          <w:p>
            <w:pPr>
              <w:jc w:val="center"/>
              <w:ind w:left="254"/>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10,076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100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00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00" w:type="dxa"/>
            <w:vAlign w:val="bottom"/>
          </w:tcPr>
          <w:p>
            <w:pPr>
              <w:jc w:val="center"/>
              <w:ind w:left="254"/>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receivables and other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3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14,869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11,064</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83,698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000" w:type="dxa"/>
            <w:vAlign w:val="bottom"/>
          </w:tcPr>
          <w:p>
            <w:pPr>
              <w:jc w:val="center"/>
              <w:ind w:left="254"/>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(24,316)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(27,254)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Repayments of debt</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(11,080)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(15,341)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(57,936)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1000" w:type="dxa"/>
            <w:vAlign w:val="bottom"/>
          </w:tcPr>
          <w:p>
            <w:pPr>
              <w:jc w:val="center"/>
              <w:ind w:left="254"/>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preferred shares</w:t>
            </w:r>
          </w:p>
        </w:tc>
        <w:tc>
          <w:tcPr>
            <w:tcW w:w="100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9"/>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(12,195)</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(16,348)</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(59,051)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(50,164)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29,318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38,554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28,360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26,145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25,814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7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20,105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19,518</w:t>
            </w:r>
          </w:p>
        </w:tc>
        <w:tc>
          <w:tcPr>
            <w:tcW w:w="0" w:type="dxa"/>
            <w:vAlign w:val="bottom"/>
          </w:tcPr>
          <w:p>
            <w:pPr>
              <w:spacing w:after="0"/>
              <w:rPr>
                <w:sz w:val="1"/>
                <w:szCs w:val="1"/>
                <w:color w:val="auto"/>
              </w:rPr>
            </w:pPr>
          </w:p>
        </w:tc>
      </w:tr>
      <w:tr>
        <w:trPr>
          <w:trHeight w:val="323"/>
        </w:trPr>
        <w:tc>
          <w:tcPr>
            <w:tcW w:w="678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00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720" w:type="dxa"/>
            <w:vAlign w:val="bottom"/>
            <w:gridSpan w:val="7"/>
          </w:tcPr>
          <w:p>
            <w:pPr>
              <w:jc w:val="center"/>
              <w:ind w:left="25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60" w:type="dxa"/>
            <w:vAlign w:val="bottom"/>
          </w:tcPr>
          <w:p>
            <w:pPr>
              <w:jc w:val="center"/>
              <w:ind w:left="4552"/>
              <w:spacing w:after="0"/>
              <w:rPr>
                <w:sz w:val="20"/>
                <w:szCs w:val="20"/>
                <w:color w:val="auto"/>
              </w:rPr>
            </w:pPr>
            <w:r>
              <w:rPr>
                <w:rFonts w:ascii="Arial" w:cs="Arial" w:eastAsia="Arial" w:hAnsi="Arial"/>
                <w:sz w:val="18"/>
                <w:szCs w:val="18"/>
                <w:color w:val="auto"/>
                <w:w w:val="84"/>
              </w:rPr>
              <w:t>Page 4</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85"/>
              </w:rPr>
              <w:t>Retained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Common Stock at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Additional</w:t>
            </w:r>
          </w:p>
        </w:tc>
        <w:tc>
          <w:tcPr>
            <w:tcW w:w="12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Earnings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20" w:type="dxa"/>
            <w:vAlign w:val="bottom"/>
            <w:gridSpan w:val="2"/>
          </w:tcPr>
          <w:p>
            <w:pPr>
              <w:jc w:val="center"/>
              <w:ind w:left="3355"/>
              <w:spacing w:after="0" w:line="149" w:lineRule="exact"/>
              <w:rPr>
                <w:sz w:val="20"/>
                <w:szCs w:val="20"/>
                <w:color w:val="auto"/>
              </w:rPr>
            </w:pPr>
            <w:r>
              <w:rPr>
                <w:rFonts w:ascii="Arial" w:cs="Arial" w:eastAsia="Arial" w:hAnsi="Arial"/>
                <w:sz w:val="14"/>
                <w:szCs w:val="14"/>
                <w:color w:val="auto"/>
                <w:w w:val="85"/>
              </w:rPr>
              <w:t>$0.01</w:t>
            </w:r>
          </w:p>
        </w:tc>
        <w:tc>
          <w:tcPr>
            <w:tcW w:w="3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Paid 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7"/>
              </w:rPr>
              <w:t>Capital</w:t>
            </w:r>
          </w:p>
        </w:tc>
        <w:tc>
          <w:tcPr>
            <w:tcW w:w="120" w:type="dxa"/>
            <w:vAlign w:val="bottom"/>
          </w:tcPr>
          <w:p>
            <w:pPr>
              <w:spacing w:after="0"/>
              <w:rPr>
                <w:sz w:val="13"/>
                <w:szCs w:val="13"/>
                <w:color w:val="auto"/>
              </w:rPr>
            </w:pPr>
          </w:p>
        </w:tc>
        <w:tc>
          <w:tcPr>
            <w:tcW w:w="104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96"/>
              </w:rPr>
              <w:t>Deficit)</w:t>
            </w: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2010</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54,536,423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$351,295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44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344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9,071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2011</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54,869,934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$351,856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44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344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31,928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2012</w:t>
            </w: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54,887,820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352,316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0" w:type="dxa"/>
            <w:vAlign w:val="bottom"/>
            <w:gridSpan w:val="8"/>
          </w:tcPr>
          <w:p>
            <w:pPr>
              <w:jc w:val="right"/>
              <w:ind w:right="900"/>
              <w:spacing w:after="0"/>
              <w:rPr>
                <w:sz w:val="20"/>
                <w:szCs w:val="20"/>
                <w:color w:val="auto"/>
              </w:rPr>
            </w:pPr>
            <w:r>
              <w:rPr>
                <w:rFonts w:ascii="Arial" w:cs="Arial" w:eastAsia="Arial" w:hAnsi="Arial"/>
                <w:sz w:val="18"/>
                <w:szCs w:val="18"/>
                <w:color w:val="auto"/>
                <w:w w:val="92"/>
              </w:rPr>
              <w:t>See accompanying notes to interim unaudited consolidated financial statements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20" w:type="dxa"/>
            <w:vAlign w:val="bottom"/>
            <w:gridSpan w:val="2"/>
          </w:tcPr>
          <w:p>
            <w:pPr>
              <w:jc w:val="right"/>
              <w:ind w:right="980"/>
              <w:spacing w:after="0"/>
              <w:rPr>
                <w:sz w:val="20"/>
                <w:szCs w:val="20"/>
                <w:color w:val="auto"/>
              </w:rPr>
            </w:pPr>
            <w:r>
              <w:rPr>
                <w:rFonts w:ascii="Arial" w:cs="Arial" w:eastAsia="Arial" w:hAnsi="Arial"/>
                <w:sz w:val="18"/>
                <w:szCs w:val="18"/>
                <w:color w:val="auto"/>
              </w:rPr>
              <w:t>Page 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December 31, 2012 ranging from 0.4 to 13.0 years (see note 7).</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Capacity</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Purchase 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9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in TEUs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Duration</w:t>
            </w:r>
          </w:p>
        </w:tc>
        <w:tc>
          <w:tcPr>
            <w:tcW w:w="420" w:type="dxa"/>
            <w:vAlign w:val="bottom"/>
          </w:tcPr>
          <w:p>
            <w:pPr>
              <w:spacing w:after="0"/>
              <w:rPr>
                <w:sz w:val="11"/>
                <w:szCs w:val="11"/>
                <w:color w:val="auto"/>
              </w:rPr>
            </w:pP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5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420" w:type="dxa"/>
            <w:vAlign w:val="bottom"/>
          </w:tcPr>
          <w:p>
            <w:pPr>
              <w:spacing w:after="0"/>
              <w:rPr>
                <w:sz w:val="15"/>
                <w:szCs w:val="15"/>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8"/>
              </w:rPr>
              <w:t>Year Built</w:t>
            </w:r>
          </w:p>
        </w:tc>
        <w:tc>
          <w:tcPr>
            <w:tcW w:w="1460" w:type="dxa"/>
            <w:vAlign w:val="bottom"/>
            <w:gridSpan w:val="2"/>
          </w:tcPr>
          <w:p>
            <w:pPr>
              <w:jc w:val="center"/>
              <w:ind w:right="320"/>
              <w:spacing w:after="0" w:line="154" w:lineRule="exact"/>
              <w:rPr>
                <w:sz w:val="20"/>
                <w:szCs w:val="20"/>
                <w:color w:val="auto"/>
              </w:rPr>
            </w:pPr>
            <w:r>
              <w:rPr>
                <w:rFonts w:ascii="Arial" w:cs="Arial" w:eastAsia="Arial" w:hAnsi="Arial"/>
                <w:sz w:val="11"/>
                <w:szCs w:val="11"/>
                <w:b w:val="1"/>
                <w:bCs w:val="1"/>
                <w:color w:val="auto"/>
              </w:rPr>
              <w:t>by GSL</w:t>
            </w:r>
            <w:r>
              <w:rPr>
                <w:rFonts w:ascii="Arial" w:cs="Arial" w:eastAsia="Arial" w:hAnsi="Arial"/>
                <w:sz w:val="17"/>
                <w:szCs w:val="17"/>
                <w:b w:val="1"/>
                <w:bCs w:val="1"/>
                <w:color w:val="auto"/>
                <w:vertAlign w:val="superscript"/>
              </w:rPr>
              <w:t>(2)</w:t>
            </w:r>
          </w:p>
        </w:tc>
        <w:tc>
          <w:tcPr>
            <w:tcW w:w="620" w:type="dxa"/>
            <w:vAlign w:val="bottom"/>
          </w:tcPr>
          <w:p>
            <w:pPr>
              <w:jc w:val="center"/>
              <w:spacing w:after="0" w:line="154" w:lineRule="exact"/>
              <w:rPr>
                <w:sz w:val="20"/>
                <w:szCs w:val="20"/>
                <w:color w:val="auto"/>
              </w:rPr>
            </w:pPr>
            <w:r>
              <w:rPr>
                <w:rFonts w:ascii="Arial" w:cs="Arial" w:eastAsia="Arial" w:hAnsi="Arial"/>
                <w:sz w:val="11"/>
                <w:szCs w:val="11"/>
                <w:b w:val="1"/>
                <w:bCs w:val="1"/>
                <w:color w:val="auto"/>
              </w:rPr>
              <w:t xml:space="preserve">(years) </w:t>
            </w:r>
            <w:r>
              <w:rPr>
                <w:rFonts w:ascii="Arial" w:cs="Arial" w:eastAsia="Arial" w:hAnsi="Arial"/>
                <w:sz w:val="17"/>
                <w:szCs w:val="17"/>
                <w:b w:val="1"/>
                <w:bCs w:val="1"/>
                <w:color w:val="auto"/>
                <w:vertAlign w:val="superscript"/>
              </w:rPr>
              <w:t>(3)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(5)</w:t>
            </w:r>
          </w:p>
        </w:tc>
        <w:tc>
          <w:tcPr>
            <w:tcW w:w="540" w:type="dxa"/>
            <w:vAlign w:val="bottom"/>
          </w:tcPr>
          <w:p>
            <w:pPr>
              <w:jc w:val="right"/>
              <w:spacing w:after="0"/>
              <w:rPr>
                <w:sz w:val="20"/>
                <w:szCs w:val="20"/>
                <w:color w:val="auto"/>
              </w:rPr>
            </w:pPr>
            <w:r>
              <w:rPr>
                <w:rFonts w:ascii="Arial" w:cs="Arial" w:eastAsia="Arial" w:hAnsi="Arial"/>
                <w:sz w:val="18"/>
                <w:szCs w:val="18"/>
                <w:color w:val="auto"/>
              </w:rPr>
              <w:t>4,113</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540" w:type="dxa"/>
            <w:vAlign w:val="bottom"/>
          </w:tcPr>
          <w:p>
            <w:pPr>
              <w:jc w:val="right"/>
              <w:spacing w:after="0"/>
              <w:rPr>
                <w:sz w:val="20"/>
                <w:szCs w:val="20"/>
                <w:color w:val="auto"/>
              </w:rPr>
            </w:pPr>
            <w:r>
              <w:rPr>
                <w:rFonts w:ascii="Arial" w:cs="Arial" w:eastAsia="Arial" w:hAnsi="Arial"/>
                <w:sz w:val="18"/>
                <w:szCs w:val="18"/>
                <w:color w:val="auto"/>
              </w:rPr>
              <w:t>2,262</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540" w:type="dxa"/>
            <w:vAlign w:val="bottom"/>
          </w:tcPr>
          <w:p>
            <w:pPr>
              <w:jc w:val="right"/>
              <w:spacing w:after="0"/>
              <w:rPr>
                <w:sz w:val="20"/>
                <w:szCs w:val="20"/>
                <w:color w:val="auto"/>
              </w:rPr>
            </w:pPr>
            <w:r>
              <w:rPr>
                <w:rFonts w:ascii="Arial" w:cs="Arial" w:eastAsia="Arial" w:hAnsi="Arial"/>
                <w:sz w:val="18"/>
                <w:szCs w:val="18"/>
                <w:color w:val="auto"/>
              </w:rPr>
              <w:t>2,272</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January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540" w:type="dxa"/>
            <w:vAlign w:val="bottom"/>
          </w:tcPr>
          <w:p>
            <w:pPr>
              <w:jc w:val="right"/>
              <w:spacing w:after="0"/>
              <w:rPr>
                <w:sz w:val="20"/>
                <w:szCs w:val="20"/>
                <w:color w:val="auto"/>
              </w:rPr>
            </w:pPr>
            <w:r>
              <w:rPr>
                <w:rFonts w:ascii="Arial" w:cs="Arial" w:eastAsia="Arial" w:hAnsi="Arial"/>
                <w:sz w:val="18"/>
                <w:szCs w:val="18"/>
                <w:color w:val="auto"/>
              </w:rPr>
              <w:t>5,089</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January 2008</w:t>
            </w: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40" w:type="dxa"/>
            <w:vAlign w:val="bottom"/>
          </w:tcPr>
          <w:p>
            <w:pPr>
              <w:jc w:val="right"/>
              <w:spacing w:after="0"/>
              <w:rPr>
                <w:sz w:val="20"/>
                <w:szCs w:val="20"/>
                <w:color w:val="auto"/>
              </w:rPr>
            </w:pPr>
            <w:r>
              <w:rPr>
                <w:rFonts w:ascii="Arial" w:cs="Arial" w:eastAsia="Arial" w:hAnsi="Arial"/>
                <w:sz w:val="18"/>
                <w:szCs w:val="18"/>
                <w:color w:val="auto"/>
              </w:rPr>
              <w:t>4,298</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4,045</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August 2009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2012.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 new charter commenced on September 21, 2012 and will expire on May 23, 2013 plus or minus 22 days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 new charter commenced on September 20, 2012 and will expire on May 23, 2013 plus or minus 22 days at charterer’s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12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26"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On February 12, 2013 CMA CGM announced it had finalised its financial restructuring as it had reached agreement with its banks regarding its debt restructuring including a new covenant package taking into account the volatile nature of the container shipping industry. A further part of the restructuring is agreement with the French Fonds Strategique d’Investissement to invest $150 million in bonds redeemable for shares and a further investment by the Yildrim Group of $100 million, also for bonds redeemable for shares.</w:t>
      </w:r>
    </w:p>
    <w:p>
      <w:pPr>
        <w:spacing w:after="0" w:line="62" w:lineRule="exact"/>
        <w:rPr>
          <w:sz w:val="20"/>
          <w:szCs w:val="20"/>
          <w:color w:val="auto"/>
        </w:rPr>
      </w:pPr>
    </w:p>
    <w:p>
      <w:pPr>
        <w:ind w:left="452" w:right="40"/>
        <w:spacing w:after="0" w:line="256"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52" w:right="20"/>
        <w:spacing w:after="0" w:line="294"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December 31, 2012, two periods of charterhire, due on December 1 and December 16, 2012, were outstanding amounting to $12,164. This was received in January 2013. As at close of business on March 8, 2013, the latest practicable date prior to the issuance of these consolidated financial statements, two periods of charterhire, due on February 16 and March 1, 2013, were outstanding amounting to $10,987.</w:t>
      </w:r>
    </w:p>
    <w:p>
      <w:pPr>
        <w:spacing w:after="0" w:line="35" w:lineRule="exact"/>
        <w:rPr>
          <w:sz w:val="20"/>
          <w:szCs w:val="20"/>
          <w:color w:val="auto"/>
        </w:rPr>
      </w:pPr>
    </w:p>
    <w:p>
      <w:pPr>
        <w:ind w:left="452" w:right="14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65"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left="452" w:right="80"/>
        <w:spacing w:after="0" w:line="298"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declines in market values, the Company agreed with its lenders a waiver of the requirement to perform the Leverage Ratio test until November 30, 2012.</w:t>
      </w:r>
    </w:p>
    <w:p>
      <w:pPr>
        <w:spacing w:after="0" w:line="32" w:lineRule="exact"/>
        <w:rPr>
          <w:sz w:val="20"/>
          <w:szCs w:val="20"/>
          <w:color w:val="auto"/>
        </w:rPr>
      </w:pPr>
    </w:p>
    <w:p>
      <w:pPr>
        <w:ind w:left="452" w:right="40"/>
        <w:spacing w:after="0" w:line="294"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a further waiver for two years of the requirement to perform the Leverage Ratio test. The next scheduled test will be as at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52"/>
          </w:cols>
          <w:pgMar w:left="248" w:top="274" w:right="29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2011 filed with the Securities and Exchange Commission on April 13, 2012 in the Company’s Annual Report on Form 20-F.</w:t>
      </w:r>
    </w:p>
    <w:p>
      <w:pPr>
        <w:spacing w:after="0" w:line="1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December 31, 2011. Based on the assumptions made, the expected undiscounted future cash flows exceeded the vessels’ carrying amounts as of December 31, 2011 and accordingly no impairment was recognised.</w:t>
      </w:r>
    </w:p>
    <w:p>
      <w:pPr>
        <w:spacing w:after="0" w:line="62" w:lineRule="exact"/>
        <w:rPr>
          <w:rFonts w:ascii="Arial" w:cs="Arial" w:eastAsia="Arial" w:hAnsi="Arial"/>
          <w:sz w:val="18"/>
          <w:szCs w:val="18"/>
          <w:b w:val="1"/>
          <w:bCs w:val="1"/>
          <w:color w:val="auto"/>
        </w:rPr>
      </w:pPr>
    </w:p>
    <w:p>
      <w:pPr>
        <w:ind w:left="452"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agreement of new charters of two of the Company’s vessels at rates substantially below the previous rates was seen as an indicator of potential impairment of their carrying value. Accordingly, an impairment test, based on expected undiscounted cash flows by vessel, was performed for these two vessels as at September 30, 2012. Based on the assumptions made, the expected undiscounted future cash flows exceeded the vessels’ carrying amounts as at September 30, 2012 and accordingly no impairment was recognised.</w:t>
      </w:r>
    </w:p>
    <w:p>
      <w:pPr>
        <w:spacing w:after="0" w:line="62" w:lineRule="exact"/>
        <w:rPr>
          <w:rFonts w:ascii="Arial" w:cs="Arial" w:eastAsia="Arial" w:hAnsi="Arial"/>
          <w:sz w:val="18"/>
          <w:szCs w:val="18"/>
          <w:b w:val="1"/>
          <w:bCs w:val="1"/>
          <w:color w:val="auto"/>
        </w:rPr>
      </w:pPr>
    </w:p>
    <w:p>
      <w:pPr>
        <w:ind w:left="452" w:right="14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Due to continuing poor industry conditions, a further impairment test on a vessel by vessel basis was performed as at December 31, 2012. No impairment has been recognised as, based on the assumptions made, the expected undiscounted future cash flows exceeded the vessels’ carrying amounts.</w:t>
      </w:r>
    </w:p>
    <w:p>
      <w:pPr>
        <w:ind w:left="452"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19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 accounting standards applicable to the Company have been issued since December 31, 2011.</w:t>
      </w:r>
    </w:p>
    <w:p>
      <w:pPr>
        <w:spacing w:after="0" w:line="90"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4" w:right="2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$1,014,367</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$1,012,051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(158,205)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(122,325)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66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1040" w:type="dxa"/>
            <w:vAlign w:val="bottom"/>
            <w:gridSpan w:val="3"/>
          </w:tcPr>
          <w:p>
            <w:pPr>
              <w:ind w:left="9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856,394</w:t>
            </w:r>
          </w:p>
        </w:tc>
        <w:tc>
          <w:tcPr>
            <w:tcW w:w="28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890,249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66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00" w:type="dxa"/>
            <w:vAlign w:val="bottom"/>
            <w:gridSpan w:val="6"/>
          </w:tcPr>
          <w:p>
            <w:pPr>
              <w:ind w:lef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7"/>
              </w:rPr>
              <w:t>Opening balance – vessel purchase options and software development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Impairment – vessel purchase options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Additions – software development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Depreciation – software development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5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VesselPurchase Options</w:t>
      </w:r>
    </w:p>
    <w:p>
      <w:pPr>
        <w:spacing w:after="0" w:line="9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Company’s purchase obligations under contracts entered into in September 2008 and grant the Company options to purchase the vessels one year later. Intangible assets relating to these purchase options were recognised at the fair value of the purchase options on the date of the agreement.</w:t>
      </w:r>
    </w:p>
    <w:p>
      <w:pPr>
        <w:spacing w:after="0" w:line="2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written off in the second quarter 2011. The purchase options have lapsed.</w:t>
      </w:r>
    </w:p>
    <w:p>
      <w:pPr>
        <w:spacing w:after="0" w:line="22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w:t>
      </w:r>
    </w:p>
    <w:p>
      <w:pPr>
        <w:spacing w:after="0" w:line="62" w:lineRule="exact"/>
        <w:rPr>
          <w:rFonts w:ascii="Arial" w:cs="Arial" w:eastAsia="Arial" w:hAnsi="Arial"/>
          <w:sz w:val="18"/>
          <w:szCs w:val="18"/>
          <w:b w:val="1"/>
          <w:bCs w:val="1"/>
          <w:color w:val="auto"/>
        </w:rPr>
      </w:pPr>
    </w:p>
    <w:p>
      <w:pPr>
        <w:jc w:val="both"/>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74" w:right="29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5" w:lineRule="exact"/>
        <w:rPr>
          <w:rFonts w:ascii="Arial" w:cs="Arial" w:eastAsia="Arial" w:hAnsi="Arial"/>
          <w:sz w:val="18"/>
          <w:szCs w:val="18"/>
          <w:b w:val="1"/>
          <w:bCs w:val="1"/>
          <w:color w:val="auto"/>
        </w:rPr>
      </w:pPr>
    </w:p>
    <w:p>
      <w:pPr>
        <w:ind w:left="452"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prepayments of borrowings were made quarterly in an amount equal to free cash in excess of $20,000 determined as at the previous month end subject to a minimum of $40,000 repayment a year on a rolling 12 month trailing basis, rather than a fixed amount per quarter, and (iii) the Company was unable to make dividend payments to common shareholders. Repayments were made of $15,341 on December 30, 2011, $11,788 on March 30, 2012, $12,068 on June 29, 2012 and $23,000 on September 28, 2012.</w:t>
      </w:r>
    </w:p>
    <w:p>
      <w:pPr>
        <w:spacing w:after="0" w:line="39" w:lineRule="exact"/>
        <w:rPr>
          <w:sz w:val="20"/>
          <w:szCs w:val="20"/>
          <w:color w:val="auto"/>
        </w:rPr>
      </w:pPr>
    </w:p>
    <w:p>
      <w:pPr>
        <w:ind w:left="452" w:right="80"/>
        <w:spacing w:after="0" w:line="290"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a further waiver for two years of the requirement to perform the Leverage Ratio test. Accordingly, the next scheduled test will be as at December 1, 2014. In the waiver period, the fixed interest margin to be paid over LIBOR is 3.75%, prepayments are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 It was also agreed that all secured vessels will be included in the Leverage Ratio test, whether they are subject to a charter or not. Under the terms of the new waiver, a repayment of the credit facility was made of $11,080 on December 31, 2012.</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sz w:val="20"/>
          <w:szCs w:val="20"/>
          <w:color w:val="auto"/>
        </w:rPr>
      </w:pPr>
    </w:p>
    <w:p>
      <w:pPr>
        <w:ind w:left="452" w:right="40"/>
        <w:spacing w:after="0" w:line="298" w:lineRule="auto"/>
        <w:rPr>
          <w:sz w:val="20"/>
          <w:szCs w:val="20"/>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00" w:type="dxa"/>
            <w:vAlign w:val="bottom"/>
            <w:gridSpan w:val="4"/>
          </w:tcPr>
          <w:p>
            <w:pPr>
              <w:ind w:left="14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3.75%</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425,676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(50,572)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375,104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437,612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0"/>
        <w:spacing w:after="0" w:line="306" w:lineRule="auto"/>
        <w:rPr>
          <w:sz w:val="20"/>
          <w:szCs w:val="20"/>
          <w:color w:val="auto"/>
        </w:rPr>
      </w:pPr>
      <w:r>
        <w:rPr>
          <w:rFonts w:ascii="Arial" w:cs="Arial" w:eastAsia="Arial" w:hAnsi="Arial"/>
          <w:sz w:val="16"/>
          <w:szCs w:val="16"/>
          <w:color w:val="auto"/>
        </w:rPr>
        <w:t>Based on (i) management’s reasonable estimate of cash flows from January 1, 2013 and (ii) the waiver of the requirement to test the Leverage Ratio until December 1, 2014 at which point it is assumed to be less than 75% meaning that the Company will be able to comply with the leverage ratio covenant at its next measurement date, the estimated repayments in each of the relevant periods are as follows:</w:t>
      </w:r>
    </w:p>
    <w:p>
      <w:pPr>
        <w:spacing w:after="0" w:line="143" w:lineRule="exact"/>
        <w:rPr>
          <w:sz w:val="20"/>
          <w:szCs w:val="20"/>
          <w:color w:val="auto"/>
        </w:rPr>
      </w:pPr>
    </w:p>
    <w:tbl>
      <w:tblPr>
        <w:tblLayout w:type="fixed"/>
        <w:tblInd w:w="1832" w:type="dxa"/>
        <w:tblCellMar>
          <w:top w:w="0" w:type="dxa"/>
          <w:left w:w="0" w:type="dxa"/>
          <w:bottom w:w="0" w:type="dxa"/>
          <w:right w:w="0" w:type="dxa"/>
        </w:tblCellMar>
      </w:tblPr>
      <w:tr>
        <w:trPr>
          <w:trHeight w:val="17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2014</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2016</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425,676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2012 is a significant shareholder of the Company, owning Class A and Class B common shares representing a 45% voting interest in the Company.</w:t>
      </w:r>
    </w:p>
    <w:p>
      <w:pPr>
        <w:spacing w:after="0" w:line="14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1500" w:type="dxa"/>
            <w:vAlign w:val="bottom"/>
            <w:gridSpan w:val="4"/>
          </w:tcPr>
          <w:p>
            <w:pPr>
              <w:ind w:left="6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7,077</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14,413</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52" w:right="20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2012 and December 31, 2011 relate to amounts payable to or recoverable from CMA CGM group companies.</w:t>
      </w:r>
    </w:p>
    <w:p>
      <w:pPr>
        <w:spacing w:after="0" w:line="4" w:lineRule="exact"/>
        <w:rPr>
          <w:sz w:val="20"/>
          <w:szCs w:val="20"/>
          <w:color w:val="auto"/>
        </w:rPr>
      </w:pPr>
    </w:p>
    <w:p>
      <w:pPr>
        <w:ind w:left="452" w:right="380"/>
        <w:spacing w:after="0" w:line="332" w:lineRule="auto"/>
        <w:rPr>
          <w:sz w:val="20"/>
          <w:szCs w:val="20"/>
          <w:color w:val="auto"/>
        </w:rPr>
      </w:pPr>
      <w:r>
        <w:rPr>
          <w:rFonts w:ascii="Arial" w:cs="Arial" w:eastAsia="Arial" w:hAnsi="Arial"/>
          <w:sz w:val="16"/>
          <w:szCs w:val="16"/>
          <w:color w:val="auto"/>
        </w:rPr>
        <w:t>CMA CGM holds all of the Series A preferred shares of the Company. During the three months to December 31, 2012, the Company incurred costs in respect of dividends on these preferred shares of $272 (2011: $292). Costs during the year to December 31, 2012 were $1,161 (2011: $1,125).</w:t>
      </w:r>
    </w:p>
    <w:p>
      <w:pPr>
        <w:spacing w:after="0" w:line="16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jc w:val="both"/>
        <w:ind w:left="452" w:right="220"/>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December 31, 2012 of between 0.4 and 13.0 years. All the $1,049,240 maximum contracted future charter hire receivable for the fleet set out in note 8 relates to the 17 vessels currently chartered to CMA CGM.</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a wholly owned subsidiary of CMA CGM. The Company pays CMA Ships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three months and year ended December 31, 2012 amounted to $484 (2011: $484) and $1,938 (2011: $1,938)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92"/>
          </w:cols>
          <w:pgMar w:left="248" w:top="274"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right="8480" w:hanging="452"/>
        <w:spacing w:after="0" w:line="417" w:lineRule="auto"/>
        <w:tabs>
          <w:tab w:leader="none" w:pos="449"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ind w:left="460" w:right="20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time charters for all of its vessels. The charter hire is fixed for the duration of the charter. The maximum contracted future charter hire receivable (not allowing for any offhire) for the fleet of 17 vessels as at December 31, 2012 is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580" w:type="dxa"/>
            <w:vAlign w:val="bottom"/>
            <w:gridSpan w:val="3"/>
          </w:tcPr>
          <w:p>
            <w:pPr>
              <w:jc w:val="center"/>
              <w:ind w:left="247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480" w:type="dxa"/>
            <w:vAlign w:val="bottom"/>
            <w:gridSpan w:val="2"/>
          </w:tcPr>
          <w:p>
            <w:pPr>
              <w:jc w:val="center"/>
              <w:ind w:left="259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395,731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1,049,240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jc w:val="both"/>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2012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59" w:lineRule="exact"/>
        <w:rPr>
          <w:rFonts w:ascii="Arial" w:cs="Arial" w:eastAsia="Arial" w:hAnsi="Arial"/>
          <w:sz w:val="18"/>
          <w:szCs w:val="18"/>
          <w:b w:val="1"/>
          <w:bCs w:val="1"/>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secondly, to all Class A common shares until they have received payment for all preceding quarters at the rate of $0.23 per share per quarter;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90"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39"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Series A preferred shares rank senior to the common shares and are mandatorily redeemable in 12 quarterly instalments commencing August 31, 2016.</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They are classified as a long-term liability. The dividend that preferred shares holders are entitled to is presented as part of interest expense.</w:t>
      </w:r>
    </w:p>
    <w:p>
      <w:pPr>
        <w:spacing w:after="0" w:line="10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Total proceeds received in 2008, and recorded as restricted cash, from the exercise of Public Warrants prior to their expiry was $3,027 (December 31, 2011: $3,027). These proceeds were to be used to redeem the Series A preferred shares with a minimum redemption amount of $5,000. As part of the replacement time charters agreed in September 2012 for the Ville d’Aquarius and the Ville d’Orion, the Company accelerated the redemption of 63 Series A preferred shares of $48 each for $3,024.</w:t>
      </w:r>
    </w:p>
    <w:p>
      <w:pPr>
        <w:spacing w:after="0" w:line="62"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1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Company is exposed to the impact of interest rate changes on its variable rate debt. Accordingly, the Company has entered into interest rate swap agreements to manage the exposure to interest rate variability. As of December 31, 2012 a total of $580,000 of debt was swapped into fixed rate debt at a weighted average rate of 3.59%. $253,000 of swaps at a fixed rate of 3.40% expire on March 17, 2013.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 of cash flows.</w:t>
      </w:r>
    </w:p>
    <w:p>
      <w:pPr>
        <w:spacing w:after="0" w:line="23" w:lineRule="exact"/>
        <w:rPr>
          <w:rFonts w:ascii="Arial" w:cs="Arial" w:eastAsia="Arial" w:hAnsi="Arial"/>
          <w:sz w:val="18"/>
          <w:szCs w:val="18"/>
          <w:b w:val="1"/>
          <w:bCs w:val="1"/>
          <w:color w:val="auto"/>
        </w:rPr>
      </w:pPr>
    </w:p>
    <w:p>
      <w:pPr>
        <w:ind w:left="452"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In addition, the interest rate derivatives are “marked to market” at each reporting period end and are recorded at fair values. This generates unrealized gains or losses. The unrealized gain on interest rate derivatives for the three months ended December 31, 2012 was $4,650 (2011: gain of $4,049). The unrealized gain on interest rate derivatives for the year ended December 31, 2012 was $9,725 (2011: loss of $881).</w:t>
      </w:r>
    </w:p>
    <w:p>
      <w:pPr>
        <w:spacing w:after="0" w:line="62"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December 31, 2012, these derivatives represented a liability of $35,591 (December 31, 2011: $45,316).</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7052"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4"/>
                <w:szCs w:val="14"/>
                <w:color w:val="auto"/>
                <w:w w:val="84"/>
              </w:rPr>
              <w:t>Weighted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72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ind w:left="440"/>
              <w:spacing w:after="0"/>
              <w:rPr>
                <w:sz w:val="20"/>
                <w:szCs w:val="20"/>
                <w:color w:val="auto"/>
              </w:rPr>
            </w:pPr>
            <w:r>
              <w:rPr>
                <w:rFonts w:ascii="Arial" w:cs="Arial" w:eastAsia="Arial" w:hAnsi="Arial"/>
                <w:sz w:val="14"/>
                <w:szCs w:val="14"/>
                <w:color w:val="auto"/>
              </w:rPr>
              <w:t>Number of Units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3"/>
              </w:rPr>
              <w:t>Value on</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6"/>
              </w:rPr>
              <w:t>Value on</w:t>
            </w:r>
          </w:p>
        </w:tc>
        <w:tc>
          <w:tcPr>
            <w:tcW w:w="0" w:type="dxa"/>
            <w:vAlign w:val="bottom"/>
          </w:tcPr>
          <w:p>
            <w:pPr>
              <w:spacing w:after="0"/>
              <w:rPr>
                <w:sz w:val="1"/>
                <w:szCs w:val="1"/>
                <w:color w:val="auto"/>
              </w:rPr>
            </w:pPr>
          </w:p>
        </w:tc>
      </w:tr>
      <w:tr>
        <w:trPr>
          <w:trHeight w:val="149"/>
        </w:trPr>
        <w:tc>
          <w:tcPr>
            <w:tcW w:w="20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20"/>
                <w:szCs w:val="20"/>
                <w:color w:val="auto"/>
              </w:rPr>
            </w:pPr>
            <w:r>
              <w:rPr>
                <w:rFonts w:ascii="Arial" w:cs="Arial" w:eastAsia="Arial" w:hAnsi="Arial"/>
                <w:sz w:val="14"/>
                <w:szCs w:val="14"/>
                <w:color w:val="auto"/>
              </w:rPr>
              <w:t>Management</w:t>
            </w:r>
          </w:p>
        </w:tc>
        <w:tc>
          <w:tcPr>
            <w:tcW w:w="1060" w:type="dxa"/>
            <w:vAlign w:val="bottom"/>
          </w:tcPr>
          <w:p>
            <w:pPr>
              <w:ind w:left="280"/>
              <w:spacing w:after="0"/>
              <w:rPr>
                <w:sz w:val="20"/>
                <w:szCs w:val="20"/>
                <w:color w:val="auto"/>
              </w:rPr>
            </w:pPr>
            <w:r>
              <w:rPr>
                <w:rFonts w:ascii="Arial" w:cs="Arial" w:eastAsia="Arial" w:hAnsi="Arial"/>
                <w:sz w:val="14"/>
                <w:szCs w:val="14"/>
                <w:color w:val="auto"/>
              </w:rPr>
              <w:t>Directors</w:t>
            </w: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720" w:type="dxa"/>
            <w:vAlign w:val="bottom"/>
          </w:tcPr>
          <w:p>
            <w:pPr>
              <w:jc w:val="center"/>
              <w:ind w:left="192"/>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2011</w:t>
            </w:r>
          </w:p>
        </w:tc>
        <w:tc>
          <w:tcPr>
            <w:tcW w:w="30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260,000</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58,511</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  4.23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Vested in January 2011</w:t>
            </w:r>
          </w:p>
        </w:tc>
        <w:tc>
          <w:tcPr>
            <w:tcW w:w="30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(58,511)</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1.88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17, 2011</w:t>
            </w:r>
          </w:p>
        </w:tc>
        <w:tc>
          <w:tcPr>
            <w:tcW w:w="3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15,000</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17,886</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6.15</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Vested in September 2011</w:t>
            </w:r>
          </w:p>
        </w:tc>
        <w:tc>
          <w:tcPr>
            <w:tcW w:w="3080" w:type="dxa"/>
            <w:vAlign w:val="bottom"/>
          </w:tcPr>
          <w:p>
            <w:pPr>
              <w:jc w:val="right"/>
              <w:ind w:right="152"/>
              <w:spacing w:after="0"/>
              <w:rPr>
                <w:sz w:val="20"/>
                <w:szCs w:val="20"/>
                <w:color w:val="auto"/>
              </w:rPr>
            </w:pPr>
            <w:r>
              <w:rPr>
                <w:rFonts w:ascii="Arial" w:cs="Arial" w:eastAsia="Arial" w:hAnsi="Arial"/>
                <w:sz w:val="18"/>
                <w:szCs w:val="18"/>
                <w:color w:val="auto"/>
              </w:rPr>
              <w:t>(206,250)</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4.84</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on September 2, 2011</w:t>
            </w:r>
          </w:p>
        </w:tc>
        <w:tc>
          <w:tcPr>
            <w:tcW w:w="3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150,000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3.07</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Vested in October 2011</w:t>
            </w:r>
          </w:p>
        </w:tc>
        <w:tc>
          <w:tcPr>
            <w:tcW w:w="3080" w:type="dxa"/>
            <w:vAlign w:val="bottom"/>
          </w:tcPr>
          <w:p>
            <w:pPr>
              <w:jc w:val="right"/>
              <w:ind w:right="152"/>
              <w:spacing w:after="0"/>
              <w:rPr>
                <w:sz w:val="20"/>
                <w:szCs w:val="20"/>
                <w:color w:val="auto"/>
              </w:rPr>
            </w:pPr>
            <w:r>
              <w:rPr>
                <w:rFonts w:ascii="Arial" w:cs="Arial" w:eastAsia="Arial" w:hAnsi="Arial"/>
                <w:sz w:val="18"/>
                <w:szCs w:val="18"/>
                <w:color w:val="auto"/>
              </w:rPr>
              <w:t>(68,750)</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4.84</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1.96</w:t>
            </w:r>
          </w:p>
        </w:tc>
      </w:tr>
    </w:tbl>
    <w:p>
      <w:pPr>
        <w:spacing w:after="0" w:line="20" w:lineRule="exact"/>
        <w:rPr>
          <w:sz w:val="20"/>
          <w:szCs w:val="20"/>
          <w:color w:val="auto"/>
        </w:rPr>
      </w:pPr>
    </w:p>
    <w:tbl>
      <w:tblPr>
        <w:tblLayout w:type="fixed"/>
        <w:tblInd w:w="452" w:type="dxa"/>
        <w:tblCellMar>
          <w:top w:w="0" w:type="dxa"/>
          <w:left w:w="0" w:type="dxa"/>
          <w:bottom w:w="0" w:type="dxa"/>
          <w:right w:w="0" w:type="dxa"/>
        </w:tblCellMar>
      </w:tblPr>
      <w:tr>
        <w:trPr>
          <w:trHeight w:val="20"/>
        </w:trPr>
        <w:tc>
          <w:tcPr>
            <w:tcW w:w="6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Un-Vested as at December 31, 2011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150,000</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2"/>
              <w:spacing w:after="0" w:line="203" w:lineRule="exact"/>
              <w:rPr>
                <w:sz w:val="20"/>
                <w:szCs w:val="20"/>
                <w:color w:val="auto"/>
              </w:rPr>
            </w:pPr>
            <w:r>
              <w:rPr>
                <w:rFonts w:ascii="Arial" w:cs="Arial" w:eastAsia="Arial" w:hAnsi="Arial"/>
                <w:sz w:val="18"/>
                <w:szCs w:val="18"/>
                <w:b w:val="1"/>
                <w:bCs w:val="1"/>
                <w:color w:val="auto"/>
                <w:w w:val="87"/>
              </w:rPr>
              <w:t>17,886</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3.40</w:t>
            </w:r>
          </w:p>
        </w:tc>
        <w:tc>
          <w:tcPr>
            <w:tcW w:w="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n/a</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Vested in January 2012</w:t>
            </w: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(17,886)</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32,070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Un-Vested as at December 31, 2012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7"/>
              </w:rPr>
              <w:t>32,070</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4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 of income over the vesting period. During the three months and year ended December 31, 2012, the Company recognized a total of $82 (2011: $109) and $460 (2011: $566) share based compensation cost respectively. As at December 31, 2012, there was a total of $260 unrecognized compensation cost relating to the above share based awards (December 31, 2011: $352). The remaining cost is expected to be recognized over a period of 21 months.</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92"/>
          </w:cols>
          <w:pgMar w:left="248" w:top="274"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4"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The restricted stock units granted to three members of management on August 14, 2008 were to vest over a period of three years; with a third vesting each year on the anniversary of the merger. The vesting dates were subsequently amended and a total of 260,000 vested annually during September and October of 2009, 2010 and 2011.</w:t>
      </w:r>
    </w:p>
    <w:p>
      <w:pPr>
        <w:spacing w:after="0" w:line="59"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restricted stock units granted to Directors on March 1, 2010 vested in January 2011. The restricted stock units granted to Directors on March 17, 2011 vested in January 2012. The restricted stock units granted to Directors on March 13, 2012 will vest in January 2013.</w:t>
      </w:r>
    </w:p>
    <w:p>
      <w:pPr>
        <w:spacing w:after="0" w:line="51"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color w:val="auto"/>
        </w:rPr>
        <w:t>Restricted stock units granted to one member of management on March 17, 2011 vested during September and October 2011. 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w:t>
      </w:r>
    </w:p>
    <w:p>
      <w:pPr>
        <w:spacing w:after="0" w:line="23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year ended December 31, 2012, no dividend was declared (2011: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At December 31, 2012, there were 6,188,088 Class A Warrants to purchase Class A common shares at an exercise price of $9.25 outstanding which are due to expire on September 1, 2013. In addition, there were 257,070 restricted stock units granted and unvested as part of management’s equity incentive plan and as part of the Directors’ compensation as at the period. As of December 31, 2012 only Class A and B common shares are participating securities.</w:t>
      </w:r>
    </w:p>
    <w:p>
      <w:pPr>
        <w:spacing w:after="0" w:line="7" w:lineRule="exact"/>
        <w:rPr>
          <w:rFonts w:ascii="Arial" w:cs="Arial" w:eastAsia="Arial" w:hAnsi="Arial"/>
          <w:sz w:val="18"/>
          <w:szCs w:val="18"/>
          <w:b w:val="1"/>
          <w:bCs w:val="1"/>
          <w:color w:val="auto"/>
        </w:rPr>
      </w:pPr>
    </w:p>
    <w:p>
      <w:pPr>
        <w:ind w:left="4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December 31, 2011,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 For the three months ended December 31, 2012 and the years ended December 31, 2012 and December 31, 2011, the diluted weighted average number of shares includes the incremental effect of outstanding stock based incentive awards but excludes the effect of outstanding warrants as these were antidilutive.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274" w:right="27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Weighted average number of common shares outstanding (B)</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47,481,864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47,460,989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47,481,766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47,262,549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152,225</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47,656,019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47,460,989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47,633,991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47,448,012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8"/>
              </w:rPr>
              <w:t>Weighted average number of common shares outstanding (D)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available for Class A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available for Class A (E)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15</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Roman"/>
      <w:start w:val="2"/>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7"/>
    </w:lvl>
  </w:abstractNum>
  <w:abstractNum w:abstractNumId="16">
    <w:nsid w:val="7C83E458"/>
    <w:multiLevelType w:val="hybridMultilevel"/>
    <w:lvl w:ilvl="0">
      <w:lvlJc w:val="left"/>
      <w:lvlText w:val="%1."/>
      <w:numFmt w:val="decimal"/>
      <w:start w:val="8"/>
    </w:lvl>
  </w:abstractNum>
  <w:abstractNum w:abstractNumId="17">
    <w:nsid w:val="257130A3"/>
    <w:multiLevelType w:val="hybridMultilevel"/>
    <w:lvl w:ilvl="0">
      <w:lvlJc w:val="left"/>
      <w:lvlText w:val="%1."/>
      <w:numFmt w:val="decimal"/>
      <w:start w:val="9"/>
    </w:lvl>
    <w:lvl w:ilvl="1">
      <w:lvlJc w:val="left"/>
      <w:lvlText w:val="•"/>
      <w:numFmt w:val="bullet"/>
      <w:start w:val="1"/>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2019-12-07T18:16:29Z</dcterms:created>
  <dcterms:modified xsi:type="dcterms:W3CDTF">2019-12-07T18:16:29Z</dcterms:modified>
</cp:coreProperties>
</file>