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30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14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171"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Global Ship Lease, Inc.</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Title of each class</w:t>
            </w: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22"/>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 A Common Shares, par value of $0.01 per share</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180975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9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47,463,978 Class A Common Shares, par value of $0.01 per share</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139" w:lineRule="exact"/>
        <w:rPr>
          <w:sz w:val="20"/>
          <w:szCs w:val="20"/>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720"/>
        <w:spacing w:after="0" w:line="229"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0"/>
          <w:szCs w:val="20"/>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0"/>
          <w:szCs w:val="20"/>
          <w:color w:val="auto"/>
        </w:rPr>
      </w:pPr>
    </w:p>
    <w:p>
      <w:pPr>
        <w:ind w:left="3000"/>
        <w:spacing w:after="0" w:line="207" w:lineRule="exact"/>
        <w:tabs>
          <w:tab w:leader="none" w:pos="4980" w:val="left"/>
          <w:tab w:leader="none" w:pos="66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39" w:lineRule="exact"/>
        <w:rPr>
          <w:sz w:val="20"/>
          <w:szCs w:val="20"/>
          <w:color w:val="auto"/>
        </w:rPr>
      </w:pPr>
    </w:p>
    <w:p>
      <w:pPr>
        <w:spacing w:after="0" w:line="207" w:lineRule="exact"/>
        <w:tabs>
          <w:tab w:leader="none" w:pos="1240" w:val="left"/>
          <w:tab w:leader="none" w:pos="892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r>
        <w:rPr>
          <w:rFonts w:ascii="Arial" w:cs="Arial" w:eastAsia="Arial" w:hAnsi="Arial"/>
          <w:sz w:val="16"/>
          <w:szCs w:val="16"/>
          <w:color w:val="auto"/>
        </w:rPr>
        <w:tab/>
        <w:t xml:space="preserve">Other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62" w:lineRule="exact"/>
        <w:rPr>
          <w:sz w:val="20"/>
          <w:szCs w:val="20"/>
          <w:color w:val="auto"/>
        </w:rPr>
      </w:pPr>
    </w:p>
    <w:p>
      <w:pPr>
        <w:ind w:left="460"/>
        <w:spacing w:after="0" w:line="207" w:lineRule="exact"/>
        <w:tabs>
          <w:tab w:leader="none" w:pos="146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171" w:lineRule="exact"/>
        <w:rPr>
          <w:sz w:val="20"/>
          <w:szCs w:val="20"/>
          <w:color w:val="auto"/>
        </w:rPr>
      </w:pPr>
    </w:p>
    <w:p>
      <w:pPr>
        <w:spacing w:after="0" w:line="207" w:lineRule="exact"/>
        <w:tabs>
          <w:tab w:leader="none" w:pos="9980" w:val="left"/>
          <w:tab w:leader="none" w:pos="10660" w:val="left"/>
        </w:tabs>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REPORT ON FORM 20-F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92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3920" w:type="dxa"/>
            <w:vAlign w:val="bottom"/>
            <w:tcBorders>
              <w:top w:val="single" w:sz="8" w:color="0000EE"/>
            </w:tcBorders>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60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2800" w:type="dxa"/>
            <w:vAlign w:val="bottom"/>
            <w:tcBorders>
              <w:top w:val="single" w:sz="8" w:color="0000EE"/>
            </w:tcBorders>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71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6">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8">
              <w:r>
                <w:rPr>
                  <w:rFonts w:ascii="Arial" w:cs="Arial" w:eastAsia="Arial" w:hAnsi="Arial"/>
                  <w:sz w:val="18"/>
                  <w:szCs w:val="18"/>
                  <w:color w:val="0000EE"/>
                </w:rPr>
                <w:t>Capitalization and Indebtedness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8">
              <w:r>
                <w:rPr>
                  <w:rFonts w:ascii="Arial" w:cs="Arial" w:eastAsia="Arial" w:hAnsi="Arial"/>
                  <w:sz w:val="18"/>
                  <w:szCs w:val="18"/>
                  <w:color w:val="0000EE"/>
                </w:rPr>
                <w:t>Reasons for the Offer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D. </w:t>
            </w:r>
            <w:hyperlink w:anchor="page8">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20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Information on the Company</w:t>
              </w:r>
            </w:hyperlink>
          </w:p>
        </w:tc>
        <w:tc>
          <w:tcPr>
            <w:tcW w:w="79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27">
              <w:r>
                <w:rPr>
                  <w:rFonts w:ascii="Arial" w:cs="Arial" w:eastAsia="Arial" w:hAnsi="Arial"/>
                  <w:sz w:val="18"/>
                  <w:szCs w:val="18"/>
                  <w:color w:val="0000EE"/>
                </w:rPr>
                <w:t>History and Development of the Company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27">
              <w:r>
                <w:rPr>
                  <w:rFonts w:ascii="Arial" w:cs="Arial" w:eastAsia="Arial" w:hAnsi="Arial"/>
                  <w:sz w:val="18"/>
                  <w:szCs w:val="18"/>
                  <w:color w:val="0000EE"/>
                </w:rPr>
                <w:t>Business Overview</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44">
              <w:r>
                <w:rPr>
                  <w:rFonts w:ascii="Arial" w:cs="Arial" w:eastAsia="Arial" w:hAnsi="Arial"/>
                  <w:sz w:val="18"/>
                  <w:szCs w:val="18"/>
                  <w:color w:val="0000EE"/>
                </w:rPr>
                <w:t>Organizational Structure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D. </w:t>
            </w:r>
            <w:hyperlink w:anchor="page44">
              <w:r>
                <w:rPr>
                  <w:rFonts w:ascii="Arial" w:cs="Arial" w:eastAsia="Arial" w:hAnsi="Arial"/>
                  <w:sz w:val="18"/>
                  <w:szCs w:val="18"/>
                  <w:color w:val="0000EE"/>
                </w:rPr>
                <w:t>Property, Plants and Equipment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334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Operating and Financial Review and Prospects</w:t>
              </w:r>
            </w:hyperlink>
          </w:p>
        </w:tc>
        <w:tc>
          <w:tcPr>
            <w:tcW w:w="65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44">
              <w:r>
                <w:rPr>
                  <w:rFonts w:ascii="Arial" w:cs="Arial" w:eastAsia="Arial" w:hAnsi="Arial"/>
                  <w:sz w:val="18"/>
                  <w:szCs w:val="18"/>
                  <w:color w:val="0000EE"/>
                </w:rPr>
                <w:t>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52">
              <w:r>
                <w:rPr>
                  <w:rFonts w:ascii="Arial" w:cs="Arial" w:eastAsia="Arial" w:hAnsi="Arial"/>
                  <w:sz w:val="18"/>
                  <w:szCs w:val="18"/>
                  <w:color w:val="0000EE"/>
                </w:rPr>
                <w:t>Liquidity and Capital Resources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56">
              <w:r>
                <w:rPr>
                  <w:rFonts w:ascii="Arial" w:cs="Arial" w:eastAsia="Arial" w:hAnsi="Arial"/>
                  <w:sz w:val="18"/>
                  <w:szCs w:val="18"/>
                  <w:color w:val="0000EE"/>
                </w:rPr>
                <w:t>Research and Development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D. </w:t>
            </w:r>
            <w:hyperlink w:anchor="page56">
              <w:r>
                <w:rPr>
                  <w:rFonts w:ascii="Arial" w:cs="Arial" w:eastAsia="Arial" w:hAnsi="Arial"/>
                  <w:sz w:val="18"/>
                  <w:szCs w:val="18"/>
                  <w:color w:val="0000EE"/>
                </w:rPr>
                <w:t>Trend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56">
              <w:r>
                <w:rPr>
                  <w:rFonts w:ascii="Arial" w:cs="Arial" w:eastAsia="Arial" w:hAnsi="Arial"/>
                  <w:sz w:val="18"/>
                  <w:szCs w:val="18"/>
                  <w:color w:val="0000EE"/>
                </w:rPr>
                <w:t>Off-Balance Sheet Arrangements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F. </w:t>
            </w:r>
            <w:hyperlink w:anchor="page57">
              <w:r>
                <w:rPr>
                  <w:rFonts w:ascii="Arial" w:cs="Arial" w:eastAsia="Arial" w:hAnsi="Arial"/>
                  <w:sz w:val="18"/>
                  <w:szCs w:val="18"/>
                  <w:color w:val="0000EE"/>
                </w:rPr>
                <w:t>Contractual Obligations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330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Directors, Senior Management and Employees</w:t>
              </w:r>
            </w:hyperlink>
          </w:p>
        </w:tc>
        <w:tc>
          <w:tcPr>
            <w:tcW w:w="66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58">
              <w:r>
                <w:rPr>
                  <w:rFonts w:ascii="Arial" w:cs="Arial" w:eastAsia="Arial" w:hAnsi="Arial"/>
                  <w:sz w:val="18"/>
                  <w:szCs w:val="18"/>
                  <w:color w:val="0000EE"/>
                </w:rPr>
                <w:t>Directors and Senior Management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59">
              <w:r>
                <w:rPr>
                  <w:rFonts w:ascii="Arial" w:cs="Arial" w:eastAsia="Arial" w:hAnsi="Arial"/>
                  <w:sz w:val="18"/>
                  <w:szCs w:val="18"/>
                  <w:color w:val="0000EE"/>
                </w:rPr>
                <w:t>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61">
              <w:r>
                <w:rPr>
                  <w:rFonts w:ascii="Arial" w:cs="Arial" w:eastAsia="Arial" w:hAnsi="Arial"/>
                  <w:sz w:val="18"/>
                  <w:szCs w:val="18"/>
                  <w:color w:val="0000EE"/>
                </w:rPr>
                <w:t>Board Practices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D. </w:t>
            </w:r>
            <w:hyperlink w:anchor="page62">
              <w:r>
                <w:rPr>
                  <w:rFonts w:ascii="Arial" w:cs="Arial" w:eastAsia="Arial" w:hAnsi="Arial"/>
                  <w:sz w:val="18"/>
                  <w:szCs w:val="18"/>
                  <w:color w:val="0000EE"/>
                </w:rPr>
                <w:t>Employees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62">
              <w:r>
                <w:rPr>
                  <w:rFonts w:ascii="Arial" w:cs="Arial" w:eastAsia="Arial" w:hAnsi="Arial"/>
                  <w:sz w:val="18"/>
                  <w:szCs w:val="18"/>
                  <w:color w:val="0000EE"/>
                </w:rPr>
                <w:t>Share Ownership</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7.</w:t>
            </w:r>
          </w:p>
        </w:tc>
        <w:tc>
          <w:tcPr>
            <w:tcW w:w="9920" w:type="dxa"/>
            <w:vAlign w:val="bottom"/>
            <w:gridSpan w:val="2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Major Shareholders and Related Party Transactions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20" w:type="dxa"/>
            <w:vAlign w:val="bottom"/>
            <w:tcBorders>
              <w:top w:val="single" w:sz="8" w:color="0000EE"/>
            </w:tcBorders>
            <w:gridSpan w:val="22"/>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63">
              <w:r>
                <w:rPr>
                  <w:rFonts w:ascii="Arial" w:cs="Arial" w:eastAsia="Arial" w:hAnsi="Arial"/>
                  <w:sz w:val="18"/>
                  <w:szCs w:val="18"/>
                  <w:color w:val="0000EE"/>
                </w:rPr>
                <w:t>Major Shareholders</w:t>
              </w:r>
            </w:hyperlink>
          </w:p>
        </w:tc>
        <w:tc>
          <w:tcPr>
            <w:tcW w:w="63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63">
              <w:r>
                <w:rPr>
                  <w:rFonts w:ascii="Arial" w:cs="Arial" w:eastAsia="Arial" w:hAnsi="Arial"/>
                  <w:sz w:val="18"/>
                  <w:szCs w:val="18"/>
                  <w:color w:val="0000EE"/>
                </w:rPr>
                <w:t>Related Party Transactions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8.</w:t>
            </w:r>
          </w:p>
        </w:tc>
        <w:tc>
          <w:tcPr>
            <w:tcW w:w="9920" w:type="dxa"/>
            <w:vAlign w:val="bottom"/>
            <w:gridSpan w:val="2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Financial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64">
              <w:r>
                <w:rPr>
                  <w:rFonts w:ascii="Arial" w:cs="Arial" w:eastAsia="Arial" w:hAnsi="Arial"/>
                  <w:sz w:val="18"/>
                  <w:szCs w:val="18"/>
                  <w:color w:val="0000EE"/>
                </w:rPr>
                <w:t>Financial Statements and Other Financial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2360" w:type="dxa"/>
            <w:vAlign w:val="bottom"/>
            <w:gridSpan w:val="14"/>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gridSpan w:val="2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65">
              <w:r>
                <w:rPr>
                  <w:rFonts w:ascii="Arial" w:cs="Arial" w:eastAsia="Arial" w:hAnsi="Arial"/>
                  <w:sz w:val="18"/>
                  <w:szCs w:val="18"/>
                  <w:color w:val="0000EE"/>
                </w:rPr>
                <w:t>Significant Changes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81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9.</w:t>
            </w:r>
          </w:p>
        </w:tc>
        <w:tc>
          <w:tcPr>
            <w:tcW w:w="9920" w:type="dxa"/>
            <w:vAlign w:val="bottom"/>
            <w:gridSpan w:val="2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The Offer and Listing</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3"/>
            <w:vMerge w:val="restart"/>
          </w:tcPr>
          <w:p>
            <w:pPr>
              <w:ind w:left="220"/>
              <w:spacing w:after="0"/>
              <w:rPr>
                <w:sz w:val="20"/>
                <w:szCs w:val="20"/>
                <w:color w:val="auto"/>
              </w:rPr>
            </w:pPr>
            <w:r>
              <w:rPr>
                <w:rFonts w:ascii="Arial" w:cs="Arial" w:eastAsia="Arial" w:hAnsi="Arial"/>
                <w:sz w:val="18"/>
                <w:szCs w:val="18"/>
                <w:color w:val="auto"/>
              </w:rPr>
              <w:t>Item 10.</w:t>
            </w:r>
          </w:p>
        </w:tc>
        <w:tc>
          <w:tcPr>
            <w:tcW w:w="9920" w:type="dxa"/>
            <w:vAlign w:val="bottom"/>
            <w:gridSpan w:val="23"/>
            <w:vMerge w:val="restart"/>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Additional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20" w:type="dxa"/>
            <w:vAlign w:val="bottom"/>
            <w:gridSpan w:val="3"/>
            <w:vMerge w:val="continue"/>
          </w:tcPr>
          <w:p>
            <w:pPr>
              <w:spacing w:after="0"/>
              <w:rPr>
                <w:sz w:val="14"/>
                <w:szCs w:val="14"/>
                <w:color w:val="auto"/>
              </w:rPr>
            </w:pPr>
          </w:p>
        </w:tc>
        <w:tc>
          <w:tcPr>
            <w:tcW w:w="9920" w:type="dxa"/>
            <w:vAlign w:val="bottom"/>
            <w:gridSpan w:val="23"/>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Borders>
              <w:top w:val="single" w:sz="8" w:color="0000EE"/>
            </w:tcBorders>
            <w:gridSpan w:val="8"/>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66">
              <w:r>
                <w:rPr>
                  <w:rFonts w:ascii="Arial" w:cs="Arial" w:eastAsia="Arial" w:hAnsi="Arial"/>
                  <w:sz w:val="18"/>
                  <w:szCs w:val="18"/>
                  <w:color w:val="0000EE"/>
                </w:rPr>
                <w:t>Share Capital</w:t>
              </w:r>
            </w:hyperlink>
          </w:p>
        </w:tc>
        <w:tc>
          <w:tcPr>
            <w:tcW w:w="832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66">
              <w:r>
                <w:rPr>
                  <w:rFonts w:ascii="Arial" w:cs="Arial" w:eastAsia="Arial" w:hAnsi="Arial"/>
                  <w:sz w:val="18"/>
                  <w:szCs w:val="18"/>
                  <w:color w:val="0000EE"/>
                </w:rPr>
                <w:t>Memorandum and Articles of Association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66">
              <w:r>
                <w:rPr>
                  <w:rFonts w:ascii="Arial" w:cs="Arial" w:eastAsia="Arial" w:hAnsi="Arial"/>
                  <w:sz w:val="18"/>
                  <w:szCs w:val="18"/>
                  <w:color w:val="0000EE"/>
                </w:rPr>
                <w:t>Material Contracts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D. </w:t>
            </w:r>
            <w:hyperlink w:anchor="page67">
              <w:r>
                <w:rPr>
                  <w:rFonts w:ascii="Arial" w:cs="Arial" w:eastAsia="Arial" w:hAnsi="Arial"/>
                  <w:sz w:val="18"/>
                  <w:szCs w:val="18"/>
                  <w:color w:val="0000EE"/>
                </w:rPr>
                <w:t>Exchange Controls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3"/>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67">
              <w:r>
                <w:rPr>
                  <w:rFonts w:ascii="Arial" w:cs="Arial" w:eastAsia="Arial" w:hAnsi="Arial"/>
                  <w:sz w:val="18"/>
                  <w:szCs w:val="18"/>
                  <w:color w:val="0000EE"/>
                </w:rPr>
                <w:t>Taxation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3"/>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F. </w:t>
            </w:r>
            <w:hyperlink w:anchor="page73">
              <w:r>
                <w:rPr>
                  <w:rFonts w:ascii="Arial" w:cs="Arial" w:eastAsia="Arial" w:hAnsi="Arial"/>
                  <w:sz w:val="18"/>
                  <w:szCs w:val="18"/>
                  <w:color w:val="0000EE"/>
                </w:rPr>
                <w:t>Dividends and Paying Agents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G. </w:t>
            </w:r>
            <w:hyperlink w:anchor="page73">
              <w:r>
                <w:rPr>
                  <w:rFonts w:ascii="Arial" w:cs="Arial" w:eastAsia="Arial" w:hAnsi="Arial"/>
                  <w:sz w:val="18"/>
                  <w:szCs w:val="18"/>
                  <w:color w:val="0000EE"/>
                </w:rPr>
                <w:t>Statements by Experts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H. </w:t>
            </w:r>
            <w:hyperlink w:anchor="page73">
              <w:r>
                <w:rPr>
                  <w:rFonts w:ascii="Arial" w:cs="Arial" w:eastAsia="Arial" w:hAnsi="Arial"/>
                  <w:sz w:val="18"/>
                  <w:szCs w:val="18"/>
                  <w:color w:val="0000EE"/>
                </w:rPr>
                <w:t>Documents on Display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11.</w:t>
            </w:r>
          </w:p>
        </w:tc>
        <w:tc>
          <w:tcPr>
            <w:tcW w:w="9920" w:type="dxa"/>
            <w:vAlign w:val="bottom"/>
            <w:gridSpan w:val="2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12.</w:t>
            </w:r>
          </w:p>
        </w:tc>
        <w:tc>
          <w:tcPr>
            <w:tcW w:w="4260" w:type="dxa"/>
            <w:vAlign w:val="bottom"/>
            <w:tcBorders>
              <w:top w:val="single" w:sz="8" w:color="0000EE"/>
            </w:tcBorders>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Description of Securities Other than Equity Securities</w:t>
              </w:r>
            </w:hyperlink>
          </w:p>
        </w:tc>
        <w:tc>
          <w:tcPr>
            <w:tcW w:w="56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PART II</w:t>
              </w:r>
            </w:hyperlink>
          </w:p>
        </w:tc>
        <w:tc>
          <w:tcPr>
            <w:tcW w:w="520" w:type="dxa"/>
            <w:vAlign w:val="bottom"/>
            <w:gridSpan w:val="2"/>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13.</w:t>
            </w:r>
          </w:p>
        </w:tc>
        <w:tc>
          <w:tcPr>
            <w:tcW w:w="9920" w:type="dxa"/>
            <w:vAlign w:val="bottom"/>
            <w:gridSpan w:val="2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Defaults, Dividend Arrearages and Delinquencies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14.</w:t>
            </w:r>
          </w:p>
        </w:tc>
        <w:tc>
          <w:tcPr>
            <w:tcW w:w="548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Material Modifications to the Rights of Security Holders and Use of Proceeds</w:t>
              </w:r>
            </w:hyperlink>
          </w:p>
        </w:tc>
        <w:tc>
          <w:tcPr>
            <w:tcW w:w="4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15.</w:t>
            </w:r>
          </w:p>
        </w:tc>
        <w:tc>
          <w:tcPr>
            <w:tcW w:w="17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Controls and Procedures</w:t>
              </w:r>
            </w:hyperlink>
          </w:p>
        </w:tc>
        <w:tc>
          <w:tcPr>
            <w:tcW w:w="818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16A.</w:t>
            </w:r>
          </w:p>
        </w:tc>
        <w:tc>
          <w:tcPr>
            <w:tcW w:w="992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Audit Committee Financial Expert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16B.</w:t>
            </w:r>
          </w:p>
        </w:tc>
        <w:tc>
          <w:tcPr>
            <w:tcW w:w="10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Code of Ethics</w:t>
              </w:r>
            </w:hyperlink>
          </w:p>
        </w:tc>
        <w:tc>
          <w:tcPr>
            <w:tcW w:w="1380" w:type="dxa"/>
            <w:vAlign w:val="bottom"/>
            <w:tcBorders>
              <w:top w:val="single" w:sz="8" w:color="0000EE"/>
            </w:tcBorders>
            <w:gridSpan w:val="10"/>
          </w:tcPr>
          <w:p>
            <w:pPr>
              <w:spacing w:after="0"/>
              <w:rPr>
                <w:sz w:val="24"/>
                <w:szCs w:val="24"/>
                <w:color w:val="auto"/>
              </w:rPr>
            </w:pPr>
          </w:p>
        </w:tc>
        <w:tc>
          <w:tcPr>
            <w:tcW w:w="74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16C.</w:t>
            </w:r>
          </w:p>
        </w:tc>
        <w:tc>
          <w:tcPr>
            <w:tcW w:w="28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76">
              <w:r>
                <w:rPr>
                  <w:rFonts w:ascii="Arial" w:cs="Arial" w:eastAsia="Arial" w:hAnsi="Arial"/>
                  <w:sz w:val="18"/>
                  <w:szCs w:val="18"/>
                  <w:color w:val="0000EE"/>
                  <w:w w:val="87"/>
                </w:rPr>
                <w:t>Principal Accountant Fees and Services</w:t>
              </w:r>
            </w:hyperlink>
          </w:p>
        </w:tc>
        <w:tc>
          <w:tcPr>
            <w:tcW w:w="71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16D.</w:t>
            </w:r>
          </w:p>
        </w:tc>
        <w:tc>
          <w:tcPr>
            <w:tcW w:w="43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Exemptions from the Listing Standards for Audit Committees</w:t>
              </w:r>
            </w:hyperlink>
          </w:p>
        </w:tc>
        <w:tc>
          <w:tcPr>
            <w:tcW w:w="55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16E.</w:t>
            </w:r>
          </w:p>
        </w:tc>
        <w:tc>
          <w:tcPr>
            <w:tcW w:w="492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76">
              <w:r>
                <w:rPr>
                  <w:rFonts w:ascii="Arial" w:cs="Arial" w:eastAsia="Arial" w:hAnsi="Arial"/>
                  <w:sz w:val="18"/>
                  <w:szCs w:val="18"/>
                  <w:color w:val="0000EE"/>
                  <w:w w:val="87"/>
                </w:rPr>
                <w:t>Purchases of Equity Securities by the Issuer and Affiliated Purchasers</w:t>
              </w:r>
            </w:hyperlink>
          </w:p>
        </w:tc>
        <w:tc>
          <w:tcPr>
            <w:tcW w:w="50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16F.</w:t>
            </w:r>
          </w:p>
        </w:tc>
        <w:tc>
          <w:tcPr>
            <w:tcW w:w="32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Change in Registrants’ Certifying Accountant</w:t>
              </w:r>
            </w:hyperlink>
          </w:p>
        </w:tc>
        <w:tc>
          <w:tcPr>
            <w:tcW w:w="66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16G.</w:t>
            </w:r>
          </w:p>
        </w:tc>
        <w:tc>
          <w:tcPr>
            <w:tcW w:w="9920" w:type="dxa"/>
            <w:vAlign w:val="bottom"/>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18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16H.</w:t>
            </w:r>
          </w:p>
        </w:tc>
        <w:tc>
          <w:tcPr>
            <w:tcW w:w="9920" w:type="dxa"/>
            <w:vAlign w:val="bottom"/>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PART III</w:t>
              </w:r>
            </w:hyperlink>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2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17.</w:t>
            </w:r>
          </w:p>
        </w:tc>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Financial Statements</w:t>
              </w:r>
            </w:hyperlink>
          </w:p>
        </w:tc>
        <w:tc>
          <w:tcPr>
            <w:tcW w:w="842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18.</w:t>
            </w:r>
          </w:p>
        </w:tc>
        <w:tc>
          <w:tcPr>
            <w:tcW w:w="14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Financial Statements</w:t>
              </w:r>
            </w:hyperlink>
          </w:p>
        </w:tc>
        <w:tc>
          <w:tcPr>
            <w:tcW w:w="844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19.</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Exhibits</w:t>
              </w:r>
            </w:hyperlink>
          </w:p>
        </w:tc>
        <w:tc>
          <w:tcPr>
            <w:tcW w:w="932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and likelihood of success in acquiring additional vessels to expand our business.</w:t>
      </w:r>
    </w:p>
    <w:p>
      <w:pPr>
        <w:spacing w:after="0" w:line="14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 The risks and uncertainties include, but are not limited to:</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health and condition of the U.S. and global financial markets;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condition and liquidity, including our ability to obtain additional waivers which might be necessary under the existing credit facility or obtain additional financing to fund capital expenditures, vessel acquisitions and other general corporate purposes;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our financial covenants and repay our credit facility;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relating to dividend payments and forecasts of our ability to make such payments including the availability of cash and the impact of constraints under our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right="10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key employees and crew, number of off-hire days, drydocking and survey requirements, general and administrative costs and insurance costs;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our capital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expectations about the availability of ships to purchase, the time that it may take to construct new ships, or the useful lives of our ships;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ability to enter into or renew long-term, fixed-rate charters including the re-charterering of vessels on the expiry of existing charters, or to secure profitable employment for our vessels in the spot market;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capitalize on our management’s and board of directors’ relationships and reputations in the containership industry to our advantage;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environmental and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in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Accordingly, you should not unduly rely on these forward-looking statements, which speak only as of the date of this Annual Report. We undertake no obligation to publicly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14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Unless the context otherwise requires, references to “the company”, “we”, “us” or “our” refers to Global Ship Lease, Inc.; “CMA CGM” refers to CMA CGM S.A. and “Ship Manager” refers to CMA Ships, a wholly-owned subsidiary of CMA CGM and our current ship manager.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definition of certain terms used in this Annual Report, please see “Glossary of Shipping Terms” at the end of this Annual Report.</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Unless otherwise indicated, all references to “$” and “dollars” in this Annual Report are in United States dollars. We use the term “TEU”, meaning twenty-foot equivalent unit, the international standard measure of container size, in describing volumes in world container trade and other measures, including the capacity of our containerships, which we also refer to as vessels. Unless otherwise indicated, we calculate the average age of our vessels on a weighted average basis, based on TEU capacity.</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Selected Financial Data</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our consolidated financial statements and notes thereto, which are referred to as our consolidated financial statements, included elsewhere in this Annual Report.</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selected historical consolidated financial and operating information gives effect to the merger of Global Ship Lease, Inc. and Marathon Acquisition Corp as described further below (“Merger”) as at August 14, 2008 and consequently the selected consolidated financial statements up to December 31, 2011 include two distinct reporting periods (i) January 1, 2007 through August 14, 2008 (“Predecessor”) and (ii) August 15, 2008 through December 31, 2011 (“Successor”), which relate to the period preceding the Merger and the period succeeding the Merger, respectively. Further, although we derived all of our revenue in 2011, 2010 and 2009 and virtually all of our revenue in 2008 from chartering out our vessels under our continuing business of long-term fixed rate time charters, for periods before 2008, under predecessor accounting rules, we earned all or virtually all of our revenue from carrying containerized cargo when the vessels were owned and operated by CMA CGM and its subsidiaries. We use the term “Predecessor Group” to mean the container shipping services provided by the 10 secondhand vessels, which we purchased in December 2007, and two newly built vessels, which we purchased in January 2008, in our initial fleet when these vessels were owned and operated by CMA CGM and its subsidiaries rather than to mean any particular entity or entities.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are significant differences between our business after the acquisition of our initial fleet of 12 vessels in December 2007 and January 2008, when we started our time charter business, and the business of our Predecessor Group when the vessels earned revenue from carrying cargo for customers. Accordingly, the selected historical consolidated financial data prior to January 2008, which includes mainly the Predecessor Group’s trading activities of the vessels earning revenue from carrying cargo for third party customers, are not indicative of the results we would have achieved had we historically operated as an independent ship-owning company earning charterhire or of our future results.</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consolidated financial statements for the Successor period after August 14, 2008 reflect the acquisition of Global Ship Lease, Inc., as a result of the Merger, under the purchase method of accounting. The results of the Successor are not comparable to the results of the Predecessor due to the difference in the basis of presentation under purchase accounting as compared to historical cost and due to the changes in capital and legal structure following the Merger including our becoming listed on the New York Stock Exchange.</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historical selected consolidated financial data as of December 31, 2011, 2010, 2009, 2008 and 2007 and for each of the years then ended (2008 including two distinct reporting periods before and after the Merger) have been derived from our audited consolidated financial statements and have been prepared in accordance with United States generally accepted accounting principles. The historical selected consolidated financial data for 2007 relating to the initial 10 vessels until their purchase by us in December 2007 and the two new vessels when they were in CMA CGM’s ownership for the last few days of 2007 until their purchase by us in January 2008 is derived from carve-out information of the Predecessor Group prepared by management of CMA CGM. Certain financial information has been rounded, and, as a result, certain totals shown in this Annual Report may not equal the arithmetic sum of the figures that should otherwise aggregate to those totals.</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This selected financial data should be read together with, and is qualified in its entirety by, our consolidated financial statements and the notes thereto included elsewhere in this Annual Report.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4500" w:type="dxa"/>
            <w:vAlign w:val="bottom"/>
          </w:tcPr>
          <w:p>
            <w:pPr>
              <w:ind w:left="660"/>
              <w:spacing w:after="0"/>
              <w:rPr>
                <w:sz w:val="20"/>
                <w:szCs w:val="20"/>
                <w:color w:val="auto"/>
              </w:rPr>
            </w:pPr>
            <w:r>
              <w:rPr>
                <w:rFonts w:ascii="Arial" w:cs="Arial" w:eastAsia="Arial" w:hAnsi="Arial"/>
                <w:sz w:val="14"/>
                <w:szCs w:val="14"/>
                <w:b w:val="1"/>
                <w:bCs w:val="1"/>
                <w:color w:val="auto"/>
              </w:rPr>
              <w:t>(in millions of U.S. dollars, except per share data)</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August 15</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Borders>
              <w:right w:val="single" w:sz="8" w:color="auto"/>
            </w:tcBorders>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to</w:t>
            </w:r>
          </w:p>
        </w:tc>
        <w:tc>
          <w:tcPr>
            <w:tcW w:w="30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January 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5"/>
              </w:rPr>
              <w:t>to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31</w:t>
            </w:r>
          </w:p>
        </w:tc>
        <w:tc>
          <w:tcPr>
            <w:tcW w:w="6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August 14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2008</w:t>
            </w:r>
          </w:p>
        </w:tc>
        <w:tc>
          <w:tcPr>
            <w:tcW w:w="6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18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180" w:type="dxa"/>
            <w:vAlign w:val="bottom"/>
          </w:tcPr>
          <w:p>
            <w:pPr>
              <w:spacing w:after="0"/>
              <w:rPr>
                <w:sz w:val="17"/>
                <w:szCs w:val="17"/>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79"/>
              </w:rPr>
              <w:t>Successor</w:t>
            </w:r>
          </w:p>
        </w:tc>
        <w:tc>
          <w:tcPr>
            <w:tcW w:w="12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Successor</w:t>
            </w:r>
          </w:p>
        </w:tc>
        <w:tc>
          <w:tcPr>
            <w:tcW w:w="30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Freight revenue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Time charter revenue (2)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156.3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158.8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Voyage expenses (3)</w:t>
            </w: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Impairment charge (5)</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(106.3)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(107.1)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(87.0)</w:t>
            </w:r>
          </w:p>
        </w:tc>
        <w:tc>
          <w:tcPr>
            <w:tcW w:w="12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(24.2)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6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Non operating income (expense)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Unrealized (loss) gain on interest rate derivatives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(54.9)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in thousand $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 (loss) per Class A common share in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Weighted average number of Class A common shares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in millions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Diluted in millions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B common share in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Nil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Nil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Nil</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Nil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Basic and diluted in millions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74.9</w:t>
            </w:r>
          </w:p>
        </w:tc>
        <w:tc>
          <w:tcPr>
            <w:tcW w:w="3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74.6</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vessels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890.2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939.5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981.0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1,027.4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966.6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(current and non-current portion)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Shareholder loan (7)</w:t>
            </w: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334.2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324.6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295.0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Number of vessels in operation at period end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Utilization (8)</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99.8%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828"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828"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line item reports revenue earned by the Predecessor Group from carrying cargo on the vessels.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line item reports revenues earned from our chartering business following the purchase of our vessels commencing December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line item reports the voyage related expenses of carrying cargo by the Predecessor Group.</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consolidated financial statements include the general and administrative expenses incurred by our Predecessor Group related to its operations and such costs incurred by us as a wholly owned subsidiary of CMA CGM in the Predecessor period prior to the Merger. Subsequent to the completion of the Merger, we have incurred additional administrative expenses, including legal, accounting, treasury, premises, securities regulatory compliance and other costs normally incurred by an independent listed public entity. Accordingly, general and administrative expenses incurred by and allocated to the Predecessor Group and incurred in the Predecessor period do not purport to be indicative of future expenses.</w:t>
      </w:r>
    </w:p>
    <w:p>
      <w:pPr>
        <w:spacing w:after="0" w:line="3"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November 8, 2010, we signed agreements with the sellers of two 4,250 TEU container vessels which terminated our purchase obligations totaling $154.8 million. Under the agreements we (i) released deposits, including accrued interest and totaling approximately $8.1 million per vessel (ii) made a further cash payment of approximately $6.2 million per vessel and (iii) transferred to the sellers certain supplies purchased for the vessels which were valued at approximately $0.4 million per vessel. The total value of these items was $14.7 million per vessel. In exchange, we acquired purchase options giving us the right, but not the obligation, to purchase each vessel on the first anniversary of its delivery by the builder to the seller, for a final payment of $61.25 million per vessel. The purchase options were to be exercised by September 16, 2011 for one vessel and October 4, 2011 for the other vessel. Under U.S. GAAP (i) the estimated fair value of the two purchase options was recorded as an asset in the balance sheet as at December 31, 2010 at $13.6 million (ii) an impairment charge of $17.1 million was recognized in the fourth quarter 2010 which comprised $15.5 million released deposits, $1.3 million capitalized interest and $0.3 million other predelivery capital expenditure for the newbuildings. The purchase of these vessels was always predicated on achieving a strong return for shareholders by acquiring the vessels at an attractive price and with financing on favorable terms. As we considered it unlikely that we would be able to obtain committed finance on acceptable terms before the expiry of the options, the intangible assets totaling $13.6 million relating to these options were written off in the second quarter 2011. Both purchase options were allowed to expire.</w:t>
      </w:r>
    </w:p>
    <w:p>
      <w:pPr>
        <w:spacing w:after="0" w:line="8"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weighted average number of our common shares outstanding as of June 30, 2008 has been used for purposes of computing earnings per share for all periods prior to this date as financial information for 2007 was carved-out from our Predecessor Group.</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due to the former shareholder were not assumed by us following completion of the Merger.</w:t>
      </w:r>
    </w:p>
    <w:p>
      <w:pPr>
        <w:spacing w:after="0" w:line="9" w:lineRule="exact"/>
        <w:rPr>
          <w:rFonts w:ascii="Arial" w:cs="Arial" w:eastAsia="Arial" w:hAnsi="Arial"/>
          <w:sz w:val="18"/>
          <w:szCs w:val="18"/>
          <w:color w:val="auto"/>
        </w:rPr>
      </w:pPr>
    </w:p>
    <w:p>
      <w:pPr>
        <w:ind w:left="460" w:right="300" w:hanging="452"/>
        <w:spacing w:after="0" w:line="29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Utilization is used to measure our efficiency in operating the fleet and is calculated by dividing the total number of operating days when hire was being earned by the total number of ownership days, with the result expressed as a percentage. Operating days represent the aggregate number of days in the period that the vessels were available and were not off-hire for any reason, including scheduled dry-dockings, breakdowns or repairs. Ownership days represent the number of days in the period that we owned the relevant vessels. These data are non-GAAP statistical measures used by management to assess operating performance and are not included in consolidated financial statements prepared under U.S. GAAP.</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Capitalization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highly dependent on charter payments from CMA CGM.</w:t>
      </w:r>
    </w:p>
    <w:p>
      <w:pPr>
        <w:spacing w:after="0" w:line="17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All of our vessels are chartered to CMA CGM. CMA CGM’s payments to us under the charters are currently our sole source of operating revenue. We are consequently highly dependent on the performance by CMA CGM of its obligation under the charters. The container shipping industry suffered a significant cyclical downturn in the second half of 2008 and through 2009, with positive industry conditions returning in 2010. The container shipping industry suffered a further cyclical downturn in 2011 and many container shipping companies have reported substantial losses. CMA CGM is discussing with its lenders the rescheduling of certain repayments and the adjustment of certain covenants to take account of the cyclical nature of the container shipping industry. Further, we have experienced continued and, from time to time, increased delays in receiving charterhire payments from CMA CGM, where between one and four installments have been outstanding, which under the charter contracts are due to be paid every 15 days in advance.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If CMA CGM ceases doing business or fails to perform its obligations under our charters, our business, financial position and results of operations would be materially adversely affected as it is probable that, even if we were able to find replacement charters, such replacement charters would be at significantly lower daily rates and for shorter durations. If such events occur, there would be significant uncertainty about our ability to continue as a going concern.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recharter our vessels at profitable rates, if at all, upon their time charter expiry.</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time charters for two of our 17 containerships will expire as early as September 2012. While we generally expect to be able to obtain new time charters for our vessels within a reasonable period prior to their expiry, we cannot be assured that this will occur in any particular case, or at all. In addition, demand for containerships has been weak and charter rates in the spot market are depressed and we are highly unlikely to be able to secure charter rates at the same level as the current time charters. If we are unable to obtain new time charters for these containerships at favorable rates or are unable to secure new charters at all it could have a material adverse effect on our business, results of operations and financial condition.</w:t>
      </w:r>
    </w:p>
    <w:p>
      <w:pPr>
        <w:spacing w:after="0" w:line="110"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color w:val="auto"/>
        </w:rPr>
        <w:t>Our credit facility contains restrictive covenants including a maximum leverage ratio based on borrowings under the credit facility expressed as a percentage of charter-free market value of our secured vessels. If the leverage ratio under our credit facility exceeds the permitted level, the lenders under the credit facility may require us to make an additional prepayment of the borrowings or provide additional security, which we may not be able to do and would likely cause a default under the credit facility and which would raise substantial doubt about our ability to continue as a going concern.</w:t>
      </w:r>
    </w:p>
    <w:p>
      <w:pPr>
        <w:spacing w:after="0" w:line="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credit facility with ABN AMRO Bank N.V. (also the “Agent”), Citibank Global Markets Limited, HSH Nordbank AG, Sumitomo Mitsui Banking Corporation, Brussels Branch, KFW Ipex Bank GmbH, DnB NOR Bank ASA and Bank of Scotland plc. As of December 31, 2011, outstanding borrowings under the credit facility were $483.6 million. The credit facility contains restrictive financial and other covenants including minimum cash, minimum net worth, minimum EBITDA to debt service, maximum financial net debt to total capital and maximum leverage ratio, which is the ratio of borrowings under the credit facility to the charter-free market value of security posted.</w:t>
      </w:r>
    </w:p>
    <w:p>
      <w:pPr>
        <w:spacing w:after="0" w:line="14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If the leverage ratio when tested exceeds 75% or we are otherwise in potential default under the credit facility, and if an amendment to or waiver under the credit facility or other relief is not obtained, the Agent may require a prepayment of borrowings or the delivery of additional security. In such an event, we are likely to go into default under the credit facility, which would raise substantial doubt about our ability to continue as a going concern.</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container shipping industry is currently experiencing a significant cyclical downturn. As a consequence, there has been a decline in charter free market values of containerships. In anticipation of the scheduled test of the leverage ratio as at November 30, 2011 when we expected that it would be between 75% and 90%, we agreed on November 30, 2011 with our lenders to waive the requirement to perform the leverage ratio test until November 30, 2012 (the “Credit Facility Waiver”). If charter free market values of containerships continue to be depressed, we may require another waiver from the leverage ratio test as at November 30, 2012. There is no guarantee that such a waiver will be obtained.</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credit facility also imposes scheduled repayments and additional operating and financial restrictions on us. These restrictions may limit our ability to, among other things:</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 in the vessel owning subsidiaries, including through the issuance of guarantees;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the management of our vessels without the prior consent of the lender;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permit liens on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our vessels or change the ownership of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 or consolidate with, or transfer all or substantially all our assets to, another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certain types of charters.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Therefore, we may need to seek consent from our lenders in order to engage in certain corporate actions. Our lenders’ interests may be different from ours and we cannot guarantee that we will be able to obtain our lenders’ consent when needed. This may limit our ability to pay dividends, finance our future operations, make acquisitions or pursue business opportunities. See Item 4.B. “Business Overview</w:t>
      </w:r>
      <w:r>
        <w:rPr>
          <w:rFonts w:ascii="Arial" w:cs="Arial" w:eastAsia="Arial" w:hAnsi="Arial"/>
          <w:sz w:val="16"/>
          <w:szCs w:val="16"/>
          <w:b w:val="1"/>
          <w:bCs w:val="1"/>
          <w:color w:val="auto"/>
        </w:rPr>
        <w:t>—</w:t>
      </w:r>
      <w:r>
        <w:rPr>
          <w:rFonts w:ascii="Arial" w:cs="Arial" w:eastAsia="Arial" w:hAnsi="Arial"/>
          <w:sz w:val="16"/>
          <w:szCs w:val="16"/>
          <w:color w:val="auto"/>
        </w:rPr>
        <w:t>Our Credit Facility” for more information.</w:t>
      </w:r>
    </w:p>
    <w:p>
      <w:pPr>
        <w:spacing w:after="0" w:line="10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The Credit Facility Waiver provides that we may not declare or pay common dividends before November 30, 2012 or until the leverage ratio is no more than 75%, whichever is later.</w:t>
      </w:r>
    </w:p>
    <w:p>
      <w:pPr>
        <w:spacing w:after="0" w:line="12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Credit Facility Waiver provides that we may not declare or pay common dividends before November 30, 2012 or until the leverage ratio is no more than 75%, whichever is later. As a result, we are currently unable to pay dividends to common shareholders. Additionally, our credit facility provides that we may not pay dividends if there is a continuing default under the facility. We are also prohibited from paying dividends if the payment of the dividend would result in a default and any payments to be made into the retention account are not fully up to date. The charter free market value of our vessels can fluctuate substantially depending on market supply and demand for vessels. Since mid 2008, due to an excess of containership capacity, vessel market values have been substantially depressed. In addition, the market value of our vessels will decrease over time, as vessels generally decrease in value as they age. Consequently, the leverage ratio is volatile and will likely increase over time, which will negatively affect our ability to comply with our leverage ratio covenants. This, in turn, will impact our ability to resume dividend payments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give assurance that we will be able to refinance any indebtedness incurred under our credit facility.</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cannot assure you that at the credit facility’s final maturity date in August 2016 or when otherwise required, we will be able to refinance our indebtedness at all or on terms that are acceptable to us. The actual or perceived credit quality of our charterers, any defaults by them, and the market value of our fleet, among other things, may materially affect our ability to obtain new or replacement debt financing. If we are not able to refinance our indebtedness, we will have to dedicate all of our cash flow from operations to pay the principal and interest of our indebtedness. We cannot assure you that we will be able to generate cash flow in amounts that are sufficient for these purposes. If we are not able to satisfy our debt service obligations with our cash flow from operations, we may have to sell some or all of our assets, which may not be possible and which would have an adverse effect on our cash flows and results of operations. If we are unable to meet our debt obligations for any reason, our lenders could declare our debt, together with accrued interest and fees, to be immediately due and payable and foreclose on vessels in our fleet.</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Vessel values may fluctuate, which may adversely affect our financial condition, result in the incurrence of a loss upon disposal of a vessel or increase the cost of acquiring additional vessels.</w:t>
      </w:r>
    </w:p>
    <w:p>
      <w:pPr>
        <w:spacing w:after="0" w:line="12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Vessel values may fluctuate due to a number of different factors, including: general economic and market conditions affecting the shipping industry; competition from other shipping companies; the types and sizes of available vessels; the availability of other modes of transportation; increases in the supply of vessel capacity; the cost of newbuildings; governmental or other regulations; prevailing freight rates, which are the rates paid to the shipowner by the charterer under a voyage charter, usually calculated either per ton loaded or as a lump sum amount; and the need to upgrade second hand and previously owned vessels as a result of charterer requirements, technological advances in vessel design or equipment, or otherwise. In addition, as vessels grow older, they generally decline in value. Due to the cyclical nature of the container market, if for any reason we sell any of our owned vessels at a time when prices are depressed, we could incur a loss and our business, results of operations, cash flow and financial condition could be adversely affected. Moreover, if the book value of a vessel is impaired due to unfavorable market conditions we may incur a loss that could adversely affect our operating results.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and CMA Ships are privately held companies and there is little or no publicly available information about them.</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CMA CGM is our sole charterer and its wholly owned subsidiary, CMA Ships, is our ship manager. CMA CGM has guaranteed the performance of CMA Ships under the ship management agreements. CMA CGM’s ability to continue to pay charterhire and CMA Ships’ ability to render ship management services will depend in part on their own financial position.</w:t>
      </w:r>
    </w:p>
    <w:p>
      <w:pPr>
        <w:spacing w:after="0" w:line="14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Circumstances beyond their control could impair CMA CGM’s and CMA Ships’ financial position, and because they are privately held companies, information about their financial position is not publicly available. As a result, we and an investor in our securities might have little advance warning of financial or other difficulties affecting CMA CGM or its wholly owned subsidiaries even though their financial or other difficulties could have a material adverse effect on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and CMA Ships have conflicts of interest with us which may make them favor their own interests to our detriment.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Conflicts of interest may arise between us, on the one hand, and CMA CGM, our charterer, and CMA Ships, our ship manager, on the other hand. As a result of these conflicts, CMA Ships may favor its own or its parent company’s interests over our interests. These conflicts may have unfavorable consequences for us. Although our ship management agreements expressly prohibit CMA Ships from giving preferential treatment when performing any of its ship management services to any other vessel that is affiliated with it, or otherwise controlled by CMA CGM, conflicts of interest may arise between us, and our ship manager and our charterer.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reporting is dependent on CMA Ships.</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Under the ship management agreements with CMA Ships, CMA Ships is obliged to provide us with requisite financial information on a timely basis so that we can meet our own reporting obligations under U.S. securities laws. CMA Ships and its parent company CMA CGM are privately held corporations with financial reporting arrangements different from ours. If CMA Ships or any of its affiliates is delayed in providing us with key financial information, we could fail to meet our financial reporting deadlines.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could compete with us.</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Along with many other vessel-owning companies, CMA CGM, currently our sole charterer and largest holder of our common shares, could compete with us for the purchase of newbuildings and secondhand vessels. Further, CMA CGM is not precluded from acting as an owner in the direct chartering market. While we understand that CMA CGM currently has no intention of doing so, competition from CMA CGM may potentially harm our ability to grow the business and may decrease our results of operations.</w:t>
      </w:r>
    </w:p>
    <w:p>
      <w:pPr>
        <w:spacing w:after="0" w:line="137"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Certain terms in our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charters, the ship management agreements and the other contractual agreements we have entered into with CMA CGM and its wholly owned subsidiaries were made during an affiliated relationship in the context of a previously contemplated public offering of our Class A common shares in 2007, the Merger in August 2008 and other related transactions. Our agreements with CMA CGM may include terms that could not have been obtained from arms-length negotiations with unaffiliated third parties for similar services and assets. As a result, our future operating results may be negatively affected if we do not receive terms as favorable in future negotiations with unaffiliated third parties.</w:t>
      </w:r>
    </w:p>
    <w:p>
      <w:pPr>
        <w:spacing w:after="0" w:line="13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Our growth depends on our ability to purchase further vessels, obtain new charters and maintain our relationship with CMA CGM. We will require additional financing to be able to grow and will face substantial competition.</w:t>
      </w:r>
    </w:p>
    <w:p>
      <w:pPr>
        <w:spacing w:after="0" w:line="126"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One of our objectives is to grow by acquiring additional vessels and chartering them out to container shipping companies potentially including CMA CGM. Acquisition of vessels will be challenging as, inter alia, we will need to obtain additional financing in order to complete vessel purchases. Due to the continuing effects on the banking sector of the economic downturn and the severe cyclical downturn in the container shipping industry, financing for investment in containerships, whether newbuildings or existing vessels, is severely limited. Further, the cost of any available financing increased significantly. In addition, in recent years, the number of lenders for shipping companies has decreased and ship-funding lenders have generally lowered their loan-to-value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0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process of obtaining further vessels and new charters is highly competitive. The purchase of vessels and gaining of new charters depends on a variety of factors relating to the vessel owner, including:</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committed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containership experience and quality of ship operations (including cost effectiveness);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finance containerships at competitive rates and financial stability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vessels according to customer specifications.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face substantial competition in expanding our business from a number of experienced companies. Many of these competitors may have greater financial resources than us, may also operate larger fleets, may have been established for longer and may be able to offer better charter rates. During any industry downturn there are an increased number of vessels available for charter, including many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from owners with strong reputations and experience. The potential excess supply of vessels results in greater price competition for charters. As a result of these factors, we may be unable to purchase additional containerships, expand our relationships with CMA CGM or to obtain new charterers on a profitable basis, if at all, which would have a material adverse effect on our business, results of operations and financial condition.</w:t>
      </w:r>
    </w:p>
    <w:p>
      <w:pPr>
        <w:spacing w:after="0" w:line="10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may be unable to make or realize expected benefits from vessel acquisitions, and implementing our growth strategy through acquisitions may harm our business, financial condition and operating results.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growth strategy includes, among other things, selectively acquiring newbuildings and secondhand vessels.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long-term charters or have ship management agreements with similar or better terms than those we have obtained from CMA Ships or that we will not incur significant expenses and losses in connection with our future growth.</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Factors that may limit our ability to acquire additional vessels include competition from other owners,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14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Any acquisition of a vessel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unable, including through our ship managers, to hire, train or retain qualified shore and seafaring personnel to manage and operate our enlarged business and fleet;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 or by additional repayments of debt;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 able to pay dividends.</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for equivalent vessels of which we have had direct experience. These additional costs could decrease our cash flow and reduce our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may be reduced by the introduction of new accounting rules for leasing.</w:t>
      </w:r>
    </w:p>
    <w:p>
      <w:pPr>
        <w:spacing w:after="0" w:line="177"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International and U.S. accounting standard-setting organizations have proposed the elimination of allowing operating leases to not be recorded on the balance sheet. The proposals are still under discussion and a further draft of the accounting standard is expected to be issued during the second half of 2012. The date for implementation is now likely to be 2014 or later. If the proposals are adopted as currently proposed, they would have the effect of bringing most off-balance sheet operating leases, including time charters, onto a lessee’s balance sheet as liabilities. This proposed change could affect charterers by causing them to breach certain financial covenants. This may make them less likely to enter into time charters for our containerships, which could reduce our growth opportunities.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upon certain individuals who may not necessarily continue to be affiliated with us.</w:t>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current performance and future success depend to a significant extent upon our Chief Executive Officer, Ian J. Webber, our Chief Financial Officer, Susan J. Cook, our Chief Commercial Officer, Thomas A. Lister and our Chief Technical Officer, Vivek Puri. Mr. Webber, Ms. Cook, Mr. Lister and Mr. Puri have an aggregate of over 80 years of experience in the shipping industry and have worked with several of the world’s largest shipping companies. They and members of the board of directors are crucial to the execution of our business strategies and to the growth and development of our business.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our historical financial and operating data are not representative of our future results.</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 limited operating history. The historical consolidated financial statements included in this Annual Report include, mainly for periods up to January 31, 2008, our Predecessor Group’s historical business activities as a container shipping company earning revenue from transporting shippers’ cargo and incurring both vessel and voyage expenses, including fuel costs and all costs related to handling of containers for our vessels while the vessels were owned and operated by CMA CGM or its subsidiaries until the date of the individual transfer of each of 10 vessels in December 2007 and two further vessels in January 2008. The historical consolidated financial statements reflect our results as a vessel owner rather than operator under our fixed-rate long-term charters, ship management agreements and our financing arrangements only from the date of the individual transfer to us of the relevant vessels in December 2007 and January 2008. Further, our capital and legal structure changed significantly as a result of the Merger in August 2008, including our becoming listed on the New York Stock Exchange. Consequently, historical financial information prior to August 15, 2008 is not a meaningful representation of our future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did not perform and may not perform underwater inspections of vessels prior to purchase.</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we performed physical inspections of the vessels prior to their purchase, we did not perform any underwater inspections. As a result, we will not be aware of any damage to a vessel that may have existed at the time of purchase and which could only be discovered through an underwater inspection. We purchased the vessels from CMA CGM between December 2007 and August 2009 on an “as is” basis, subject to CMA CGM being responsible for any class condition or recommendation that existed at the date of delivery of the vessels. However, if any damage is subsequently found, we could incur substantial costs to repair the damage which would not be recoverable from the sellers.</w:t>
      </w:r>
    </w:p>
    <w:p>
      <w:pPr>
        <w:spacing w:after="0" w:line="137"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We are a holding company and we depend on the ability of our subsidiaries to distribute funds to us in order to satisfy our financial and other obligations.</w:t>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make these distributions could be affected by a claim or other action by a third party, including a creditor, or by Marshall Islands or Cypriot law or the laws of any jurisdiction which regulates the payment of dividends by companies. If we are unable to obtain funds from our subsidiaries, we may not be able to meet our debt service obligations, pay dividends, including on our preferred shares or meet our other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crew and other vessel operating costs may adversely affect our profits.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Acquiring and renewing long-term time charters with leading liner companies depends on a number of factors, including our ability to man our containerships with suitably experienced, high quality masters, officers and crews. In recent years, the limited supply of and increased demand for well-qualified crew, due to the increase in the size of the global shipping fleet, has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 quality onboard seafaring personnel, our fleet utilization will decrease, which could have a material adverse effect on our business,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fuel prices may have an adverse affect on our profits.</w:t>
      </w:r>
    </w:p>
    <w:p>
      <w:pPr>
        <w:spacing w:after="0" w:line="1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cost of fuel is a significant factor in negotiating charter rates and can affect us in both direct and indirect ways. This cost will be borne by us when our containerships are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Even where the cost of fuel is borne by the charterer, which is the case with all of our existing time charters, that cost will affect the level of charter rates that charterers are prepared to pay.</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price of fuel is unpredictable and fluctuates based on events outside our control, including but not limited to geo-political developments, supply and demand for oil, actions by members of the OPEC and other oil and gas producers, economic or other sanctions levied against oil and gas producing countries, war and unrest in oil producing countries and regions, regional production patterns and environmental concerns and regulations.</w:t>
      </w:r>
    </w:p>
    <w:p>
      <w:pPr>
        <w:spacing w:after="0" w:line="10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Because we generate all of our revenues in United States dollars but incur a significant portion of our expenses in other currencies, exchange rate fluctuations could hurt our results of operations.</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generate all of our revenues in United States dollars and some of our expenses are denominated in currencies other than United States dollars. This difference could lead to fluctuations in net income due to changes in the value of the United States dollar relative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other currencies, in particular the Euro. Expenses incurred in foreign currencies against which the United States dollar falls in value could increase, thereby decreasing our net income. We have not hedged any of this exposure and our U.S. dollar denominated results of operations and financial condition and ability to pay dividends could suffer from adverse currency exchange rate movements. Future declines in the U.S. dollar versus the Euro could have a material effect on our operating expenses and net income.</w:t>
      </w:r>
    </w:p>
    <w:p>
      <w:pPr>
        <w:spacing w:after="0" w:line="13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must make substantial expenditures to maintain our fleet and to acquire vessels, which may reduce or eliminate the amount of cash for dividends to our stockholders.</w:t>
      </w:r>
    </w:p>
    <w:p>
      <w:pPr>
        <w:spacing w:after="0" w:line="126"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We must make substantial expenditures to maintain our fleet and we generally expect to finance these maintenance expenditures from operating cash flow. In addition, we will need to make substantial capital expenditures to acquire vessels in accordance with our growth strategy. Maintenance expenditures could increase as a result of, among other things, the cost of labor and materials, customer requirements and governmental regulations and maritime self-regulatory organization standards relating to safety, security or the environment. Significant expenditures, including to maintain our fleet, may reduce or eliminate the amount of cash available for distribution to our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our fleet ages, we may incur increased operating costs, which would adversely affect our earnings.</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general, the day-to-day cost of operating and maintaining a vessel increases with age. In addition, older vessels are typically less fuel efficient and may attract lower charter rates compared to modern more fuel 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Our current fleet of 17 vessels as of December 31, 2011 had an average age weighted by capacity of 7.8 years.</w:t>
      </w:r>
    </w:p>
    <w:p>
      <w:pPr>
        <w:spacing w:after="0" w:line="114"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current fleet of 17 containerships as of December 31, 2011, had an average age weighted by capacity of 7.8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and our ability to pay dividends to our stockholders. Any reserves set aside for vessel replacement will not be available for dividends.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may be insufficient to cover losses that may occur to our property or result from our operations.</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shipping industry has inherent operational risks. Although we carry hull and machinery insurance, war risks insurance and protection and indemnity insurance (which includes coverage for environmental damage and pollution) and other insurances commonly used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the terms of our credit facility, we are subject to restrictions on the use of any 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2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off-hire for an extended period of time, due to an accident or otherwise, could have a material adverse effect on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incorporated in the Republic of the Marshall Islands, which does not have a well-developed body of corporate law.</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corporate affairs are governed by our articles of incorporation and bylaws and by the Business Corporations Act of the Republic of the Marshall Islands, or BCA. The provisions of the BCA resemble provisions of the corporation laws of a number of states in the United States. However, there have been very few judicial cases in the Republic of the Marshall Islands interpreting the BCA.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rights and fiduciary responsibilities of directors under the law of the Republic of the Marshall Islands are not as clearly established as the rights and fiduciary responsibilities of directors under statutes or judicial precedent in existence in certain United States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United States jurisdiction.</w:t>
      </w:r>
    </w:p>
    <w:p>
      <w:pPr>
        <w:spacing w:after="0" w:line="1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Because we are organized under the laws of the Republic of the Marshall Islands, it may be difficult to serve us with legal process or enforce judgments against us, our directors or our management.</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organized under the laws of the Republic of the Marshall Islands, and substantially all of our assets are located outside of the United States. Our principal executive offices are located outside the United States and most of our directors and officers reside outside the United States. As a result, it may be difficult or impossible for you to bring an action against us or against our directors or our management in the United States if you believe that your rights have been infringed under securities laws or otherwise. Even if you are successful in bringing an action of this kind, the laws of the Republic of the Marshall Islands and of other jurisdictions may prevent or restrict you from enforcing a judgment against our assets or our directors and officers.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if and when we will resume paying dividends.</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credit facility prohibits us from declaring or paying any common dividend unless the leverage ratio is no more than 75%. The Credit Facility Waiver waives the requirement to perform the leverage ratio test until November 30, 2012 and also prohibits the payment of any common dividend during the waiver period. The declaration and payment of dividends is also subject at all times to the discretion of our board of directors.</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When permitted by the credit facility and other contractual obligations, we may resume the distribution of a portion of our cash flow to our shareholders, while retaining the remaining cash flow for reinvestment in our business, to fund vessel or fleet acquisitions, make debt repayments and for other purposes, as determined by our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timing and amount of any dividends declared will depend on, among other things (a) our earnings, financial condition, cash flow and cash requirements,</w:t>
      </w:r>
    </w:p>
    <w:p>
      <w:pPr>
        <w:spacing w:after="0" w:line="38" w:lineRule="exact"/>
        <w:rPr>
          <w:sz w:val="20"/>
          <w:szCs w:val="20"/>
          <w:color w:val="auto"/>
        </w:rPr>
      </w:pPr>
    </w:p>
    <w:p>
      <w:pPr>
        <w:ind w:right="240" w:firstLine="8"/>
        <w:spacing w:after="0" w:line="261"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liquidity, including our ability to obtain debt and equity financing on acceptable terms as contemplated by our vessel acquisition strategy, (c) restrictive covenants in our existing and future debt instruments and (d) provisions of Marshall Islands law.</w:t>
      </w:r>
    </w:p>
    <w:p>
      <w:pPr>
        <w:spacing w:after="0" w:line="1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international containership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will vary based upon, among other things:</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charter-hire payments we obtain from our charters as well as the rates obtained upon the expiration of our existing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of additional vessels;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the delivery of newbuilding vessels, if any, and the beginning of payments under charters relating to those vessels;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w:t>
      </w:r>
    </w:p>
    <w:p>
      <w:pPr>
        <w:spacing w:after="0" w:line="90" w:lineRule="exact"/>
        <w:rPr>
          <w:rFonts w:ascii="Arial" w:cs="Arial" w:eastAsia="Arial" w:hAnsi="Arial"/>
          <w:sz w:val="18"/>
          <w:szCs w:val="18"/>
          <w:color w:val="auto"/>
        </w:rPr>
      </w:pPr>
    </w:p>
    <w:p>
      <w:pPr>
        <w:ind w:left="900" w:right="10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unscheduled off-hire days for our fleet and the timing of, and number of days required for, scheduled dry-docking of our containerships;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 vessel;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cash we generate from our operations may differ materially from our net income or loss for the period, which will be affected by non-cash items.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may incur other expenses or liabilities that could reduce or eliminate the cash available for distribution as dividends.</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dividend. We may not have sufficient surplus or net profits in the future to pay dividends, and our subsidiaries may not have sufficient funds, surplus or net profits to make distributions to us. As a result of these and other factors, we may be able to pay dividends during periods when we record losses and may not pay dividends during periods when we record net income. We can give no assurance that dividends will be paid in the future.</w:t>
      </w:r>
    </w:p>
    <w:p>
      <w:pPr>
        <w:spacing w:after="0" w:line="10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We have entered into interest rate derivatives to swap a notional amount of $580 million of debt from a floating rate based on LIBOR to a fixed rate until at least March 2013, when $253 million of the cover expires. We are therefore locked into a fixed base borrowing rate, before margin, averaging 3.59% on a weighted basis on a nominal amount of $580 million of debt. We have removed most of the volatility from our cash interest cost, other than for changes in the applicable margin, and are unable to benefit from falling LIBOR rates.</w:t>
      </w:r>
    </w:p>
    <w:p>
      <w:pPr>
        <w:spacing w:after="0" w:line="10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part of our risk management strategy and in order to avoid volatility in our cash interest expense as well as meet the requirement of the credit facility to fix the interest rate on at least 50% of drawn debt, we have entered into interest rate derivatives to swap a notional amount of $580 million of floating rate debt based on LIBOR into fixed rate debt averaging 3.59% on a weighted basis until at least March 2013, when $253 million of the cover expires. We are therefore unable to benefit from falling LIBOR rates. Further, due to required prepayment of outstanding borrowings, we expect to remain in an over-hedged position.</w:t>
      </w:r>
    </w:p>
    <w:p>
      <w:pPr>
        <w:spacing w:after="0" w:line="10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Depending on fluctuations in LIBOR, our interest rate swap agreements and their accounting treatment in our financial statements could result in volatility in our reported net income.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certain financial instrument contracts to hedge our exposure to interest rate fluctuations. These derivative instruments are recorded in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consolidated balance sheet under U.S. GAAP at market value, as none of the derivatives qualify for hedge accounting, with changes in the value being recognized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directly in our consolidated statement of income. As an example of the potential volatility, during the year ended December 31, 2009, the relative LIBOR 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curve experienced upward movement which significantly impacted the market value of our financial instruments, resulting in a non-cash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$17.9 million. However, for the year ended December 31, 2010, due to reverses in the forward interest rate curve, we recorded a non-cash loss of $15.3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2011, we recorded a non-cash loss of $0.9 million. As of December 31, 2011 these derivatives represented a liability of $45.3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Future interest rate volatility may expose our net income to significant variations.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90"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color w:val="auto"/>
        </w:rPr>
        <w:t>Our growth and long term profitability depend mainly upon growth in demand for containerships, the condition of the charter market and the availability of capital. The container shipping industry is cyclical and volatile. It has recently experienced a severe cyclical downturn from mid 2008 through 2009, favorable conditions in 2010 and a further severe downturn in 2011.</w:t>
      </w:r>
    </w:p>
    <w:p>
      <w:pPr>
        <w:spacing w:after="0" w:line="1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container shipping industry is cyclical, showing significant volatility in vessel values, freight rates, charter rates and financial performance. For example, containership charter rates peaked in 2005 and generally stayed strong until the middle of 2008, when the global economic crisis began to affect global container trade, driving charter rates to 10 year lows. In 2010, due to improved economic conditions and increased demand for container shipping services, containership charter rates improved significantly although they remain generally below long term averages. In 2011, due to poor economic conditions and an excess of containership capacity, charter rates again fell.</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Weak conditions in the containership sector may affect our ability to generate cash flows and maintain liquidity, as well as adversely affect our ability to obtain financing.</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factors affecting the supply and demand for containerships and container shipping services are outside our control, and the nature, timing and degree of changes in industry conditions are unpredictable.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pattern of global production of products transported by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9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trade finance and currency exchange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containership newbuilding orderbook;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scrapping rate of older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containerships off-hire or otherwise idle including laid-up;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of slow steaming.</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ability to recharter our containerships upon the expiration or termination of their current charters, which will be as early as September 2012 for two vessels, and the 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earnings or make our earnings volatile. The same issues will exist in respect of any additional vessels we may acquire either when obtaining the initial charters or on rechartering at their expiry.</w:t>
      </w:r>
    </w:p>
    <w:p>
      <w:pPr>
        <w:spacing w:after="0" w:line="1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Weak economic conditions throughout the world, particularly the Asia Pacific region and recent EU sovereign debt default fears, could have a material adverse effect on our business, financial condition and results of operations.</w:t>
      </w:r>
    </w:p>
    <w:p>
      <w:pPr>
        <w:spacing w:after="0" w:line="12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Negative trends in the global economy emerged in 2008 and continued into 2009, although there was some improvement in 2010 and 2011, global economy remains fragile. The global economy is still subject to downside risks stemming from factors like fiscal fragility in advanced economies, highly accommodative macroeconomic policies and persistent difficulties in access to credit. In particular, recent concerns regarding the possibility of sovereign debt defaults by European Union member countries, including Greece, Ireland and Portugal, have significantly weakened the Euro zone, disrupted financial markets throughout the world, and may lead to weaker consumer demand in the European Union, the United States, and other parts of the world. The deterioration in the global economy has caused, and may continue to cause, a decrease in worldwide demand for certain goods shipped in containerized form.</w:t>
      </w:r>
    </w:p>
    <w:p>
      <w:pPr>
        <w:spacing w:after="0" w:line="12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We anticipate that a significant number of port calls made by our containerships will continue to involve the loading or unloading of container cargoes in ports in the Asia Pacific region. In recent years, China has been one of the world’s fastest growing economies in terms of gross domestic product, which has had a significant impact on shipping demand. In 2011, growth in China’s gross domestic product was 9.2%. However, if China’s growth in gross domestic product declines and other countries in the Asia Pacific region experience slowed or negative economic growth in the future, then this may exacerbate the effect of the significant downturns in the economies of the United States and the European Union, and thus, may negatively impact container shipping demand. For example, the possibility of sovereign debt defaults by European Union member countries, including Greece, Ireland and Portugal, and the possibility of market reforms to float the Chinese renminbi, either of which development could weaken the Euro against the Chinese renminbi, could adversely affect consumer demand in the European Union. Such weak economic conditions could have a material adverse effect on our business, results of operations and financial condition.</w:t>
      </w:r>
    </w:p>
    <w:p>
      <w:pPr>
        <w:spacing w:after="0" w:line="10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Disruptions in world financial markets and the resulting governmental action in the United States and in other parts of the world could have a material adverse impact on our results of operations, financial condition and cash flows.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United States and other parts of the world have exhibited very weak economic trends since 2008. The credit markets in the United States and elsewhere have experienced significant contraction, deleveraging and reduced liquidity, and the United States federal government and state and other governments have implemented and are also considering a broad variety of governmental action and/or new regulation of the financial markets. Securities and futures markets and the credit markets are subject to comprehensive statutes, regulations and other requirements. The U.S. SEC, other regulators, self regulatory organizations and exchanges are authorized to take extraordinary actions in the event of market emergencies, and may effect changes in law or interpretations of existing laws.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Global financial markets and economic conditions have been severely disrupted and volatile in recent years and remain subject to significant vulnerabilities, such as the deterioration of fiscal balances and the rapid accumulation of public debt, continued deleveraging in the banking sector and limited supply of credit. Credit markets and the debt and equity capital markets have been exceedingly distressed and volatile. The current sovereign debt crisis in countries such as Greece, for example, and concerns over debt levels of certain other European Union member states and other countries around the world, as well as concerns about some international banks, has increased volatility in global credit and equity markets.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our lenders are unwilling to extend financing to us or unable to meet their funding obligations due to their own liquidity, capital or solvency issues.</w:t>
      </w:r>
    </w:p>
    <w:p>
      <w:pPr>
        <w:spacing w:after="0" w:line="12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cannot be certain that financing will be available on acceptable terms or at all. If 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107"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A decrease in the level of China’s export of goods or an increase in trade protectionism could have a material adverse impact on our charterer’s business and, in turn, could cause a material adverse impact on our results of operations, financial condition and cash flows.</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United States and Europe. Any reduction in or hindrance to the output of China based exporters could have a material adverse effect on the growth rate of China’s exports and on our charterers’ business. For instance, the government of China has recently implemented economic policies aimed at increasing domestic consumption of Chinese made goods. This may have the effect of reducing the supply of goods available for export and may, in turn, result in a decrease of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Furthermore, if China was to permit the renminbi to float to a free market rate of exchange, it is widely anticipated that the renminbi would appreciate significantly in value against the U.S. dollar. An increase in the value of the renminbi may negatively impact the United States’ demand for imported goods, many of which are shipped in containerized form.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24"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Our operations expose us to the risk that increased trade protectionism will adversely affect our business. If the incipient global recovery is undermined by downside risks and the recent economic downturn is prolonged, governments may turn to trade barriers to protect their domestic industries against foreign imports, thereby depressing the demand for shipping. Specifically, increasing trade protectionism in the markets that our charterer serves has caused and may continue to cause an increase in: (i) the cost of goods exported from China, (ii) the length of time required to deliver goods from China and (iii) the risks associated with exporting goods from China, as well as a decrease in the quantity of goods to be shipped.</w:t>
      </w:r>
    </w:p>
    <w:p>
      <w:pPr>
        <w:spacing w:after="0" w:line="1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Any increased trade barriers or restrictions on trade, especially trade with China, would have an adverse impact on our charterer’s business, operating results and financial condition and could thereby affect its ability to make timely charter hire payments to us and to renew and increase the number of its time charters with us. This could have a material adverse effect on our business, results of operations and financial condition.</w:t>
      </w:r>
    </w:p>
    <w:p>
      <w:pPr>
        <w:spacing w:after="0" w:line="101" w:lineRule="exact"/>
        <w:rPr>
          <w:sz w:val="20"/>
          <w:szCs w:val="20"/>
          <w:color w:val="auto"/>
        </w:rPr>
      </w:pPr>
    </w:p>
    <w:p>
      <w:pPr>
        <w:jc w:val="right"/>
        <w:ind w:right="5620"/>
        <w:spacing w:after="0" w:line="447" w:lineRule="auto"/>
        <w:rPr>
          <w:sz w:val="20"/>
          <w:szCs w:val="20"/>
          <w:color w:val="auto"/>
        </w:rPr>
      </w:pPr>
      <w:r>
        <w:rPr>
          <w:rFonts w:ascii="Arial" w:cs="Arial" w:eastAsia="Arial" w:hAnsi="Arial"/>
          <w:sz w:val="18"/>
          <w:szCs w:val="18"/>
          <w:b w:val="1"/>
          <w:bCs w:val="1"/>
          <w:color w:val="auto"/>
        </w:rPr>
        <w:t xml:space="preserve">We may incur a financial loss if we attempt to sell one or more of our vessels. </w:t>
      </w: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57" w:lineRule="auto"/>
        <w:rPr>
          <w:sz w:val="20"/>
          <w:szCs w:val="20"/>
          <w:color w:val="auto"/>
        </w:rPr>
      </w:pPr>
      <w:r>
        <w:rPr>
          <w:rFonts w:ascii="Arial" w:cs="Arial" w:eastAsia="Arial" w:hAnsi="Arial"/>
          <w:sz w:val="15"/>
          <w:szCs w:val="15"/>
          <w:color w:val="auto"/>
        </w:rPr>
        <w:t>Containership values can fluctuate substantially over time. Containership values decreased significantly in 2008 and 2009 and have remained at depressed levels through 2011 and remain generally below long term averages. A number of factors may contribute to a decrease in the market value of containerships, including:</w:t>
      </w: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substantial or extended decline in world trade growth leading to reduced demand for container shipping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or an over-supply in containership capacity including from new vessels on order;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prevailing charter rates; and</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a charter terminates when the charter market for containerships is depressed, we may be unable to recharter the vessel at attractive rates and, rather than continue to incur costs to maintain and finance the vessel, we may seek to dispose of it. It is likely that in such circumstances asset values will also be depressed. Inability to dispose of the containership at a reasonable price could result in a loss on the vessel’s sale and adversely affect our results of operations and financial condition.</w:t>
      </w:r>
    </w:p>
    <w:p>
      <w:pPr>
        <w:spacing w:after="0" w:line="143"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Future fluctuations in charter rates and vessel values may trigger a possible impairment of our vessels as described in Item 5.A. “Results of Operations— Management’s Discussion and Analysis of Financial Condition and Results of Operations—Critical Accounting Policies and Estimates.”</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Depressed market values of our vessels pledged as security under the credit facility may also impact our ability to satisfy our leverage ratio covenant under the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more difficulty entering into long-term charters if a more active and cheaper short-term or spot container shipping market develops.</w:t>
      </w:r>
    </w:p>
    <w:p>
      <w:pPr>
        <w:spacing w:after="0" w:line="20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long-term charters, we may have difficulty entering into such charters at profitable rates and for any term other than short term and, as a result, our cash flow may be subject to instability in the long-term. In addition, it would be more difficult to fix relatively older vessels should there be an oversupply of younger vessels on the market. A more active short-term or spot market may require us to enter into spot or short-term charters based on prevailing market rates, as opposed to long-term contracts, which could result in a decrease in our cash flow in periods when charter rates are depressed.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over-supply of containership capacity may lead to reductions in charter hire rates and profitability.</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While the size of the containership orderbook has declined over the last three years, the containership newbuilding orderbook as at March 2012 represented approximately 28% of the total on the water fleet capacity. Further containerships are likely to be ordered. Delivery of newly built containerships will result in an increase in the size of the world containership fleet over the next few years. An over-supply of containership capacity, combined with any decline in the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Acts of piracy on ocean-going vessels have recently increased in frequency, which could adversely affect our business.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Piracy is an inherent risk in the operation of ocean-going vessels and particularly affects vessels trading in specific regions of the world such as the South China Sea, the Gulf of Aden, the Arabian Sea and especially off the coast of Somalia. In recent years, the frequency of piracy incidents against commercial shipping vessels has increased significantly, particularly in the Gulf of Aden and off the coast of Somalia.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Terrorist attacks and international hostilities could affect our results of operations and financial condition.</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Terrorist attacks, such as the attacks on the United States on September 11, 2001, and in Mumbai on November 26, 2008 and the continuing response of the United States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11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9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vessels may call on ports located in countries that are subject to restrictions imposed by the United States government, which could negatively affect the trading price of our shares of common stock.</w:t>
      </w:r>
    </w:p>
    <w:p>
      <w:pPr>
        <w:spacing w:after="0" w:line="12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From time to time on charterers’ instructions, our vessels may call on ports located in countries subject to sanctions and embargoes imposed by the United States government and in countries identified by the United States government as state sponsors of terrorism. The U.S. sanctions and embargo laws and regulations vary in their application, as they do not all apply to the same covered persons or proscribe the same activities, and such sanctions and embargo laws and regulations may be amended or strengthened over time. In 2010, the U.S. enacted the Comprehensive Iran Sanctions Accountability and Divestment Act (“CISADA”), which expanded the scope of the former Iran Sanctions Act. Among other things, CISADA expands the application of the prohibitions to non-U.S. companies, such as the Company, and introduces limits on the ability of companies and persons to do business or trade with Iran when such activities relate to the investment, supply or export of refined petroleum or petroleum products. In addition, the U.S. Congress is currently considering the enactment of the Iran, North Korea, and Syria Nonproliferation Reform and Modernization Act of 2011, which would, among other things, provide for the imposition of sanctions, including a prohibition on investments by U.S. persons and a 180-day prohibition on calling at any U.S. port, on companies or persons that provide certain shipping services to or from Iran, North Korea or Syria with respect to certain prohibited goods.</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result in some investors deciding, or being required, to divest their interest, or not to invest, in us. Moreover, our charterers may violate applicable sanctions and embargo laws and regulations as a result of actions that do not involve us or our vessels, and those violations could in turn negatively affect our reputation. Investor perception of the value of our common stock may also be adversely affected by the consequences of war, the effects of terrorism, civil unrest and governmental actions in these and surrounding countries.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smuggling of drugs, weapons or other contraband and stowaways on our vessels may lead to governmental claims against us.</w:t>
      </w:r>
    </w:p>
    <w:p>
      <w:pPr>
        <w:spacing w:after="0" w:line="17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an adverse effect on our business, results of operations, cash flows and financial condition.</w:t>
      </w:r>
    </w:p>
    <w:p>
      <w:pPr>
        <w:spacing w:after="0" w:line="13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Risks inherent in the operation of containerships could impair the ability of the charterer to make payments to us, increase our costs or reduce the value of our assets.</w:t>
      </w:r>
    </w:p>
    <w:p>
      <w:pPr>
        <w:spacing w:after="0" w:line="12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vessels’ mortgagor or other maritime claimants could arrest our vessels, which could interrupt the charterer’s or our cash flow.</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default under our credit facility, our lenders who hold mortgages on our vessels could arrest some or all of our vessels and cause them to be sold. Any proceeds of such sale would be used to first repay all amounts outstanding under the credit facility, including interest rate derivatives.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Governments could requisition our vessels during a period of war or emergency without adequate compensation.</w:t>
      </w:r>
    </w:p>
    <w:p>
      <w:pPr>
        <w:spacing w:after="0" w:line="17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 government could requisition one or more of our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would likely be entitled to compensation in the event of a requisition of one or more of our vessels, the amount and timing of payment would be uncertain. Government requisition of one or more of our vessels may negatively impact our revenues and cash flow.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innovation could reduce our charter income and the value of our vessels.</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charter rates and the value and operational life of a vessel are determined by a number of factors including the vessel’s efficiency, operational flexibility and physical condition. Efficiency includes speed, fuel economy and the ability to load and discharge containers quickly. Flexibility includes the ability to enter harbors with draft or other physical considerations, utilize related dock facilities, such as cranes, load or unload with on-board cranes, carry temperature controlled containers and pass through canals and straits. Physical condition is related to the original design and construction, maintenance and the impact of the stress of operations. If new containerships are built that are more efficient or more flexible or have longer physical lives than our vessels, competition from these more technologically advanced containerships could adversely affect the amount of charterhire we receive for our vessels once their initial charters expire and the resale value of our vessels could significantly decrease.</w:t>
      </w:r>
    </w:p>
    <w:p>
      <w:pPr>
        <w:spacing w:after="0" w:line="112"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Compliance with safety and other vessel requirements imposed by classification societies may be costly and may adversely affect our business and operating results.</w:t>
      </w:r>
    </w:p>
    <w:p>
      <w:pPr>
        <w:spacing w:after="0" w:line="12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periodically over a five-year period. See Item 4.B. “Business Overview— Inspection by Classification Societies” for more information regarding annual surveys, intermediate surveys and special surveys. Bureau Veritas, Lloyd’s Register and Germanischer Lloyd,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We are subject to regulation and liability under environmental laws that could require significant expenditures and affect our cash flows and net income.</w:t>
      </w:r>
    </w:p>
    <w:p>
      <w:pPr>
        <w:spacing w:after="0" w:line="12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shipping industry and the operation of containerships are materially affected by environmental regulation in the form of international conventions, national, state and local laws and regulations in force in the jurisdictions in which our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we cannot predict the cost of complying with such requirements or the impact thereof on the value or useful life of our containerships. Additional conventions, laws and regulations may be adopted that could limit our ability to do business or increase the cost of our doing business and which may materially adversely affect our operations. We are required by various governmental and quasi-governmental agencies to obtain certain permits, licenses, certificates and financial assurances with respect to our operations. Many environmental requirements are designed to reduce the risk of pollution, such as oil spills, and compliance with these requirements can be costly.</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oil-based products or other hazardous materials from our vessels or otherwise in connection with our operations. We could also become subject to personal injury or property damage claims relating to the release of hazardous materials associated with our existing or historic operations. Violations of, or liabilities under, environmental requirements can result in substantial penalties, fines and other sanctions, including in certain instances, criminal liabilities or seizure or detention of our vessels.</w:t>
      </w:r>
    </w:p>
    <w:p>
      <w:pPr>
        <w:spacing w:after="0" w:line="118"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addition, significant compliance costs could be incurred due to existing environmental laws and regulations and those that may be adopted, which could require new maintenance and inspection procedures and new restrictions on air emissions from our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us to incur significant capital expenditures on our vessels to keep them in compliance, or even to scrap or sell certain vessels altogether. We believe that regulation of the shipping industry will continue to become more stringent and more expensive for us and our competitors. Substantial violations of applicable requirements or a catastrophic release of bunker fuel from one of our containerships, among other events, could have a material adverse impact on our business, financial condition and results of operations. For additional information on these and other environmental requirements, you should review the information contained in Item 4.B. “Business Overview—Environmental and Other Regulations.”</w:t>
      </w:r>
    </w:p>
    <w:p>
      <w:pPr>
        <w:spacing w:after="0" w:line="10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Increased inspection procedures, tighter import and export controls and new security regulations could increase costs and cause disruption of our containership business.</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14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Since the events of September 11, 2001, United States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14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 ability to pay dividends to our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operation of our vessels is also affected by the requirements set forth in the International Ship and Port Facilities Security Code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 costs have not been material to date, if new or more stringent regulations relating to the ISPS Code are adopted by the IMO and the flag states, these requirements could require significant additional capital expenditures or otherwise increase the costs of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securities may be volatile.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common shares may be volatile and may fluctuate due to factors such as:</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revenues and earnings and those of publicly held containership owners or operators;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counterparty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concerning us or other containership owners or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 including taxation;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in companies operating in this industry may be equally volatile.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in our organizational documents that may discourage a change of control.</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provisions of our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Certain of these provisions provide for:</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advance notice for nominations of directors by shareholders and for shareholders to include matters to be considered at annual meetings;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2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There will be a substantial number of our common shares available for sale in the future that may adversely affect the market price of our Class A common shares.</w:t>
      </w:r>
    </w:p>
    <w:p>
      <w:pPr>
        <w:spacing w:after="0" w:line="12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Pursuant to the registration rights agreement entered into at the effective time of the Merger, Marathon’s initial stockholders and CMA CGM can demand that we register the resale of their common shares at any time. The registration and availability of such a significant number of securities for trading in the public market may have an adverse effect on the market price of our Class A common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The Class A Warrants may be exercised in the future, which would increase the number of shares eligible for future resale in the public market and would result in dilution to our shareholders.</w:t>
      </w:r>
    </w:p>
    <w:p>
      <w:pPr>
        <w:spacing w:after="0" w:line="12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There are 6,188,088 Class A warrants expiring September 1, 2013 with an exercise price of $9.25. These are owned by CMA CGM, Mr. Gross and other initial stockholders of Marathon. These warrants would likely only be exercised if the $9.25 per share exercise price is below the market price of the Class A common shares. To the extent they are exercised, additional Class A common shares will be issued, which will result in dilution to our shareholders and increase the number of shares eligible for resale in the public market. Sales of substantial numbers of such shares in the public market could adversely affect the market price of our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is required to devote substantial time to complying with public company regulations.</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will need to devote a substantial amount of time to comply with these requirements. Moreover, these rules and regulations relating to public companies will increase our legal and financial compliance costs and will make some activities more time-consuming and costly.</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a related attestation of our independent auditors. We have undertaken a comprehensive effort in preparation for compliance with Section 404, which includes the documentation, testing and review of our internal controls under the direction of our management. While we did not identify any material weaknesses or significant deficiencies in our internal controls under the current assessment, we cannot be certain at this time that all our controls will be considered effective in future assessments. Therefore, we can give no assurances that our internal control over financial reporting will satisfy regulatory requirements in the future.</w:t>
      </w:r>
    </w:p>
    <w:p>
      <w:pPr>
        <w:spacing w:after="0" w:line="11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We are a “foreign private issuer” under the NYSE rules, and as such we are entitled to exemption from certain NYSE corporate governance standards, and you may not have the same protections afforded to stockholders of companies that are subject to all of the NYSE corporate governance requirements.</w:t>
      </w:r>
    </w:p>
    <w:p>
      <w:pPr>
        <w:spacing w:after="0" w:line="13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113"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NYSE corporate governance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cause the market price of our common stock to decline.</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Subject to the rules of the NYSE, in the future, we may issue additional shares of common stock, and other equity securities of equal or senior rank, without stockholder approval, in a number of circumstances. The issuance by us of additional shares of common stock or other equity securities of equal or senior rank would have the following effects:</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may decrease;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stock may be lower;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may be diminished;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of our common stock may decline.</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stockholders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stockholders may enter into with the underwriters at the time of an offering. Subject to certain exceptions, these agreements generally restrict us and our executive officers, directors and existing stockholders from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180 days after the date of an offering prospectus without the prior written consent of the underwriter(s).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income could fail to qualify for an exemption from U.S. federal income taxation, which will reduce our cash flow.</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10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There are factual circumstances, such as the composition of our shareholder base, beyond our control that could cause us not to have the benefit of the exemption provided by Section 883 of the Code and thereby be subject to the 4% tax described above. Based on information that we have as to our shareholders and other matters, we expect to qualify for Section 883 exemption for 2011. Because the availability of the Section 883 exemption depends on matters over which we have no control, however, we can give no assurances that we will or will continue to qualify for the Section 883 exemption. See Item 10.E. “Additional Information— Taxation—Taxation of Global Ship Lease—The Section 883 exemption.”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taxed as a U.S. corporation.</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Internal Revenue Service (the “IRS”) would not seek to challenge such position, or that such a challenge would not be successful. 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 See Item 10.E. “Additional Information—Taxation— Taxation of Global Ship Lease—Possibility of taxation as a U.S. corporation” for a more comprehensive discussion of the tax consequences of us being taxed as a U.S. corporation.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adverse U.S. federal income tax consequences could arise for United States holders.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Shareholders of a “passive foreign investment company,” or PFIC, that are United States persons within the meaning of the Code, which we refer to as “United States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foreign corporation is treated as a PFIC if either (1) 75% or more of its gross income for any taxable year consists of certain types of “passive income” or</w:t>
      </w:r>
    </w:p>
    <w:p>
      <w:pPr>
        <w:spacing w:after="0" w:line="38" w:lineRule="exact"/>
        <w:rPr>
          <w:sz w:val="20"/>
          <w:szCs w:val="20"/>
          <w:color w:val="auto"/>
        </w:rPr>
      </w:pPr>
    </w:p>
    <w:p>
      <w:pPr>
        <w:ind w:right="80" w:firstLine="8"/>
        <w:spacing w:after="0" w:line="254"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4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 Correspondingly, we believe such income should not constitute passive income, and the assets owned and operated by us in connection with the production of such income (in particular, the vessels) should not constitute passive assets under the PFIC rules.</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believe there is substantial legal authority supporting our position consisting of case law and IRS pronouncements concerning the characterization of income derived from time charters as services income for other tax purposes. There is, however, no direct legal authority under the PFIC rules addressing our current and projected future operations. Accordingly, no assurance can be given that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IRS will not assert that we are a PFIC with respect to any taxable year, nor that a court would not uphold any such assertion. Moreover, no assurance can be given that we will be able to avoid PFIC classification for any future taxable year if we decide to change the nature and/or extent of our operations.</w:t>
      </w:r>
    </w:p>
    <w:p>
      <w:pPr>
        <w:spacing w:after="0" w:line="85"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our time charters. No assurance can be given that the IRS or a court of law would accept our position, and there is a risk that the IRS or a court of law could determine that the company is a PFIC.</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 IRS were to determine that we are or have been a PFIC for any taxable year, our United States shareholders will face adverse United States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United States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Information—Taxation—Taxation of Global Ship Lease—Tax Consequences of Holding Class A Common Shares—U.S. holders—Consequences of possible passive foreign investment company classification” for a more comprehensive discussion of the U.S. federal income tax consequences to United States shareholders if we were treated as a PFIC (including those applicable to United States shareholders who make a qualified electing fund or mark-to-market election).</w:t>
      </w:r>
    </w:p>
    <w:p>
      <w:pPr>
        <w:spacing w:after="0" w:line="122"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may be subject to taxation on all or part of our income in the United Kingdom, which could have a material adverse effect on our results of operations.</w:t>
      </w:r>
    </w:p>
    <w:p>
      <w:pPr>
        <w:spacing w:after="0" w:line="12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were considered to be a resident of the United Kingdom or to have a permanent establishment in the United Kingdom, all or a part of our profits could be subject to UK corporate tax, which had a maximum rate of 28% up to March 31, 2011 reducing to 26% for the year ended March 31, 2012, 24% for the year ending March 31, 2013, 23% for the year ending March 31, 2014 and 22% thereafter. We are strategically managed and controlled from outside the United Kingdom and restrict our activities within the United Kingdom. Certain intra-group services are provided from within the United Kingdom and UK corporate tax will be payable on the arms-length price for those services. The appropriate arms-length price in these circumstances is likely to be a matter of negotiation with the UK taxing authorities.</w:t>
      </w:r>
    </w:p>
    <w:p>
      <w:pPr>
        <w:spacing w:after="0" w:line="14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Because some administrative and executive services are provided to us by a subsidiary company located in the United Kingdom and certain of our directors reside in the United Kingdom, and because UK statutory and case law fail to definitively identify the activities that constitute a trade being carried on in the United Kingdom through a permanent establishment, the UK taxing authorities may contend that we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taxes which will reduce our cash flow.</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tax in certain jurisdictions in which we are organized, own assets or have operations, which reduces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further reducing the cash available for distribution.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are a Republic of the Marshall Islands corporation that owns a fleet of modern containerships of a range of sizes. Our business is to charter out our fleet under long-term, fixed-rate charters to reputable container shipping companies to generate stable revenues and predictable cashflows.</w:t>
      </w:r>
    </w:p>
    <w:p>
      <w:pPr>
        <w:spacing w:after="0" w:line="85" w:lineRule="exact"/>
        <w:rPr>
          <w:sz w:val="20"/>
          <w:szCs w:val="20"/>
          <w:color w:val="auto"/>
        </w:rPr>
      </w:pPr>
    </w:p>
    <w:p>
      <w:pPr>
        <w:ind w:right="240"/>
        <w:spacing w:after="0" w:line="312" w:lineRule="auto"/>
        <w:rPr>
          <w:sz w:val="20"/>
          <w:szCs w:val="20"/>
          <w:color w:val="auto"/>
        </w:rPr>
      </w:pPr>
      <w:r>
        <w:rPr>
          <w:rFonts w:ascii="Arial" w:cs="Arial" w:eastAsia="Arial" w:hAnsi="Arial"/>
          <w:sz w:val="15"/>
          <w:szCs w:val="15"/>
          <w:color w:val="auto"/>
        </w:rPr>
        <w:t>We were formed in 2007 to purchase and charter back containerships then owned or to be purchased by CMA CGM. Pursuant to an asset purchase agreement dated December 5, 2007 (the “asset purchase agreement”) with CMA CGM and certain of its vessel-owning subsidiaries, we acquired from CMA CGM our current fleet of 17 containerships between December 2007 and August 2009. All of the vessels are time chartered to CMA CGM for initial terms between five and 17 years equal to a weighted average remaining term of 8.3 years at December 31, 2011 and an average age weighted by TEU capacity of 7.8 years, below the weighted average age of the global fleet of 8.3 years. Our management team undertakes all management of our fleet and supervises the day-to-day ship management of our vessels which is currently provided by CMA Ships, a wholly owned subsidiary of CMA CGM, pursuant to ship management agreements, with an agreement to cap the reimbursement by us of expenses incurred on our behalf providing us with a predictable cost structure.</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March 21, 2008, Global Ship Lease entered into a merger agreement pursuant to which Marathon Acquisition Corp. (“Marathon”) and Global Ship Lease, then a subsidiary of CMA CGM, merged with and into GSL Holdings, Inc. (“GSL Holdings”), Marathon’s newly-formed wholly owned Marshall Islands subsidiary, with GSL Holdings (now renamed Global Ship Lease, Inc.) continuing as the surviving company incorporated in the Republic of the Marshall Islands (collectively, “Merger”). The Merger was consummated on August 14, 2008.</w:t>
      </w:r>
    </w:p>
    <w:p>
      <w:pPr>
        <w:spacing w:after="0" w:line="143"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at an exercise price of $9.25, and $18,570,135 in cash. The rights of holders of Class B common shares are identical to those of holders of Class A common shares subject to meeting certain tests, except that the holders of Class B common shares were not entitled to receive any dividends with respect to any quarter prior to the fourth quarter of 2008 and their dividend rights were subordinated to those of holders of Class A common shares until at least the third quarter of 2011. The Class B common shares continue to be subordinated. The Class C common shares automatically converted into Class A common shares on a one-for-one basis on January 1, 2009. Pursuant to the Merger, CMA CGM holds approximately 45% of our outstanding common shares. See</w:t>
      </w:r>
    </w:p>
    <w:p>
      <w:pPr>
        <w:spacing w:after="0" w:line="4" w:lineRule="exact"/>
        <w:rPr>
          <w:sz w:val="20"/>
          <w:szCs w:val="20"/>
          <w:color w:val="auto"/>
        </w:rPr>
      </w:pPr>
    </w:p>
    <w:p>
      <w:pPr>
        <w:ind w:right="5300"/>
        <w:spacing w:after="0" w:line="489" w:lineRule="auto"/>
        <w:rPr>
          <w:sz w:val="20"/>
          <w:szCs w:val="20"/>
          <w:color w:val="auto"/>
        </w:rPr>
      </w:pPr>
      <w:r>
        <w:rPr>
          <w:rFonts w:ascii="Arial" w:cs="Arial" w:eastAsia="Arial" w:hAnsi="Arial"/>
          <w:sz w:val="16"/>
          <w:szCs w:val="16"/>
          <w:color w:val="auto"/>
        </w:rPr>
        <w:t>Item 7.A. “Major Shareholders and Related Party Transactions – Major Shareholders.” Our Class A common shares are listed on the NYSE under the symbol “GSL”.</w:t>
      </w:r>
    </w:p>
    <w:p>
      <w:pPr>
        <w:ind w:right="620"/>
        <w:spacing w:after="0" w:line="268" w:lineRule="auto"/>
        <w:rPr>
          <w:sz w:val="20"/>
          <w:szCs w:val="20"/>
          <w:color w:val="auto"/>
        </w:rPr>
      </w:pPr>
      <w:r>
        <w:rPr>
          <w:rFonts w:ascii="Arial" w:cs="Arial" w:eastAsia="Arial" w:hAnsi="Arial"/>
          <w:sz w:val="18"/>
          <w:szCs w:val="18"/>
          <w:color w:val="auto"/>
        </w:rPr>
        <w:t>The mailing address of our principal executive office is c/o Global Ship Lease Services Limited, Portland House, Stag Place, London SW1E 5RS, United Kingdom, and our telephone number is 44 (0) 20 7869 8006.</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Business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fleet, as of December 31, 2011, consisted of 17 containerships with an aggregate capacity of 66,349 TEU and a weighted average age of approximately 7.8 years and a non-weighted average age of 8.9 years.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our current fleet. Each vessel is on charter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Remaining</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Charter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4660" w:type="dxa"/>
            <w:vAlign w:val="bottom"/>
            <w:vMerge w:val="restart"/>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Size</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Classification</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Commencement</w:t>
            </w:r>
          </w:p>
        </w:tc>
        <w:tc>
          <w:tcPr>
            <w:tcW w:w="840" w:type="dxa"/>
            <w:vAlign w:val="bottom"/>
            <w:gridSpan w:val="2"/>
          </w:tcPr>
          <w:p>
            <w:pPr>
              <w:jc w:val="center"/>
              <w:ind w:right="220"/>
              <w:spacing w:after="0" w:line="163" w:lineRule="exact"/>
              <w:rPr>
                <w:sz w:val="20"/>
                <w:szCs w:val="20"/>
                <w:color w:val="auto"/>
              </w:rPr>
            </w:pPr>
            <w:r>
              <w:rPr>
                <w:rFonts w:ascii="Arial" w:cs="Arial" w:eastAsia="Arial" w:hAnsi="Arial"/>
                <w:sz w:val="12"/>
                <w:szCs w:val="12"/>
                <w:b w:val="1"/>
                <w:bCs w:val="1"/>
                <w:color w:val="auto"/>
                <w:w w:val="97"/>
              </w:rPr>
              <w:t xml:space="preserve">Period </w:t>
            </w:r>
            <w:r>
              <w:rPr>
                <w:rFonts w:ascii="Arial" w:cs="Arial" w:eastAsia="Arial" w:hAnsi="Arial"/>
                <w:sz w:val="18"/>
                <w:szCs w:val="18"/>
                <w:b w:val="1"/>
                <w:bCs w:val="1"/>
                <w:color w:val="auto"/>
                <w:w w:val="97"/>
                <w:vertAlign w:val="superscript"/>
              </w:rPr>
              <w:t>(1)</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Net Daily</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8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(TEU)</w:t>
            </w: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Built</w:t>
            </w:r>
          </w:p>
        </w:tc>
        <w:tc>
          <w:tcPr>
            <w:tcW w:w="16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4"/>
              </w:rPr>
              <w:t>Society</w:t>
            </w:r>
          </w:p>
        </w:tc>
        <w:tc>
          <w:tcPr>
            <w:tcW w:w="13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of Charter</w:t>
            </w:r>
          </w:p>
        </w:tc>
        <w:tc>
          <w:tcPr>
            <w:tcW w:w="8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(years)</w:t>
            </w: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Ville d’Orion</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1997</w:t>
            </w:r>
          </w:p>
        </w:tc>
        <w:tc>
          <w:tcPr>
            <w:tcW w:w="3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Bureau Veritas</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December 2007</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28,500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1996</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28,500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1999</w:t>
            </w:r>
          </w:p>
        </w:tc>
        <w:tc>
          <w:tcPr>
            <w:tcW w:w="1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1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Kumasi</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1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Marie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La Tour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CMA CGM Manet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1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January 2008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January 2008</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9.0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11,040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1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14.0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47,200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Germanischer Lloyd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11.0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1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Lloyd’s Register</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Lloyd’s Register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11.0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Bureau Veritas</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August 2009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2011. Plus or minus 90 days at charterer’s option.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and cargo handling charges.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of the vessels in our current fleet is subject to a long-term time charter with CMA CGM. We have separate subsidiaries to own each vessel in our fleet. We guarantee the obligations of each of our subsidiaries under the charters. Each of our charters commenced on each vessel’s delivery. Due to different delivery dates and durations, our charters will expire on different dates and over a period of time. We believe the staggered expirations of our charters will reduce our exposure to rechartering risk upon expiration of our initial charters and may mitigate the impact of the cyclical nature of the container shipping industry. The charters had initial terms of five to 17 years (plus or minus 90 days at charterer’s option) and our fleet has a weighted average charter period of 8.3 years remaining at December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Daily Rate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daily rate” refers to the basic payment by the charterer to the owner for the use of the vessel, net of any chartering commission (if applicable). Under all of the time charters for our current fleet, hire is payable to us in advance every 15 days in United States dollars. The net daily rate is a fixed daily amount that will remain the same for the duration of the charter, although in certain circumstances the charter rate can increase. For example, under the global expense agreement, CMA CGM has agreed, effective as of the fourth year of each charter agreement and provided that CMA Ships is no longer our ship manager, to compensate us for any vessel in our fleet on charter to CMA CGM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owner,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and the global expense agreement with our ship manager.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vessels in the current fleet, costs incurred due to structural changes because of changes in legal, classification society or regulatory requirements regarding the vessel shall be paid by us although if the annual costs aggregate to more than $100,000 for each vessel impacted by such changes, CMA CGM will compensate us through an increase in charterhire.</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charter agreements for vessels in the current fleet stipulate that CMA CGM should reimburse us for any costs of war risks insurance additional premiums and additional crew expenses, if any, that are applicable if it acts outside the insurance limits and for entering areas which are specified by the insurance underwriters as being subject to additional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Pursuant to the terms of the time charter, CMA CGM has a right of first refusal to purchase the vessel at matching terms to any offer of any third party if we decide to sell the vessel during, or at the end of, the charter period. Should CMA CGM not exercise its right of first refusal in case of a sale during the charter period, we will be entitled to sell the vessel, subject to CMA CGM’s approval, which shall not be unreasonably withheld. CMA CGM has the right to reject a sale of a vessel to owners whose business or shareholding is determined to be detrimental or contrary to its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time charter, when the vessel is not available for service, and is “off-hire,” CMA CGM generally is not required to pay charter hire (unless CMA CGM is responsible for the circumstances giving rise to the ship’s unavailability), and we are responsible for costs during any off-hire period, and possible additional costs of fuel to regain lost time. A vessel generally will be deemed to be off-hire if there is an occurrence that affects the full working condition of the vessel, such as:</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CMA CGM’s lost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 pursuant to the terms of the ship management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If a vessel in the current fleet is off-hire for more than 90 consecutive days, then CMA CGM may cancel the charter without any further consequential claims provided the vessel is free of cargo.</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 vessel’s fuel consumption is increased for a prolonged period above a specified percentage or speed is decreased below a specified level, the time charter provides that hire payments under the time charter may be adjusted until or unless the speed and fuel consumption return to the level specified in the time charter. If a vessel’s fuel consumption exceeds a higher percentage than the percentages specified in the charter over a continuous period of 30 days, and the reason is within our or the vessel’s control, CMA CGM may request that we cure the deficiency. If the deficiency is not cured within 30 days after we receive notice, then CMA CGM may terminate the charter.</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either party informs the other party of a default under the charter, and the default is not rectified within 60 days of such notice, then the party giving the notice has the right to terminate the time charter with respect to that vessel.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suspend the performance of our obligations under the charter if CMA CGM defaults on its payment obligations under the charter.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CMA Ships, a subsidiary of CMA CGM, provides day-to-day technical ship management services, including purchasing, crewing, provision of lubricating oil, vessel maintenance including arranging drydocking inspections and ensuring compliance with flag, class and other statutory requirements necessary to support our business. CMA CGM guarantees the performance of all services and any payment due to us by CMA Ships pursuant to the ship management agreements.</w:t>
      </w:r>
    </w:p>
    <w:p>
      <w:pPr>
        <w:spacing w:after="0" w:line="88" w:lineRule="exact"/>
        <w:rPr>
          <w:sz w:val="20"/>
          <w:szCs w:val="20"/>
          <w:color w:val="auto"/>
        </w:rPr>
      </w:pPr>
    </w:p>
    <w:p>
      <w:pPr>
        <w:jc w:val="both"/>
        <w:ind w:right="180"/>
        <w:spacing w:after="0" w:line="303" w:lineRule="auto"/>
        <w:rPr>
          <w:sz w:val="20"/>
          <w:szCs w:val="20"/>
          <w:color w:val="auto"/>
        </w:rPr>
      </w:pPr>
      <w:r>
        <w:rPr>
          <w:rFonts w:ascii="Arial" w:cs="Arial" w:eastAsia="Arial" w:hAnsi="Arial"/>
          <w:sz w:val="15"/>
          <w:szCs w:val="15"/>
          <w:color w:val="auto"/>
        </w:rPr>
        <w:t>We pay CMA Ships an annual management fee of $114,000 per vessel. Under the ship management agreements, our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We reimburse the ship manager for costs it incurs on our behalf.</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However, such cost reimbursement is capped on a quarterly basis pursuant to the global expense agreement described in more detail below in “Global Expense Agreement.” Each ship management agreement provides that we have the right to audit the accounts of our ship manager to verify the costs incurred. CMA Ships has agreed to maintain our vessels so that they remain in class with valid certification. In addition, they are responsible for our current fleet’s compliance with all government and other regulations, and compliance with class certifications.</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CMA Ships has established an accounting system and maintains the records of all costs and expenditures incurred as well as data necessary for the settlement of accounts between parties.</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CMA Ships is required to use its best endeavors to provide the services specified in the ship management agreements. Pursuant to the terms of the ship management agreements, we indemnify CMA Ships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CMA Ships, its employees, agents and sub-contractors.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CMA Ships is not permitted to sub-contract its obligations under the ship management agreements without our consent, which we will not unreasonably withhold. With our consent, CMA Ships has sub-contracted all of its management services under its ship management agreements to its UK subsidiary, CMA Ships UK. Our ship management agreements with CMA Ships have a term of three years from delivery of each vessel, subject to the termination rights set forth below. However, the ship management agreements provide that they remain in place after their third anniversary and may thereafter be terminated by either party on two months written notice.</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ship management agreements are cancelable by us if CMA Ships fails to meet its obligations for any reason within its control and fails to remedy the default. In addition, as all of the ship management agreements have been in effect for more than one year, we are able to terminate the agreements on three months’ notice if we can secure more competitive pricing from a recognized third party, approved by CMA CGM as charterer of the vessels, such approval not to be unduly withheld, subject to CMA Ships’ right to match the third party’s terms.</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CMA Ships can terminate the agreement prior to the end of its term if, among other things: (a) it has not been paid within 30 days of a written request for payment (and we fail to remedy such default) or (b) we undergo a change in control.</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arrange for insurance coverage for each of our vessels, including hull and machinery insurance, protection and indemnity insurance and war risk insurance.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are responsible for the payment of all premiums.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Pursuant to the ship management agreements with CMA Ships, ship operating expenses incurred by it on our behalf in the operation of our vessels will be reimbursed. Pursuant to the global expense agreement that we entered into with CMA Ships, these expenses will be subject to a quarterly cap. Drydocking expenses and insurance premiums are not included in the cap arrangements. For each quarterly period, CMA Ships bears the amount (if any) by which the actual aggregate expenses, excluding drydocking expenses and insurance premiums and costs of accidents and incidents, incurred with respect to all vessels in service exceed the aggregate cap for such quarterly period. The table below sets out the per diem cap per vessel.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95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 xml:space="preserve">Per Diem Cap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r>
      <w:tr>
        <w:trPr>
          <w:trHeight w:val="203"/>
        </w:trPr>
        <w:tc>
          <w:tcPr>
            <w:tcW w:w="10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Ville d’Orion</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100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00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000" w:type="dxa"/>
            <w:vAlign w:val="bottom"/>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000" w:type="dxa"/>
            <w:vAlign w:val="bottom"/>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Once our ship management agreements and the global expense agreement with our Ship Manager expire or are terminated, we may not be able to negotiate similar terms in replacement agreements.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Also in the global expense agreement, CMA CGM has agreed, provided that CMA Ships is no longer the ship manager and therefore the cap arrangements are no longer applicable, effective as of the fourth year of each charter agreement, to compensate us, for any vessel in our current fleet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a senior secured credit facility with ABN AMRO Bank N.V. (also the “Agent”), Citibank Global Markets Limited, HSH Nordbank AG, Sumitomo Mitsui Banking Corporation, Brussels Branch, KFW Ipex Bank GmbH, DnB NOR Bank ASA and Bank of Scotland plc, which we refer to as our credit facility. We drew funds under our credit facility to finance in part the purchase of our vessels from CMA CGM. All of our subsidiaries are included as borrowers and guarantors jointly and severally guaranteeing our obligations under the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facility was entered into in 2007 and was originally an $800 million revolving facility, non amortizing for five years and with a term of eight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Due to the possibility that we would exceed the maximum permitted leverage ratio under the credit facility as a result of the declines in market values of our vessels from mid 2008 due to adverse market conditions, our lenders agreed to enter into an Amendment and Restatement Agreement to the Credit Facility, dated August 20, 2009 (the Credit Facility Amendment) whereby, effective as of August 20, 2009, the credit facility effectively became an amortizing term loan of approximately $600 million with an unchanged final maturity date of August 14, 2016. Under the Credit Facility Amendment, prepayments were accelerated and the undrawn portion of the credit facility amounting to approximately $200.0 million was cancelled. Consequently, there is no undrawn capacity under the credit facility.</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Credit Facility Amendment, the maximum 75% leverage ratio would not apply until the leverage ratio was first tested after the expiration of the waiver period which was up to and including November 30, 2010. Consequently the first such test was scheduled to be as of April 30, 2011. Commencing June 30, 2010 the credit facility was repaid quarterly in an amount equal to free cash in excess of $20.0 million determined as at the previous month end subject to a minimum of $40.0 million repayment a year on a rolling 12 month trailing basis as long as the leverage ratio is, or is deemed to be, over 75%. When the leverage ratio becomes 75% or less, scheduled repayments would be fixed at $10.0 million per quarter. In addition, the fixed interest margin to be paid over LIBOR was agreed to be 3.50% during the waiver period.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is reduced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we agreed that we would not declare or pay any dividends to common shareholders during the waiver period or thereafter unless the leverage ratio is 75% or below.</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the Credit Facility Amendment, CMA CGM agreed to defer the redemption of the $48.0 million preferred shares until after the final maturity of the credit facility remains August 14,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Ratio and Credit Facility Waiver</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leverage ratio was tested as at April 30, 2011, when it was 75% or less. Consequently repayments of the credit facility became set at $10.0 million per quarter and the fixed interest margin to be paid over LIBOR reduced to 3.00%.</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anticipation of the scheduled test of the leverage ratio as at November 30, 2011 when we expected that it would be between 75% and 90%, due to declines in market values of our vessels, we agreed the Credit Facility Waiver with our lenders to waive the requirement to perform the leverage ratio test until November 30, 2012. Under the terms of the waiver, the fixed interest margin to be paid over LIBOR increased to 3.50%, prepayments are required to be made quarterly based on cash flow as described above and dividends on common shares cannot be paid.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our credit facility, net of surplus cash held in the retention account, to the aggregate charter-free market value of the vessels securing the credit facility plus the value of any other security held by the lenders.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If no current valuations are available at the relevant time, the leverage ratio will be assumed to be over 100%. Set forth below is the margin that applies for the relevant leverage ratio once the fixed margin period expires.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Leverage Ratio</w:t>
            </w:r>
          </w:p>
        </w:tc>
        <w:tc>
          <w:tcPr>
            <w:tcW w:w="98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10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Up to 65%</w:t>
            </w: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780" w:type="dxa"/>
            <w:vAlign w:val="bottom"/>
            <w:gridSpan w:val="2"/>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Greater than 65% up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we must hedge at least 50% of the amounts outstanding under the credit facility. We hedged, prior to the Merger, the majority of the amounts anticipated to be outstanding under the credit facility.</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Until undrawn commitments were cancelled pursuant to the Credit Facility Amendment, we paid a commitment fee of 0.50% per annum on the undrawn portion of the credit facility. We are responsible for the duly justified costs properly incurred in connection with the maintenance of the credit facility.</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are permitted to make voluntary early prepayments that can reduce subsequent prepayment obligations. Any amount outstanding under the credit facility at the final maturity date on August 14, 2016 must be repaid in one installment.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requires that borrowings under the credit facility are secured by the following:</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first priority pledge over our bank accounts, and those of our subsidiaries owning vessels in the security package, which are held with the Agent;</w:t>
      </w:r>
    </w:p>
    <w:p>
      <w:pPr>
        <w:spacing w:after="0" w:line="113"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cross-collateralized first priority mortgages on each of the vessels in the security package registered or flagged in a jurisdiction acceptable to the lenders;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marine and war risks insurance covering a minimum of 110% of the outstanding credit facility amount;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 priority assignment of time charter contracts, in respect of the vessels in the security package;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first priority assignment of insurances in respect of each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first priority pledge over the shares of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guarantees for our obligations from guarantors being our subsidiaries under this credit facility;</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first priority assignment of the unconditional and irrevocable corporate guarantee from CMA CGM to us for the obligations of CMA CGM, under the time charters, in cases where the charterer is a subsidiary of CMA CGM;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first priority assignment of the management agreements for the vessels in the security package;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first priority (general) assignment of the earnings of the vessels in the security package.</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the event of either the sale or total loss of a vessel, the amount available for us to borrow under our credit facility will be reduced so that our borrowings under the credit facility does not exceed 70% of the market value of the remaining vessels that secure our obligations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contains covenants that require us to ensure, among other things, that:</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employment details of additional vessels that we acquire are given to the Agent;</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technical and/or operational management of all the vessels secured under this facility and/or the supervisor in respect of newbuildings to be executed by CMA CGM or any of its wholly owned subsidiaries, or any other company internationally recognized and acceptable to the Agent;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earnings accounts in relation to the vessels and retention account are held with the Agent;</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vessels are in class, free of any material overdue recommendations, and the classification society is part of the IACS. No change of class without the prior written consent of the Agent, such consent not to be unreasonably withheld;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only to be involved in the business of ownership of vessels, technical and commercial management of such vessels and related activities;</w:t>
      </w:r>
    </w:p>
    <w:p>
      <w:pPr>
        <w:spacing w:after="0" w:line="113" w:lineRule="exact"/>
        <w:rPr>
          <w:rFonts w:ascii="Arial" w:cs="Arial" w:eastAsia="Arial" w:hAnsi="Arial"/>
          <w:sz w:val="16"/>
          <w:szCs w:val="16"/>
          <w:color w:val="auto"/>
        </w:rPr>
      </w:pPr>
    </w:p>
    <w:p>
      <w:pPr>
        <w:jc w:val="both"/>
        <w:ind w:left="900" w:right="2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charter-in vessels, lease vessels or enter into any similar arrangement without the prior written approval of the Agent, other than time chartering up to three months, such consent not to be unreasonably withheld, unless the arrangement is with or to us or our subsidiaries, in which case no approval from the Agent shall be required;</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provide a list of acceptable flags approved by the Agent. We may change flag to another approved flag provided the Agent receives the required documentation;</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restricted from certain asset acquisitions and disposals with respect to our subsidiaries other than disposals made in the ordinary course of business of the disposing subsidiary on arms-length terms and for fair value or any disposal of assets (other than vessels) in exchange for other assets comparable or superior as to type, value and quality;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restrictions on the ability of our subsidiaries to 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will at all times comply with the International Maritime Code for the Safe Operation of Ships and for Pollution Prevention adopted by the IMO;</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no change of ownership of any of our subsidiaries;</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provide the Agent with audited annual consolidated accounts, quarterly management accounts and, in respect of each subsidiary, annual unaudited accounts as soon as they are made available, in no event later than 120 days of the year-end and 60 days of the end of each quarter. Further relevant financial information will be provided on demand;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at the same time the audited annual consolidated accounts and management accounts are due, provide the Agent with compliance certificates confirming compliance with the financial covenants. A listing of charter rates is also to be included;</w:t>
      </w:r>
    </w:p>
    <w:p>
      <w:pPr>
        <w:spacing w:after="0" w:line="50"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cannot dispose of net assets in excess of $300.0 million (of which a maximum of $200.0 million in aggregate should be in respect of our initial and contracted fleet) over any period of three consecutive calendar years other than with the consent of the Agent; and</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pay dividends if (1) no event of default has occurred or is continuing, (2) the payment of such a dividend does not trigger an event of default and (3) any payments to be made into the retention account are fully up to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contains financial covenants requiring that, among other things:</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balance on a consolidated basis must be a minimum of $15.0 million or six months’ net interest expense at all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net debt to total capitalization ratio shall not exceed 75%;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ratio of EBITDA to debt service, on a trailing four-quarter basis, shall be no less than 1.10 to 1. (Under the Credit Facility Amendment, $10.0 million per quarter is the amount of debt prepayment deemed to be the scheduled prepayment for the purposes of determining debt service);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maintain a minimum net worth of $200.0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Among other things, each of the following events with respect to us or any of our subsidiaries, in some cases after the passage of time or notice or both, is an event of default under the credit facility agreement:</w:t>
      </w:r>
    </w:p>
    <w:p>
      <w:pPr>
        <w:spacing w:after="0" w:line="5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non-payment of amounts due and payable under this credit facility within four business days of the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or our subsidiaries’ breach of our non-financial covenants and failure to remedy within seven business days of receipt of a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breach of a financial covenant;</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cross default with respect to our and our subsidiaries’ other obligations for any amount in excess of $15.0 million (with respect to us) and $10.0 million (with respect to our subsidiaries);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any person other than CMA CGM, and not agreed to by the lenders, acquires more than 51% of our outstanding voting shares;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of CMA CGM or the Charter Guarantor which is continuing in respect of three or more of the time charter contracts associated with our initial and contracted fleet or default of more than half by number of the time charters associated with any approved charterer (provided such charterer is the charterer of at least 25% of our vessels).</w:t>
      </w:r>
    </w:p>
    <w:p>
      <w:pPr>
        <w:spacing w:after="0" w:line="14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credit facility agreement provides that upon the occurrence of an event of default, the lenders may require that all amounts outstanding under the credit facility be repaid immediately and terminate our ability to borrow under the credit facility and foreclose on the mortgages over the vessels and the related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4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8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51" w:lineRule="exact"/>
        <w:rPr>
          <w:sz w:val="20"/>
          <w:szCs w:val="20"/>
          <w:color w:val="auto"/>
        </w:rPr>
      </w:pPr>
    </w:p>
    <w:p>
      <w:pPr>
        <w:ind w:left="1480" w:right="200" w:hanging="446"/>
        <w:spacing w:after="0" w:line="268"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for special equipment classed.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Intermediate Surveys</w:t>
      </w:r>
      <w:r>
        <w:rPr>
          <w:rFonts w:ascii="Arial" w:cs="Arial" w:eastAsia="Arial" w:hAnsi="Arial"/>
          <w:sz w:val="15"/>
          <w:szCs w:val="15"/>
          <w:color w:val="auto"/>
        </w:rPr>
        <w:t>. Also referred to as extended annual surveys, intermediate surveys are typically conducted two and one-half years after</w:t>
      </w:r>
    </w:p>
    <w:p>
      <w:pPr>
        <w:spacing w:after="0" w:line="49" w:lineRule="exact"/>
        <w:rPr>
          <w:rFonts w:ascii="Arial" w:cs="Arial" w:eastAsia="Arial" w:hAnsi="Arial"/>
          <w:sz w:val="15"/>
          <w:szCs w:val="15"/>
          <w:color w:val="auto"/>
        </w:rPr>
      </w:pPr>
    </w:p>
    <w:p>
      <w:pPr>
        <w:ind w:left="1480"/>
        <w:spacing w:after="0" w:line="288" w:lineRule="auto"/>
        <w:rPr>
          <w:rFonts w:ascii="Arial" w:cs="Arial" w:eastAsia="Arial" w:hAnsi="Arial"/>
          <w:sz w:val="15"/>
          <w:szCs w:val="15"/>
          <w:color w:val="auto"/>
        </w:rPr>
      </w:pPr>
      <w:r>
        <w:rPr>
          <w:rFonts w:ascii="Arial" w:cs="Arial" w:eastAsia="Arial" w:hAnsi="Arial"/>
          <w:sz w:val="16"/>
          <w:szCs w:val="16"/>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we intend to conduct in-water inspections when that option is available to it.</w:t>
      </w:r>
    </w:p>
    <w:p>
      <w:pPr>
        <w:spacing w:after="0" w:line="41" w:lineRule="exact"/>
        <w:rPr>
          <w:rFonts w:ascii="Arial" w:cs="Arial" w:eastAsia="Arial" w:hAnsi="Arial"/>
          <w:sz w:val="15"/>
          <w:szCs w:val="15"/>
          <w:color w:val="auto"/>
        </w:rPr>
      </w:pPr>
    </w:p>
    <w:p>
      <w:pPr>
        <w:ind w:left="1480" w:right="200" w:hanging="446"/>
        <w:spacing w:after="0" w:line="318" w:lineRule="auto"/>
        <w:tabs>
          <w:tab w:leader="none" w:pos="148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Class Renewal Surveys</w:t>
      </w:r>
      <w:r>
        <w:rPr>
          <w:rFonts w:ascii="Arial" w:cs="Arial" w:eastAsia="Arial" w:hAnsi="Arial"/>
          <w:sz w:val="15"/>
          <w:szCs w:val="15"/>
          <w:color w:val="auto"/>
        </w:rPr>
        <w:t>. Class renewal surveys, also known as special surveys, are carried out typically every five years on the ship’s hull,</w:t>
      </w:r>
      <w:r>
        <w:rPr>
          <w:rFonts w:ascii="Arial" w:cs="Arial" w:eastAsia="Arial" w:hAnsi="Arial"/>
          <w:sz w:val="15"/>
          <w:szCs w:val="15"/>
          <w:i w:val="1"/>
          <w:iCs w:val="1"/>
          <w:color w:val="auto"/>
        </w:rPr>
        <w:t xml:space="preserve"> </w:t>
      </w:r>
      <w:r>
        <w:rPr>
          <w:rFonts w:ascii="Arial" w:cs="Arial" w:eastAsia="Arial" w:hAnsi="Arial"/>
          <w:sz w:val="15"/>
          <w:szCs w:val="15"/>
          <w:color w:val="auto"/>
        </w:rPr>
        <w:t>machinery, including the electrical plant, and any special equipment classed, at the intervals indicated by the character of classification for the hull. Vessels are required to be inspected in a drydock as part of the special survey.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94" w:lineRule="auto"/>
        <w:rPr>
          <w:sz w:val="20"/>
          <w:szCs w:val="20"/>
          <w:color w:val="auto"/>
        </w:rPr>
      </w:pPr>
      <w:r>
        <w:rPr>
          <w:rFonts w:ascii="Arial" w:cs="Arial" w:eastAsia="Arial" w:hAnsi="Arial"/>
          <w:sz w:val="16"/>
          <w:szCs w:val="16"/>
          <w:color w:val="auto"/>
        </w:rPr>
        <w:t>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is still required at the fifth year anniversary to inspect underwater parts. The process of continuous class renewal spreads out the required inspections and their associated cost, while the vessel is still in service, and reduces the amount of inspection required each fifth year.</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condition for obtaining insurance coverage, each of our vessels needs to be certified “in class” by a member of the IACS. Generally, if recommendations are not sufficiently corrected as determined by a member of the IACS, then the vessel may not remain “in class.” If a vessel is not “in class,” it may not be covered by insurance, and may not be available for charter. In addition, our vessels must remain “in class” as a condition to obtaining financing from the lenders under our credit facility.</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lists the month by which the vessels in our fleet need to have completed their next drydocking, taking into account the three drydockings completed so far in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924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8"/>
              </w:rPr>
              <w:t>Drydocking Month*</w:t>
            </w:r>
          </w:p>
        </w:tc>
      </w:tr>
      <w:tr>
        <w:trPr>
          <w:trHeight w:val="203"/>
        </w:trPr>
        <w:tc>
          <w:tcPr>
            <w:tcW w:w="10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Ville d’Orion</w:t>
            </w: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January 2017</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1400" w:type="dxa"/>
            <w:vAlign w:val="bottom"/>
          </w:tcPr>
          <w:p>
            <w:pPr>
              <w:spacing w:after="0"/>
              <w:rPr>
                <w:sz w:val="20"/>
                <w:szCs w:val="20"/>
                <w:color w:val="auto"/>
              </w:rPr>
            </w:pPr>
            <w:r>
              <w:rPr>
                <w:rFonts w:ascii="Arial" w:cs="Arial" w:eastAsia="Arial" w:hAnsi="Arial"/>
                <w:sz w:val="18"/>
                <w:szCs w:val="18"/>
                <w:color w:val="auto"/>
              </w:rPr>
              <w:t>December 2016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2014</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1400" w:type="dxa"/>
            <w:vAlign w:val="bottom"/>
          </w:tcPr>
          <w:p>
            <w:pPr>
              <w:spacing w:after="0"/>
              <w:rPr>
                <w:sz w:val="20"/>
                <w:szCs w:val="20"/>
                <w:color w:val="auto"/>
              </w:rPr>
            </w:pPr>
            <w:r>
              <w:rPr>
                <w:rFonts w:ascii="Arial" w:cs="Arial" w:eastAsia="Arial" w:hAnsi="Arial"/>
                <w:sz w:val="18"/>
                <w:szCs w:val="18"/>
                <w:color w:val="auto"/>
              </w:rPr>
              <w:t>December 2014</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March 2013</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1400" w:type="dxa"/>
            <w:vAlign w:val="bottom"/>
          </w:tcPr>
          <w:p>
            <w:pPr>
              <w:spacing w:after="0"/>
              <w:rPr>
                <w:sz w:val="20"/>
                <w:szCs w:val="20"/>
                <w:color w:val="auto"/>
              </w:rPr>
            </w:pPr>
            <w:r>
              <w:rPr>
                <w:rFonts w:ascii="Arial" w:cs="Arial" w:eastAsia="Arial" w:hAnsi="Arial"/>
                <w:sz w:val="18"/>
                <w:szCs w:val="18"/>
                <w:color w:val="auto"/>
              </w:rPr>
              <w:t>November 2012</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2017</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1400" w:type="dxa"/>
            <w:vAlign w:val="bottom"/>
          </w:tcPr>
          <w:p>
            <w:pPr>
              <w:spacing w:after="0"/>
              <w:rPr>
                <w:sz w:val="20"/>
                <w:szCs w:val="20"/>
                <w:color w:val="auto"/>
              </w:rPr>
            </w:pPr>
            <w:r>
              <w:rPr>
                <w:rFonts w:ascii="Arial" w:cs="Arial" w:eastAsia="Arial" w:hAnsi="Arial"/>
                <w:sz w:val="18"/>
                <w:szCs w:val="18"/>
                <w:color w:val="auto"/>
              </w:rPr>
              <w:t>June 2016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October 2016</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400" w:type="dxa"/>
            <w:vAlign w:val="bottom"/>
          </w:tcPr>
          <w:p>
            <w:pPr>
              <w:spacing w:after="0"/>
              <w:rPr>
                <w:sz w:val="20"/>
                <w:szCs w:val="20"/>
                <w:color w:val="auto"/>
              </w:rPr>
            </w:pPr>
            <w:r>
              <w:rPr>
                <w:rFonts w:ascii="Arial" w:cs="Arial" w:eastAsia="Arial" w:hAnsi="Arial"/>
                <w:sz w:val="18"/>
                <w:szCs w:val="18"/>
                <w:color w:val="auto"/>
              </w:rPr>
              <w:t>June 2012</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2012</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400" w:type="dxa"/>
            <w:vAlign w:val="bottom"/>
          </w:tcPr>
          <w:p>
            <w:pPr>
              <w:spacing w:after="0"/>
              <w:rPr>
                <w:sz w:val="20"/>
                <w:szCs w:val="20"/>
                <w:color w:val="auto"/>
              </w:rPr>
            </w:pPr>
            <w:r>
              <w:rPr>
                <w:rFonts w:ascii="Arial" w:cs="Arial" w:eastAsia="Arial" w:hAnsi="Arial"/>
                <w:sz w:val="18"/>
                <w:szCs w:val="18"/>
                <w:color w:val="auto"/>
              </w:rPr>
              <w:t>December 2012</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December 2013</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400" w:type="dxa"/>
            <w:vAlign w:val="bottom"/>
          </w:tcPr>
          <w:p>
            <w:pPr>
              <w:spacing w:after="0"/>
              <w:rPr>
                <w:sz w:val="20"/>
                <w:szCs w:val="20"/>
                <w:color w:val="auto"/>
              </w:rPr>
            </w:pPr>
            <w:r>
              <w:rPr>
                <w:rFonts w:ascii="Arial" w:cs="Arial" w:eastAsia="Arial" w:hAnsi="Arial"/>
                <w:sz w:val="18"/>
                <w:szCs w:val="18"/>
                <w:color w:val="auto"/>
              </w:rPr>
              <w:t>September 2016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400" w:type="dxa"/>
            <w:vAlign w:val="bottom"/>
          </w:tcPr>
          <w:p>
            <w:pPr>
              <w:spacing w:after="0"/>
              <w:rPr>
                <w:sz w:val="20"/>
                <w:szCs w:val="20"/>
                <w:color w:val="auto"/>
              </w:rPr>
            </w:pPr>
            <w:r>
              <w:rPr>
                <w:rFonts w:ascii="Arial" w:cs="Arial" w:eastAsia="Arial" w:hAnsi="Arial"/>
                <w:sz w:val="18"/>
                <w:szCs w:val="18"/>
                <w:color w:val="auto"/>
              </w:rPr>
              <w:t>September 2016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month of drydocking assume that the vessels qualify for in-water inspections at the intermediate survey.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including CMA CGM and its subsidiaries, to, among other things, purchase newbuildings and secondhand vessels to grow our fleet.</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expect substantial competition in obtaining new containership charters from a number of experienced and substantial companies. Many of these competitors may have greater financial resources than us, and may also operate larger fleets and may be able to offer better charter rates. Due to the recent industry downturn, there have been an increased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we may be unable to purchase additional containerships, expand our relationships with CMA CGM or to obtain new charterers on a profitable basis, if at all, which would have a material adverse effect on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 For example, the Delmas Keta, Julie Delmas, Kumasi and Marie Delmas have not been certified to comply with all United States, Canadian and Panama Canal regulations, as CMA CGM does not intend to operate them in these waters.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96"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Government regulation significantly affects the ownership and operation of vessels. We are subject to international conventions and codes, and national, state and local laws and regulations in force in the countries in which our vessels may operate or are registered, including those governing the management and disposal of hazardous substances and wastes, the cleanup of oil spills and other contamination, air emissions, and water discharges and ballast water management.</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Compliance with these laws, regulations and other requirements entails significant expense, including vessel modifications and implementation of certain operating procedures, and are subject to frequent change.</w:t>
      </w:r>
    </w:p>
    <w:p>
      <w:pPr>
        <w:spacing w:after="0" w:line="13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A variety of governmental and private entities subject our vessels to both scheduled and unscheduled inspections. These entities include the local port authorities, United States Coast Guard, harbor master or equivalent, classification societies, flag state administrations, country of registry, charterers, and terminal operators. Certain of these entities require us to obtain permits, licenses and certificates for the operation of our vessels. Failure to maintain necessary permits or approvals could require us to incur substantial penalties, costs or temporarily suspend the operation of one or more of our vessels in one or more ports.</w:t>
      </w:r>
    </w:p>
    <w:p>
      <w:pPr>
        <w:spacing w:after="0" w:line="98"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We believe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8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Increasing environmental concerns have created a demand for vessels that conform to the stricter environmental standards. We will be required to maintain operating standards for all of our vessels that emphasize operational safety, quality maintenance, continuous training of our officers and crews and compliance with United States and international regulations. Because such laws and regulations are changed frequently and may impose increasingly strict requirements, future environmental regulations may limit our ability to do business, increase our operating costs, force the early retirement of our vessels and/or affect their resale value, all of which could have a material adverse affect on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90"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Our vessels are subject to standards imposed by the International Maritime Organization, or IMO, the United Nations agency for maritime safety and the prevention of pollution by ships. The IMO has negotiated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10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sulphur oxide, nitrogen oxide, carbon dioxide and particulate matter emissions from ship exhausts and prohibits deliberate emissions of ozone depleting substances, such as chlorofluorocarbons. Annex VI also includes a global cap on the sulphur content of fuel oil and allows for special areas to be established with more stringent controls on sulphur emissions. We have registered the vessels in our fleet in flag states that have ratified Annex VI, which require that we obtain International Air Pollution Prevention Certificates, or IAPP Certificates, for the vessels in our fleet, from those flag states. As of December 31, 2011, all of the vessels in the fleet had IAPP Certificates. On July 21, 2008, the United States enacted the Maritime Pollution Protection Act of 2008, implementing Annex VI in territorial waters of the United States and subsequently delivered the instrument of ratification to the IMO, making the United States a party to Annex VI. On October 9, 2008, the Member States of the IMO adopted amendments to Annex VI that came into force on July 1, 2010 creating more stringent standards for engines and fuels The main changes to MARPOL Annex VI see a progressive reduction in sulphur oxide (SOx) emissions from ships, with the global sulphur cap reduced initially to 3.50% (from 4.50%), effective from 1 January 2012; then progressively to 0.50 %, effective from 1 January 2020, subject to a feasibility review to be completed no later than 2018.</w:t>
      </w:r>
    </w:p>
    <w:p>
      <w:pPr>
        <w:spacing w:after="0" w:line="1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limits applicable in Sulphur Emission Control Areas (SECAs) were reduced to 1.00%, beginning on 1 July 2010 (from the prior 1.50 %); being further reduced to 0.10 %, effective from 1 January 2015.</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Progressive reductions in nitrogen oxide (NOx) emissions from marine engines were also agreed, with the most stringent controls on so-called “Tier III” engines, i.e. those installed on ships constructed on or after 1 January 2016, operating in Emission Control Areas.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August 1, 2011 a North American Emission Control Area was formally established in which emissions of Sulphur Oxides, Nitrogen Oxides and particulate matter from ships will be subject to more stringent controls than the limits which apply globally.</w:t>
      </w:r>
    </w:p>
    <w:p>
      <w:pPr>
        <w:spacing w:after="0" w:line="132"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Amendments to MARPOL were also adopted in July 2011 to designate waters adjacent to the coasts of Puerto Rico and the U.S. Virgin Islands as an Emission Control Area. These amendments are expected to enter into force on 1 January 2013 with the new Emission Control Area taking effect 12 months later.</w:t>
      </w:r>
    </w:p>
    <w:p>
      <w:pPr>
        <w:spacing w:after="0" w:line="6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Effective August 2012, certain waters adjacent to the United States Atlantic, Pacific, Gulf of Mexico and Hawaiian coasts up to the United States 200 nautical mile Exclusive Economic Zone limit will be regulated as Emission Control Areas.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These and similar requirements could require modifications to our vessels to achieve compliance. We are evaluating these requirements and the alternatives for achieving compliance. The costs to comply with these requirements may be material or significant to our operations.</w:t>
      </w:r>
    </w:p>
    <w:p>
      <w:pPr>
        <w:spacing w:after="0" w:line="13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operation of our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assess all identified risks, adopt a safety and environmental protection policy achieving the ISM Code objectives; adopt instructions and procedures to ensure safe operation of ships and protection of the environment pursuant to international and flag state laws and regulations; defined levels of authority and lines of communication between, and among, shore and shipboard personnel; procedures for reporting accidents and non-conformities with the provision of the ISM Code and corrective action; procedures to prepare guidelines and respond to emergency situation; and procedures for regular internal audits and management reviews including evaluating effectiveness.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of December 31, 2011, each of the vessels in our fleet, and the entities managing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2004, the IMO has also adopted an International Convention for the Control and Management of Ships’ Ballast Water and Sediments, or BWM Convention. The BWM Convention’s implementing regulations call for a phased introduction of mandatory ballast water exchange requirements, to be replaced in time with mandatory concentration limits. The BWM Convention will not enter into force until 12 months after it has been adopted by 30 IMO Member States, the combined merchant fleets of which represent not less than 35% of the gross tonnage of the world’s merchant shipping. The BWM Convention has been ratified by 33 states but those states constitute only 26.46% of gross tonnage and therefore the Convention has not yet come into force. See “Ballast Water Management,” below, for a discussion of possible impacts of increased ballast water management regulation.</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 As of December 31, 2011 each of our vessels was in possession of a Statement of Compliance issued by the Classification Society.</w:t>
      </w:r>
    </w:p>
    <w:p>
      <w:pPr>
        <w:spacing w:after="0" w:line="143"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Increasingly, independent agencies representing various nations and regions are adopting additional unilateral requirements on the operation of vessels in their territorial waters. These regulations, as described below, apply to our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United States Oil Pollution Act of 1990</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United States, including its territories and possessions, or whose vessels operate in United States waters, which includes the United States’ territorial sea and its two hundred nautical mile exclusive economic zone. Although OPA is primarily directed at oil tankers (which are not owned or operated by us), it also applies to non-tank ships, including containerships, with respect to the fuel oil, or bunkers, used to power such ships.</w:t>
      </w:r>
    </w:p>
    <w:p>
      <w:pPr>
        <w:spacing w:after="0" w:line="1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2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1, 2009 the United States Coast Guard by Interim Rule increased the limits of the liability of responsible parties with effect from July 31, 2009. For any non-tank vessel, the new limits on liability are the greater of $1,000 per gross ton or $854,400. These limits of liability do not apply if an incident was directly caused by violation of applicable United States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We intend to comply with all applicable state regulations in the ports where our vessels call.</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intend to maintain pollution liability coverage insurance in the amount of $1.0 billion per incident for each of our vessels. If the damages from a catastrophic spill were to exceed our insurance coverage, it could have an adverse effect on our business and results of operation.</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OPA requires owners and operators of vessels to obtain a certificate of financial responsibility by establishing and maintaining with the United States Coast Guard, or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 liabilities located anywhere in the world, that exceeds the applicable amount of financial responsibility. For our vessels that are likely to enter U.S. waters, we intend to comply with the United States Coast Guard regulations by providing a certificate of responsibility from third party entities that are acceptable to the United States Coast Guard evidencing sufficient insurance.</w:t>
      </w:r>
    </w:p>
    <w:p>
      <w:pPr>
        <w:spacing w:after="0" w:line="11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United States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us and our competitors.</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Title VII of the Coast Guard and Maritime Transportation Act of 2004, or CGMTA, amended OPA to require the United States Coast Guard to issue regulations to require the owner or operator of any non-tank vessel of 400 gross tons or more that carries oil of any kind as a fuel for main propulsion, to prepare and submit a response plan for each vessel. The United States Coast Guard has not finalized such regulations yet, but has published a guidance document that allows for the issuance of interim authorization letters until the final regulations are promulgated. The vessel response plans include detailed information on actions to be taken by vessel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personnel to prevent or mitigate any discharge or threat of discharge of oil from the vessel due to operational activities or casualties. Regulations issued under CGMTA that require Government-Initiated Unannounced Exercises (GIUE) to test the response plans are being extended to non-tank vessels. GIUE are paid for by the ship owner. We comply with the requirements of the CGMTA and OPA. Our vessels that call at U.S. ports have appropriate vessel response plans filed with the United States Coast Guard and copies are available onboard.</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Following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a number of legislative proposals have been made in the U.S. Senate that may repeal the Limitation of Liability Act of 1851, remove or increase the cap on liability provided by OPA 90 and provide for non-pecuniary loss and punitive damages by amending the Death on the High Seas Act and Jones Act. We continue to monitor these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Comprehensive Environmental Response, Compensation, and Liability Act</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Ballast Water Management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United States ports through ballast water taken on by ships in foreign ports. Under NISA, the Coast Guard requires mandatory ballast water management practices for all vessels equipped with ballast water tanks bound for United States ports or entering United States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Coast Guard regulations also establish penalties for ships headed to the United States that fail to submit a ballast water management reporting form, as well as vessels bound for the Great Lakes or portions of the Hudson River that violate mandatory ballast water management requirements. The Coast Guard may now impose a civil penalty of up to $27,500 per day or, in the case of knowing violations, Class C Felony charge for non-submittal. On August 28, 2009, the Coast Guard proposed to amend its regulations to establish allowable concentrations of living organisms in discharged ballast water and establish an approval process for ballast water management systems. However, final regulations have yet to be promulgated.</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the absence of comprehensive federal standards, states have enacted legislation or regulations to address invasive species through ballast water and hull cleaning management and permitting requirements.</w:t>
      </w:r>
    </w:p>
    <w:p>
      <w:pPr>
        <w:spacing w:after="0" w:line="13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October 10, 2007, the California governor signed into law legislation, or A.B. 740, expanding the state’s marine invasive species ballast water regulatory program (A.B. 433, California’s Marine Invasive Species Act, which regulates the discharge and/or exchange of ballast water of vessels coming from outside the exclusive economic zone into a California port) to regulate “hull fouling organisms.” A.B. 740 gives the State Lands Commission until 2012 to adopt regulations requiring vessels owners and operators to use best available and economically feasible “inwater” technology to remove aquatic species from submerged parts of vessels. Until the regulations can be implemented, A.B. 740 specifies that “hull fouling organisms,” such as barnacles, algae, mussels, and worms that attach to the hard parts of ships, must be removed and disposed of on a regular basis. Furthermore, on October 15, 2007, the California State Lands Commission approved regulations governing the discharge of ballast water for vessels operating in California waters, which among other things, sets limits for the number of living organisms allowed in ballast water discharge. The regulations will be implemented on a graduated time schedule beginning on January 1, 2010 for new vessels and from January 1, 2014 for existing vessels. Other states may create other similar hull cleaning regulations or ballast water performance standards that could increase the costs of operating in state waters of the United States.</w:t>
      </w:r>
    </w:p>
    <w:p>
      <w:pPr>
        <w:spacing w:after="0" w:line="12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Clean Water Act, or CWA, prohibits the discharge of oil or hazardous substances in United States navigable waters without a permit and imposes strict liability in the form of penalties for any unauthorized discharges. Current Environmental Protection Agency, or EPA, regulations exempt ships in United States’ navigable waters from the requirement to obtain CWA permits for discharges of ballast water and other substances incidental to the normal operation of vessels. However, a United States District Court ruled in 2006 that EPA lacks the authority to exclude discharges of vessel ballast water from permitting requirements under the CWA, invalidating the blanket exemption in EPA regulations for all discharges incidental to the normal operation of a vessel as of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were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required to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 The existing 2008 VGP will expire on 19 December 2013 and the EPA have published a redrafted VGP for public review and comment that will contain numerical ballast water discharge limits for most vessels, more stringent effluent limits for oil to sea interfaces and for exhaust gas scrubber wash water and an annual report in place of the current one-time report.</w:t>
      </w:r>
    </w:p>
    <w:p>
      <w:pPr>
        <w:spacing w:after="0" w:line="1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Late in 2011 the U.S. House of Representatives Committee on Transportation and Infrastructure approved the Commercial Vessels Discharges Reform Act 2011 which would amend the Federal Water Pollution Control Act and would set a nationwide performance standard for water ballast management which conforms to the IMO standard and would require the installation of treatment technology to meet the new standard. The Act replaces a patchwork of inconsistent ballast water regulations across the various U.S. states, some containing requirements more stringent than IMO.</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Changes in ballast water management rules and regulations, either in the United States or internationally (See “International Maritime Organization” above), could increase the cost of compliance for ocean carriers, including requiring installation of equipment of ballast water treatment systems on vessels at substantial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 Air Act</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Federal Clean Air Act of 1970, as amended by the Clean Air Act Amendments of 1977 and 1990, or the CAA, requires the EPA to promulgate standards applicable to emissions of volatile organic compounds and other air contaminants. Our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More recently, on December 22, 2009, the EPA issued more stringent emission standards for new Category 3 marine engines. The standards are consistent with the amendments to Annex VI of MARPOL discussed above. Certain emission standards have taken effect early as 2011. We may incur costs to install equipment in these vessels to comply.</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There is a risk that new regulations could require significant capital expenditures and otherwise increase our costs.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miles of the California coast and require operators to use low sulphur fuels. The Office of Administrative Law approved the rulemaking and filed it with the Secretary of State on May 29, 2009. The regulation became effective on June 28, 2009. CARB have proposed a change to the implementation date for the second phase of the program from January 1, 2012 to January 1, 2014, when ocean going vessels would be limited to using distillate fuels containing no more than 0.1% of sulphur, aligning California’s requirements more closely with the Federal standards and allowing vessel operators more flexibility to acquire compliant fuels.</w:t>
      </w:r>
    </w:p>
    <w:p>
      <w:pPr>
        <w:spacing w:after="0" w:line="118"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These requirements may increase operating costs while in California ports.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waters of the European Union, or the EU, our vessels are subject to regulation EU-level directives implemented by the various nations through laws and regulations of these requirements. These laws and regulations prescribe measures to prevent pollution, protect the environment, and support maritime safety and set out criminal penalties which are being progressively incorporated into domestic legislation. For instance, the EU has adopted directives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EU Directive 2009/16/EC introduces a new harmonized and coordinated regime for port state control inspections and from January 1, 2011 a new on-line register to make public both the poorly performing shipping companies (who will attract more intensive and coordinated inspections) and those with good records.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vessels are also subject to inspection by appropriate classification societies. Classification societies typically establish and maintain standards for the construction and classification of vessels, supervise that construction is according to these standards, and carry out regular surveys of ships in service to ensure compliance with the standards.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EU’s directive on the sulphur content of fuels restricts the maximum sulphur content of marine fuels used in vessels operating in EU member states’ exclusive economic zones. Under this Directive, our vessels may need to make expenditures to comply with the sulphur fuel content limits in the marine fuel they use in order to avoid delays or other obstructions to their operations. On July 15, 2011 the European Commission adopted a proposal for amendments to the Sulphur Directive to bring it in line with MARPOL Annex VI. The EU has also issued a directive adopting the IMO’s standards for the maximum sulphur content of marine fuels used in special SOx Emission Control Areas, or ECAs, in the Baltic Sea, North Sea, and for any other seas or ports the IMO may designate as SOx ECAs 12 months after the date of entry into force of the designation. These and other related requirements may increase our costs of operating and may affect financial performance.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above-mentioned developments, the European Commission has released a speech delivered by the European Commissioner for Environment which reiterates the importance of transposing the IMO air emissions rules (MARPOL Annex VI) into the European Union law as quickly as possible to provide a strong enforcement mechanism.</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0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EU also authorizes member states to adopt the IMO’s Bunker Convention, discussed above, that imposes strict liability on ship owners for pollution damage caused by spills of oil carried as fuel in vessels’ bunkers and requires vessels of a certain size to maintain financial security to cover any liability for such damage.</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EU is currently considering other proposals to further regulate vessel operations. In October 2007, the EU adopted a new Integrated Maritime Policy for the European Union that included, in part, the development of environmentally sound end-of-life ship dismantling requirements. The European Commission is particularly interested in a solution to ensure sound ship dismantling in non-OECD countries. It is thought that any new regulation would incorporate elements of the Hong Kong International Convention on the Safe and Environmentally Sound Recycling of Ships, appropriate for the global approach to ship dismantling and elements of the Basel Convention to the in situ treatment of materials from dismantling, promotion of the use of shore-side electricity by ships at berth in EU ports to reduce air emissions, and consideration of options for EU legislation to reduce greenhouse gas emissions from maritime transport. 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operating costs, potentially affecting financial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Ballast Water Management in Europe</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From January 1, 2012 a voluntary ballast water management regime has been operating in the Mediterranean Sea. The regime, which effectively urges ships to undertake ballast water exchange before entering the Mediterranean, is to remain in place until the BWM Convention comes into force.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Bribery Act</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Bribery Act 2011 came into force on July 1, 2011 and will affect our management company. As well as having a zero tolerance for the payment, or receipt of any bribe whatever the amount (including facilitation payments, unlike U.S. legislation) the Act creates two new offences of bribing a public official and of failing to prevent bribery. The Act applies to both offences committed in the UK and overseas where the offence is committed by a person with a close connection to the UK.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U.K. Serious Fraud Office has identified the shipping industry as one of the most high risk industries.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9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United States. The People’s Republic of China introduced its own regime along similar lines in 2010 which, in some instances requires ship operators to re-contract with an approved Chinese Ship Pollution Response organization. To the extent our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our vessels and may entail significant expenditures on our part and may increase our costs to operate our fleet. These requirements, however, would apply to the industry as a whole and would also affect our competitors.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recent development is that the Australian Maritime Safety Authority has issued a notice advising that maximum penalties for pollution offences have increased from 500 to 20,000 penalty units (currently equivalent to A$11 million for a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Greenhouse Gas Legislation</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February 2005, the Kyoto Protocol to the United Nations Framework Convention on Climate Change (UNFCCC), or the Kyoto Protocol, entered into force. Pursuant to the Kyoto Protocol, adopting countries are required to implement national programs to reduce emissions of certain gases, generally referred to as greenhouse gases, which are suspected of contributing to global warming. The recent UN Climate change Conference resulted in the creation of a second Kyoto protocol commitment period from 2013 and a decision by governments to negotiate a new agreement with legal force including commitments from energy economies for implementation in 2020. Greenhouse gas emissions from international shipping are not expressly excluded from the Kyoto Protocol though are not included in the Annex 1 country’s national targets. The Protocol directs those countries to pursue limitation and reduction measures through the IMO. The reports of the subsequent UNFCCC conferences in Copenhagen and Cancun have not mentioned shipping, though the industry will no doubt have to contribute to the Green Climate Fund agreed at the latter as it has been recognized by the UN and G20 that shipping is a potential major source of funds. The G20 has suggested a contribution as high as US$25 billion per year. The European Union confirmed in April 2007 and in 2009 that it plans to expand the European Union emissions trading scheme (ETS) by adding vessels. The 2009 ETS Directive requires the EU to propose an alternate plan to reduce shipping emissions if agreement is not reached by the IMO by December 2011. In the United States,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United States.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2011, parties to MARPOL Annex VI adopted mandatory measures to reduce emissions of greenhouse gases from international shipping. The amendments will make the Energy Efficiency Design Index (EEDI) mandatory for new ships and the Ship Energy Efficiency Management Plan (SEEMP) mandatory for all ships. The EEDI details required energy efficiency levels and the SEEMP details a mechanism for improving efficiency. The regulations are expected to enter into force on 1 January 2013 and, with any other climate control legislation or other regulatory initiatives by the IMO, European Union, or individual countries where we operate that restrict emissions of greenhouse gases from vessels, could require us to incur additional compliance costs and make significant financial expenditures we cannot predict with certainty at this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Security Regulations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United States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39"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United States Coast Guard regulations are intended to align with international maritime security standards and they exempt non-United States vessels from MTSA vessel security measures provided such vessels have on board a valid International Ship Security Certificate that attests to the vessel’s compliance with SOLAS security requirements and the ISPS Code. we have implemented various security measures addressed by SOLAS and the ISPS Code for the vessels in our fleet.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Container Screening</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United States signed into law the 9/11 Commission Act on August 3, 2007. The Act requires that all containers destined to the United States be scanned by x-ray machines before leaving port. This new requirement for 100% scanning is set to take effect in 2012, but the Secretary of the United States Department of Homeland Security has the authority to set an earlier deadline (based on developments arising from the on-going pilot program under the SAFE-Port Act of 2006) or to extend the deadline up to two years, to 2014. Ports that ship to the United States will likely have to install new x-ray machines and make infrastructure changes in order to accommodate the screening requirements. Such implementation requirements may change which ports are able to ship to the United States and shipping companies may incur significant increased costs. It is impossible to predict how this requirement will affect the industry as a whole, but changes and additional costs can be reasonably expected.</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EU advance cargo declaration scheme came into force on January 1, 2011 under Regulations 648/2005, 1875/2006 and 312/2009 as part of the Community Customs Code. The system requires freight forwarders, with the carrier’s permission, to declare any intended containerized cargo movements to and from the EU electronically within certain time limits, and the ship operator to give certain notices. Failure to comply may result in penalties being applied in accordance with national legislation.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United States, has made liability insurance more expensive for ship owners and operators trading in the United States market.</w:t>
      </w:r>
    </w:p>
    <w:p>
      <w:pPr>
        <w:spacing w:after="0" w:line="14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maintain marine hull and machinery insurance, war risks insurance, protection and indemnity cover, increased value insurance and freight, demurrage and defense cover for all our vessels in amounts that we believe to be prudent to cover normal risks in our operations, but we may not be able to maintain these levels of coverage throughout our vessels’ useful lives. Furthermore, while we believe that our insurance coverage will be adequate, not all risks can be insured, and there can be no guarantee that any specific claim will be paid, or that we will always be able to obtain adequate insurance coverage at reasonable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maintain marine hull and machinery and war risks insurances, which cover the risk of actual or constructive total loss, for all of our vessels. Our vessels are each covered up to at least fair market value, which we expect to assess at least annually, with certain deductibles per vessel per incident. We also maintain increased value coverage for each of our vessels under which in the event of total loss or constructive total loss of a vessel, we will be entitled to recover amounts otherwise not recoverable under our basic hull and machinery or war policies due to under-insurance. Under the terms of our credit facility, we have assigned these insurance policies to our lenders and are subject to restrictions on our use of any proceeds there from.</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not obtained loss-of-hire insurance covering the loss of revenue during extended off-hire periods. We will evaluate the need for such coverage on an ongoing basis, taking into account insurance market conditions and the employment of our vessels.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Protection and indemnity insurance is mutual indemnity insurance provided by mutual protection and indemnity associations, or P&amp;I Associations, which insure third-party and crew liabilities in connection with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Its coverage, except for pollution, is unlimited; coverage for pollution is capped at $1.0 billion per vessel per incident.</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International Group is comprised of 13 P&amp;I Associations. The International Group insures approximately 90% of the world’s commercial blue-water tonnage and has entered into a pooling agreement with each of its members to reinsure each association’s liabilities. This pooling agreement provides a mechanism for sharing all claims up to a current cap of approximately $5.4 billion. We intend to remain a member of a P&amp;I Association that is a member of the International Group, and as such, we will be subject to calls payable to the other P&amp;I Associations based on the International Group’s claim records as well as the claim records of all other members of the individual P&amp;I Associations.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Organizational Structure</w:t>
      </w:r>
    </w:p>
    <w:p>
      <w:pPr>
        <w:spacing w:after="0" w:line="9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holding company, Global Ship Lease, Inc., is a Marshall Islands corporation. Each vessel is owned by a directly held separate wholly owned subsidiary. Sixteen vessels are owned by companies incorporated in Cyprus and one is held by a Marshall Islands company. In addition, Global Ship Lease Services Limited, a company incorporated in England and Wales and which is directly wholly owned by the holding company, provides administrative services to the group.</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Property, Plants and Equipment</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only material properties are the vessels in our fleet, which are described in Item 4.B. “Information on the Company—Business Overview”. We do not own any real property.</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for us and our Predecessor Group,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We are a containership charter owner, incorporated in the Marshall Islands. We commenced operations in December 2007 with a business of owning and chartering out containerships under long-term, fixed rate charters to container liner companies.</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We currently own 17 vessels with a total capacity of 66,349 TEU with an average age, weighted by TEU capacity, at December 31, 2011 of 7.8 years. All of the vessels are fixed on long-term charters to CMA CGM with an average remaining term of 7.1 years, or 8.3 years on a weighted by capacity basis.</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consolidated financial statements have been prepared in accordance with the generally accepted accounting principles in the United States of America, which we refer to as U.S. GAAP, and are presented in United States dollars.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This discussion contains forward-looking statements based on assumptions about our future business. Our actual results will likely differ materially from those contained in the forward-looking statements. See “Special Note Regarding Forward-Looking Statements.”</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acquired 10 secondhand vessels in December 2007, two newly built vessels in January 2008, three secondhand vessels, one newly built vessel in December 2008 and a further second-hand vessel in August 2009 from CMA CGM. All 17 vessels are chartered to CMA CGM under fixed-rate time charters, with staggered expirations, for initial terms that ranged from five years to 17 years. Each charter commenced on the delivery of the relevant vessel to us.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ship management agreements with CMA Ships for the day-to-day technical management of our current fleet of vessels. See Item 4.B.</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“Business Overview—Ship Management Agreements” for a more detailed description of our ship management agreements.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commenced our business operations in December 2007 with the acquisition of the 10 secondhand vessels from CMA CGM. Our operations as a time charter owner differ significantly from the historical operations of the Predecessor Group upon which the Predecessor Group’s historical carve-out financial information included in the consolidated financial statements is based. In particular, we generate revenues primarily from charter payments made to us by the charterers of our vessels and not from freight rates for transporting cargoes as undertaken by the Predecessor Group. Costs are also different. Our expenses consist mainly of vessel operating expenses including for crewing, provision of lubricating oil and for routine maintenance, as well as insurance costs and general and administrative expenses. We do not bear the cost of bunker fuel or any costs associated with loading, unloading or transporting containers. The Predecessor Group’s costs include vessel operating expenses but also voyage expenses including costs for bunker fuel, stevedoring, provision of containers and inland transportation. We believe that our contracted revenue under the fixed rate time charters that are in place and fixed fee and capped operating costs arrangements will help provide us with a stable cash flow that is sufficient for our present operating requirements.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our operations as ship-owner differ significantly from the business operations of the Predecessor Group as a vessel operator, trends or performance that likely had a material effect on the Predecessor Group’s revenues will likely have limited direct impact on our future revenues, except to the extent that these trends are a result of changing economic conditions in the overall containership industry, which may affect the viability of our customers or generally affect the global demand for and the supply of containerships.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will be largely driven by the following factors:</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vessels in our fleet and their charter rates;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under which we will recharter our vessels once the existing time charters have expired, including the two vessels whose existing charters expire as early as September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days that our vessels are utilized and not subject to drydocking, special surveys or otherwise are off-hire;</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control our expenses, including ship operating costs, ship management fees, insurance costs, drydock costs, general, administrative and other expenses and interest and financing costs. Operating costs may vary from month to month depending on a number of factors, including the timing of purchases of spares and stores and of crew changes;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market value of our interest rate swap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of our vessels and other non-current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access to, and the pricing and other terms of, our credit facility.</w:t>
      </w:r>
    </w:p>
    <w:p>
      <w:pPr>
        <w:spacing w:after="0" w:line="17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have entered into long-term fixed rate time charters for all of our vessels. We expect that our base revenue will be largely fixed until (a) any of our charters expire or otherwise terminate when we will need to seek a renewal or recharter, at possibly a significantly different and lower rate depending on market conditions at the time, or (b) we acquire additional vessels. Our shortest time charter agreements expire in December 2012 (plus or minus 90 days at charterer’s option) on two vessels. The charter rate that we will be able to achieve on renewal will be affected by market conditions at that time. As discussed further below, operational matters such as off-hire days for planned maintenance or for unexpected accidents and incidents also affect the actual amount of revenues we receive.</w:t>
      </w:r>
    </w:p>
    <w:p>
      <w:pPr>
        <w:spacing w:after="0" w:line="10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CMA CGM is currently our only customer and charter payments from CMA CGM are our sole source of operating cash flow. At any given time in the future, the cash resources of CMA CGM may be diminished or exhausted, and we cannot assure our shareholders that CMA CGM will be able to make charter payments to us. The container shipping industry has suffered a recent significant cyclical downturn with a substantial amount of excess ship capacity and many container shipping companies, including CMA CGM, reported substantial losses in 2009. Further, CMA CGM announced in September 2009 that CMA CGM and its lenders were exploring a potential financial restructuring to address its short and medium term financing requirements and that CMA CGM was seeking to reduce and in some cases cancel certain ship deliveries. Positive industry conditions returned in 2010 with most carriers reporting significant improvement in financial performance. In November 2010, CMA CGM announced that final agreement had been reached between its shareholders and Yildirim Group of Turkey which had agreed to invest $500 million in CMA CGM by acquiring five year ORA (convertible) notes giving access to 20% of CMA CGM’s share capital. In January 2011, CMA CGM announced that this investment had been completed. In January 2011, CMA CGM announced that this investment had been completed. Further, in April 2011 CMA CGM placed $475m of dollar-denominated senior notes that mature in 2017 with a coupon of 8.500%, and €325m of 8.875% euro-denominated senior notes that mature in 2019. In August 2011, CMA CGM represented to us that it had substantially completed its financial restructuring. However, the container shipping industry has suffered a further significant cyclical downturn in 2011 and many container shipping companies have reported substantial losses. CMA CGM is discussing with its lenders the rescheduling of certain repayments and the adjustment of certain covenants to take account of the cyclical nature of the container shipping industry.</w:t>
      </w:r>
    </w:p>
    <w:p>
      <w:pPr>
        <w:spacing w:after="0" w:line="12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If CMA CGM is unable to make charter payments to us, our results of operations and financial condition will be materially adversely affected. If our existing charters with CMA CGM were terminated and we were required to recharter at lower rates or if we failed to find new charters due to market conditions, our results of operations and financial condition would be materially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March 21, 2008, Global Ship Lease entered into a merger agreement with Marathon, GSL Holdings and CMA CGM and thereafter entered into amendments to the merger agreement pursuant to which Marathon merged with and into GSL Holdings, its newly-formed, wholly 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 Pursuant to the Merger, holders of shares of Marathon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which expire in September 2013. CMA CGM received consideration consisting of 6,778,650 Class A common shares, 3,934,050 Class B common shares, 12,375,000 Class C common shares (which converted into Class A common shares in accordance with their terms on January 1, 2009), 1,000 Series A preferred shares with $48,000,000 of aggregate liquidation preference, warrants to acquire 3,131,900 Class A common shares at an exercise price of $9.25 which expire in September 2013, and $18,570,135 in cash.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and our Predecessor Group’s principal accounting policies, some of which involve a high degree of judgment, and the methods of their application.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a further description of our material accounting policies, see note 3 to the consolidated financial statements included at Item 18.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revenue is generated from long-term time charters for each vessel. The charters are regarded as operating leases and provide for a per vessel fixed daily charter rate. Revenue is recorded as earned. Assuming our vessels are not off-hire, our charter revenues are fixed for the period of the current charters and, accordingly, little judgment is required to be applied to the amount of 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 and similar transactions</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charter hire agreements are classified as operating leases based on the facts and circumstances at their inception. In accordance with ASC Topic 840 “Leases”, an operating lease is a lease agreement that does not transfer substantially all the risks and rewards incidental to the ownership to the lessee. We pay particular attention in evaluating and applying the proper accounting treatment to lease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Vessels represent our most significant tangible assets. Until the Merger, we stated them in our financial statements at their acquisition cost less an amount allocated to dry dock component, less accumulated depreciation and impairment loss, if any. Following the Merger, the vessels were recorded at their fair value as at the date of the Merger less a proportion of the negative goodwill arising on the acquisition, allocated to these vessels, less accumulated depreciation and impairment loss, if any.</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Interest capitalized in the year ended December 31, 2011 was nil (2010: $525, 2009: $524 and 2008: $1,643). Other borrowing costs are expensed as incurred.</w:t>
      </w:r>
    </w:p>
    <w:p>
      <w:pPr>
        <w:spacing w:after="0" w:line="85"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Vessels are depreciated to a residual value, corresponding to the best estimate of their scrap value, using the straight-line method over their estimated useful lives, currently estimated to be 30 years, which are reviewed on an ongoing basis to ensure they reflect current technology, service potential and vessel structure.</w:t>
      </w:r>
    </w:p>
    <w:p>
      <w:pPr>
        <w:spacing w:after="0" w:line="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Should certain factors or circumstances cause us to revise our estimate of vessel service lives in the future, depreciation expense could be materially lower or higher. Such factors and circumstances include, but are not limited to, the extent of cash flows generated from future charter arrangements, changes in international shipping requirements and other factors, many of which are outside of our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accordance with ASC Topic 360, “Accounting for the Impairment or Disposal of Long-Lived Assets” our long-lived assets are reviewed for impairment upon the occurrence of a triggering event which could be, for example, a significant decrease in the market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value of vessels, a significant adverse way in which a vessel is being used or in its physical condition, or there is an expectation that the vessel will be sold or otherwise disposed of significantly before the end of its previously estimated useful life. We perform the impairment test at the individual vessel level pursuant to paragraph 10 of ASC Topic 360.</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determine whether there is an impairment indicator under ASC Topic 360, we compare the sum of the undiscounted future cash flows over the anticipated remaining life for each vessel less estimated operating and dry dock expenses, plus the estimated undiscounted residual value at the end of its life, with its book value in order to determine if the book value of such vessel is recoverable.</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assumptions used to determine whether the sum of undiscounted cash flows expected to result from the use and eventual disposition of the vessels exceeds the carrying value involve a considerable degree of estimation on the part of our management team. Actual results could differ from those estimates, which could have a material effect on the recoverability of the vessels.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assumptions used are:</w:t>
      </w:r>
    </w:p>
    <w:p>
      <w:pPr>
        <w:spacing w:after="0" w:line="90" w:lineRule="exact"/>
        <w:rPr>
          <w:sz w:val="20"/>
          <w:szCs w:val="20"/>
          <w:color w:val="auto"/>
        </w:rPr>
      </w:pPr>
    </w:p>
    <w:p>
      <w:pPr>
        <w:ind w:left="900" w:right="20" w:hanging="325"/>
        <w:spacing w:after="0" w:line="309"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determination of the possible future new charters, future market values and/or the eventual disposition of each vessel. Estimates are based on current market data and reports, including for the chartering and sale of comparable vessels, prepared by the industry press and by independent shipping analysts and brokers, and assessment by management thereof. For the 15 vessels with charters running beyond 2015, the assumed rates for subsequent charters are based on reversion to average historical levels and range from $16,258 per day for 2,207 TEU vessels to $66,617 per day for our 11,040 TEU vessel. For the two vessels of 4,113 TEU that come off their initial charters in late 2012, charter rates are only assumed to revert to average historical levels from 2016, gradually recovering from currently prevailing rates of around $8,000 per day. The container shipping industry has experienced significant cyclical volatility over its history. We believe that assuming a reversion to historical average charter hire levels, assessed over a period including both cyclical highs and lows, is the most objective approach for forecasting charter rates over an extended time horizon for long lived assets and is thus also the most objective indicator of rates at which our vessels may be re-marketed on conclusion of their initial charters;</w:t>
      </w:r>
    </w:p>
    <w:p>
      <w:pPr>
        <w:spacing w:after="0" w:line="27" w:lineRule="exact"/>
        <w:rPr>
          <w:rFonts w:ascii="Arial" w:cs="Arial" w:eastAsia="Arial" w:hAnsi="Arial"/>
          <w:sz w:val="15"/>
          <w:szCs w:val="15"/>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days on-hire which are estimated at a level consistent with our on-hire statistics and peer group benchmarking;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useful life;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operating costs including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drydock expenses which are estimated based on one drydock every five years.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Whenever the sum of the undiscounted future cash flows for each vessel less operating expenses plus its expected residual value is above its book value, we consider that there is no indication of impairment. Whenever the sum of the undiscounted future cash flows resulting from the charter of each vessel less operating expenses plus its expected residual value is below its book value, we consider that there is a potential impairment and perform a recoverability test, similar to the above but based on discounted cash flows. An impairment loss will be recognized if the book value of the vessel exceeds the sum of the discounted cash flows expected to result from the use and eventual disposition of the vessel.</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Due to the effects of the global economic downturn and reduced demand for container shipping services and thus for containerships, combined with continuing delivery of newbuildings, containership values have experienced declines from mid 2008 to end 2011 and into 2012, despite some improvement in market values through 2010.</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2011, we concluded that events occurred and circumstances had changed, which might have triggered the existence of potential impairment of our long-lived assets. These indicators included a deterioration in the spot charter market and a decline in containership values. Accordingly, we performed an impairment test and as of December 31, 2011, we concluded that the undiscounted sum of the future cash flows for each vessel less operating expenses plus its expected residual value exceeded the vessel’s book value and accordingly the recoverability test of the impairment analysis was not required as no individual vessel impairment existed.</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the declines in containership values, the book value of our fleet is likely to be greater than its charter free market value. See Item 3.D. “Key Information—Risk Factors -Vessel values may fluctuate, which may adversely affect our financial condition, and result in the incurrence of a loss upon disposal of a vessel or increase the cost of acquiring additional vessels” even though we would not impair those vessels’ carrying value under our accounting impairment policy, due to our belief that future undiscounted cash flows expected to be earned by such vessels over their operating lives would exceed such vessels’ carrying amounts.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All of our vessels are currently employed under fixed rate time charters with an average remaining term of 8.3 years (weighted by aggregate TEU capacity), with expirations ranging from September 2012 (for two vessels) at the earliest to March 2026 (one vessel) at the latest. We believe that if we sell vessels with charters attached, the sale price may be affected by the relationship of the charter rate to the prevailing market rate for a comparable charter with the same terms.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vessel purchase options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November 2010, in relation to the agreements made in September 2008 to purchase two 4,250 TEU vessels from German interests in the fourth quarter of 2010, we entered into agreements that terminated our purchase obligations and provided us with options to acquire these two vessels one year later in December 2011 and January 2012 – See Item 4.B. “Information on the Company – Business Overview”. The total consideration to terminate our previous purchase obligations and secure the options amounted to $29.4 million for the two vessels.</w:t>
      </w:r>
    </w:p>
    <w:p>
      <w:pPr>
        <w:spacing w:after="0" w:line="14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this context, in accordance with ASC 350 “Intangibles—Goodwill and Other” we recognized an intangible asset amounting to $13.6 million corresponding to the estimated fair value of the vessel purchase options obtained. The fair value of these purchase options was determined based on the estimated charter-attached market value of these vessels assessed by independent broker valuations and management’s analysis of the favorable attached charter compared to actual market conditions.</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excess of the consideration transferred or paid on the transaction date reflecting the cancellation of the purchase obligation was recorded as an expense under the line item “Impairment charge” for an amount of $17.1 million.</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purchase options were to be exercised by September 16, 2011 for one vessel and October 4, 2011 for the other vessel. The purchase of these vessels was always predicated on achieving a strong return for shareholders by acquiring the vessels at an attractive price and with financing on favorable terms. As we considered it unlikely that we would be able to obtain committed finance on acceptable terms before the expiry of the options, the intangible assets totaling $13.6 million relating to these options were written off in the second quarter 2011. Both purchase options were allowed to expire.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Drydocking</w:t>
      </w:r>
    </w:p>
    <w:p>
      <w:pPr>
        <w:spacing w:after="0" w:line="90"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Our vessels are drydocked approximately every five years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Other expenditures relating to maintenance and repairs are expensed when incurred.</w:t>
      </w:r>
    </w:p>
    <w:p>
      <w:pPr>
        <w:spacing w:after="0" w:line="107"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Costs capitalized as part of the drydock include costs directly associated with the required regulatory inspection of the ship, its hull and its machinery and for the defouling and repainting of the hull. Any cost of repair to hull or machinery that extends useful life is capitalized. Other repair costs are expensed. There were six completed drydockings in 2011 for a total cost of $7.8 million with a loss of revenue from offhire of $2.1 million. There were no dry dockings in 2010, two in 2009 for a total cost of $1.7 million and one in 2008 for a total cost of $1.5 million. We expect that seven vessels will complete drydocking in 2012, two in 2013 and 2014 and none in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our credit facility and as part of overall risk management, we have entered into interest rate swap agreements to reduce our exposure to cash flow risks from floating interest rates. See Item 11. “Quantitative and Qualitative Disclosure About Market Risk—Interest Rate Risk” for more information about our interest rate swap agreements. The swaps are not accounted for as hedging instruments as they have not been designated as such and are not effective in mitigating the risks of changes in interest rates under U.S. GAAP. As such swaps are not accounted for as hedging instruments, we recognize them on our balance sheet at fair value with the non-cash changes in the fair value of these derivative instruments (mark to market adjustment) recognized in the statement of income. We will not hold or issue derivative financial instruments for trading or other speculative purposes.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awarded restricted stock units to certain of our employees which vested, based on service conditions only, over a period of time up to three years from the grant date. Outstanding stock awards vest generally when the employee leaves service, provided this is after three years from the grant date. In addition, a portion of the base compensation paid to the directors (20% for 2011 and 2010 and 50% for 2009 and for 2008 (from their appointment)) was in the form of restricted stock units which vest, based on service conditions only, annually in arrears. The fair value of restricted stock unit grants is determined by reference to the quoted stock price on the date of grant, as adjusted for estimated dividends forgone until the restricted stock units vest. Compensation expense is recognized based on a graded expense model over the vesting period.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Management does not believe that there are recently issued, but not yet effective accounting pronouncements, which if currently adopted, would have a material impact 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Operating revenue reflects income under the fixed rate time charters in effect and was $156.3 million for the year ended December 31, 2011 compared to $158.8 million for the year ended December 31, 2010. The 2% reduction in revenue is due mainly to 95 days offhire associated with six vessels being drydocked in 2011, compared to no drydockings in 2010, and from 11 days unplanned offhire in 2011 compared to three in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Total operating expenses totaled $106.3 million for the year ended December 31, 2011 (or 68% of operating revenue) compared to $107.1 million for the year ended December 31, 2010 (or 67% of operating revenue). Excluding $13.6 million impairment charge in 2011 operating expenses were 59% of revenue. Excluding $17.1 million impairment charge in 2010 operating expenses were 57% of revenue.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90" w:lineRule="exact"/>
        <w:rPr>
          <w:sz w:val="20"/>
          <w:szCs w:val="20"/>
          <w:color w:val="auto"/>
        </w:rPr>
      </w:pPr>
    </w:p>
    <w:p>
      <w:pPr>
        <w:ind w:left="900" w:right="40" w:hanging="325"/>
        <w:spacing w:after="0" w:line="298"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Vessel expenses: </w:t>
      </w:r>
      <w:r>
        <w:rPr>
          <w:rFonts w:ascii="Arial" w:cs="Arial" w:eastAsia="Arial" w:hAnsi="Arial"/>
          <w:sz w:val="16"/>
          <w:szCs w:val="16"/>
          <w:color w:val="auto"/>
        </w:rPr>
        <w:t>Vessel expenses, which relate to the operation of the vessels themselves, were $45.5 million for 2011 (or 29% of operating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or an average of $7,336 per day compared to $42.1 million for 2010 (or 26% of operating revenue) or an average of $6,780 per day. The increase of $556 per day, or 8.2%, is mostly for increased crew wages, including an adverse effect from exchange rate movements, increased lubricating oil unit costs and for costs associated with drydockings that cannot be capitalized.</w:t>
      </w:r>
    </w:p>
    <w:p>
      <w:pPr>
        <w:spacing w:after="0" w:line="31"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With a stable fleet, depreciation was $40.1 million for 2011 (or 26% of operating revenue) the same as in 2010 (or 25% of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 2011 were $7.4 million (or 5% of operating revenue) compared to $8.3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2010 (or 5% of operating revenue).</w:t>
      </w:r>
    </w:p>
    <w:p>
      <w:pPr>
        <w:spacing w:after="0" w:line="50" w:lineRule="exact"/>
        <w:rPr>
          <w:rFonts w:ascii="Arial" w:cs="Arial" w:eastAsia="Arial" w:hAnsi="Arial"/>
          <w:sz w:val="18"/>
          <w:szCs w:val="18"/>
          <w:color w:val="auto"/>
        </w:rPr>
      </w:pPr>
    </w:p>
    <w:p>
      <w:pPr>
        <w:ind w:left="900" w:right="20" w:hanging="325"/>
        <w:spacing w:after="0" w:line="290"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Impairment charge: </w:t>
      </w:r>
      <w:r>
        <w:rPr>
          <w:rFonts w:ascii="Arial" w:cs="Arial" w:eastAsia="Arial" w:hAnsi="Arial"/>
          <w:sz w:val="16"/>
          <w:szCs w:val="16"/>
          <w:color w:val="auto"/>
        </w:rPr>
        <w:t>On November 8, 2010, we signed agreements with the sellers of two 4,250 TEU container vessels which terminated our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obligations which totaled $154.8 million. Under the agreements, we (i) released deposits, including accrued interest and totaling approximately $8.1 million per vessel, to the sellers, (ii) made a further cash payment of approximately $6.1 million per vessel and (iii) transferred to the sellers certain supplies purchased for the vessels which were valued at approximately $0.5 million per vessel. The total value of these items was $14.7 million per vessel. In exchange, we acquired purchase options giving us the right, but not the obligation, to purchase each vessel on the first anniversary of its delivery by the builder to the seller, for a final payment of $61.25 million per vessel. Each purchase option was to be exercised no later than 270 days after the delivery of the vessel by the builder to the seller, which was expected to be in December 2010 for both vessels.</w:t>
      </w:r>
    </w:p>
    <w:p>
      <w:pPr>
        <w:spacing w:after="0" w:line="37"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purchase of these vessels was always predicated on achieving a strong return for shareholders by acquiring the vessels, which had time charters attached, at an attractive price and with financing on favorable terms. As we considered it unlikely that we would be able to obtain committed finance on acceptable terms before the expiry of the options on September 16, 2011 for one vessel and October 4, 2011 for the other, intangible assets totaling $13.6 million (or 9% of operating revenue) relating to these options were written off in the second quarter 2011. Both purchase options were allowed to expire.</w:t>
      </w:r>
    </w:p>
    <w:p>
      <w:pPr>
        <w:spacing w:after="0" w:line="62" w:lineRule="exact"/>
        <w:rPr>
          <w:sz w:val="20"/>
          <w:szCs w:val="20"/>
          <w:color w:val="auto"/>
        </w:rPr>
      </w:pPr>
    </w:p>
    <w:p>
      <w:pPr>
        <w:ind w:left="920" w:right="60"/>
        <w:spacing w:after="0" w:line="332" w:lineRule="auto"/>
        <w:rPr>
          <w:sz w:val="20"/>
          <w:szCs w:val="20"/>
          <w:color w:val="auto"/>
        </w:rPr>
      </w:pPr>
      <w:r>
        <w:rPr>
          <w:rFonts w:ascii="Arial" w:cs="Arial" w:eastAsia="Arial" w:hAnsi="Arial"/>
          <w:sz w:val="16"/>
          <w:szCs w:val="16"/>
          <w:color w:val="auto"/>
        </w:rPr>
        <w:t>In 2010, an impairment charge totalling $17.1 million (or 11% of operating revenue) was recognised which was comprised of $15.5 million released deposits, $1.3 million capitalized interest and $0.3 million other predelivery capital expenditure for the newbuildings.</w:t>
      </w:r>
    </w:p>
    <w:p>
      <w:pPr>
        <w:spacing w:after="0" w:line="4" w:lineRule="exact"/>
        <w:rPr>
          <w:sz w:val="20"/>
          <w:szCs w:val="20"/>
          <w:color w:val="auto"/>
        </w:rPr>
      </w:pPr>
    </w:p>
    <w:p>
      <w:pPr>
        <w:ind w:left="900" w:right="14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w:t>
      </w:r>
      <w:r>
        <w:rPr>
          <w:rFonts w:ascii="Arial" w:cs="Arial" w:eastAsia="Arial" w:hAnsi="Arial"/>
          <w:sz w:val="16"/>
          <w:szCs w:val="16"/>
          <w:color w:val="auto"/>
        </w:rPr>
        <w:t>Other operating income was $0.3 million in 2011 compared to $0.4 million in 2010. Other operating income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charter business is miscellaneous revenue mainly from carrying passengers and sundry recharges under the time charters.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As a consequence of all preceding items, operating income was $49.9 million (or 32% of operating revenue) in 2011 compared to $51.8 million (or 33% of operating revenue) in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cash held by us in 2011 was $0.1 million compared to $0.2 million for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was $20.6 million (or 13% of operating revenue) in 2011. Borrowings under our credit facility together with the preferred shares averaged $562.8 million during the year. Interest expense in 2010 was $23.8 million (or 15% of operating revenue), based on average borrowings including the preferred shares of $615.7 million in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2008, we entered into derivative interest rate agreements to fix the interest rate on debt drawn or anticipated to be drawn under our credit facility. A total of $580.0 million of anticipated core debt was swapped into fixed rate debt at an average rate of 3.59%. Of the notional amount of $580.0 million, $535.0 million of the swaps were effective by December 31, 2009 and the balance of $45.0 million becoming effective in 2010 consistent with anticipated purchases of further vessels. $253 million of the swap agreements expire in March 2013, $50 million expire in November 2013, $41 million expire in August 2014, $45 million expire in October 2015 with the remaining $191 million expiring in December 2016.</w:t>
      </w:r>
    </w:p>
    <w:p>
      <w:pPr>
        <w:spacing w:after="0" w:line="1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None of the interest rate agreements qualified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consolidated statement of cash flows. Realized gains or losses from interest rate derivatives are recognized in the statement of income concurrent with cash settlements. In addition, the interest rate derivatives are “marked to market” each reporting period to determine the fair values which generate unrealized non-cash gains or losses.</w:t>
      </w:r>
    </w:p>
    <w:p>
      <w:pPr>
        <w:spacing w:after="0" w:line="1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U.S. $ LIBOR has remained low, the interest rate derivatives have been “out-of-the-money” and have shown realized losses, based on the difference between prevailing U.S. $ LIBOR and the average fixed rate of 3.59%. In 2011, the realized loss was $19.4 million (or 12% of operating revenue) compared to $16.7 million (or 10% of operating revenue) in 2010.</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Taken as a whole, the market experienced a slight downward movement in the U.S. $ LIBOR forward yield curve through 2011 with more substantial downward movements in 2010, and consequently the Company’s interest rate derivatives depreciated in value slightly in 2011 and more significantly in 2010. For the year ended December 31, 2011 the unrealized loss from derivative hedging instruments was $0.8 million (less than 1% of operating revenue) compared to an unrealized loss of 15.3 million in 2010 (or 10% of operating revenue).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for 2011 were $0.1 million, the same as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of all preceding items the net income was $9.1 million for 2011 compared to a net loss of $4.0 million for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revenue reflects income under the fixed rate time charters in effect and was $158.8 million for the year ended December 31, 2010 compared to $148.7 million for the year ended December 31, 2009. The 7% increase in revenue is due to the contribution of the seventeenth vessel which was purchased in August 2009 adding 311 ownership days to a total of 6,205 for 2010 and from only three days offhire in 2010 compared to 74 in 2009 including 32 for two planned drydockings.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Total operating expenses totaled $107.1 million for the year ended December 31, 2010 (or 67% of operating revenue) compared to $87.0 million for the year ended December 31, 2009 (or 58% of operating revenue). Excluding $17.1 million impairment charge in 2010 operating expenses were 57% of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90" w:lineRule="exact"/>
        <w:rPr>
          <w:sz w:val="20"/>
          <w:szCs w:val="20"/>
          <w:color w:val="auto"/>
        </w:rPr>
      </w:pPr>
    </w:p>
    <w:p>
      <w:pPr>
        <w:ind w:left="900" w:right="40" w:hanging="325"/>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Vessel expenses: </w:t>
      </w:r>
      <w:r>
        <w:rPr>
          <w:rFonts w:ascii="Arial" w:cs="Arial" w:eastAsia="Arial" w:hAnsi="Arial"/>
          <w:sz w:val="18"/>
          <w:szCs w:val="18"/>
          <w:color w:val="auto"/>
        </w:rPr>
        <w:t>Vessel expenses, which relate to the operation of the vessels themselves, were $42.1 million for 2010 (or 26% of operating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$41.4 million for 2009 (or 28% of operating revenue). The increase in total vessel expenses from the addition of the seventeenth vessel from August 2009 is offset by a reduction in daily vessel costs of 2% or $152 per day to $6,780 per ownership day in 2010 from $6,932 per ownership day in 2009. The decrease compared to 2009 is due mainly to lower lubricating oil consumption following the installation of electronically timed cylinder lubricating oil injection system on eight vessels.</w:t>
      </w:r>
    </w:p>
    <w:p>
      <w:pPr>
        <w:spacing w:after="0" w:line="61"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was $40.1 million for 2010 (or 25% of operating revenue) compared to $37.3 million for 2009 (or 25% of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The increase in 2010 is from the addition of the seventeenth vessel from August 2009.</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 2010 were $8.3 million (or 5% of operating revenue) compared to $8.7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2009 (or 6% of operating revenue).</w:t>
      </w:r>
    </w:p>
    <w:p>
      <w:pPr>
        <w:spacing w:after="0" w:line="50" w:lineRule="exact"/>
        <w:rPr>
          <w:rFonts w:ascii="Arial" w:cs="Arial" w:eastAsia="Arial" w:hAnsi="Arial"/>
          <w:sz w:val="18"/>
          <w:szCs w:val="18"/>
          <w:color w:val="auto"/>
        </w:rPr>
      </w:pPr>
    </w:p>
    <w:p>
      <w:pPr>
        <w:ind w:left="900" w:right="80" w:hanging="325"/>
        <w:spacing w:after="0" w:line="290"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Impairment charge</w:t>
      </w:r>
      <w:r>
        <w:rPr>
          <w:rFonts w:ascii="Arial" w:cs="Arial" w:eastAsia="Arial" w:hAnsi="Arial"/>
          <w:sz w:val="16"/>
          <w:szCs w:val="16"/>
          <w:color w:val="auto"/>
        </w:rPr>
        <w:t>: Under the agreements dated November 8, 2010, in respect of the two 4,250 TEU container vessels, we (i) released deposits,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accrued interest and totaling approximately $8.1 million per vessel, to the sellers, (ii) made a further cash payment of approximately $6.1 million per vessel and (iii) transferred to the sellers certain supplies purchased for the vessels which were valued at approximately $0.5 million per vessel. The total value of these items was $14.7 million per vessel. In exchange, we acquired purchase options giving us the right, but not the obligation, to purchase each vessel on the first anniversary of its delivery by the builder to the seller, for a final payment of $61.25 million per vessel. Each purchase option was to be exercised no later than 270 days after the delivery of the vessel by the builder to the seller, which is expected to be in December 2010 for both vessels.</w:t>
      </w:r>
    </w:p>
    <w:p>
      <w:pPr>
        <w:spacing w:after="0" w:line="37" w:lineRule="exact"/>
        <w:rPr>
          <w:sz w:val="20"/>
          <w:szCs w:val="20"/>
          <w:color w:val="auto"/>
        </w:rPr>
      </w:pPr>
    </w:p>
    <w:p>
      <w:pPr>
        <w:jc w:val="both"/>
        <w:ind w:left="920" w:right="160"/>
        <w:spacing w:after="0" w:line="259" w:lineRule="auto"/>
        <w:rPr>
          <w:sz w:val="20"/>
          <w:szCs w:val="20"/>
          <w:color w:val="auto"/>
        </w:rPr>
      </w:pPr>
      <w:r>
        <w:rPr>
          <w:rFonts w:ascii="Arial" w:cs="Arial" w:eastAsia="Arial" w:hAnsi="Arial"/>
          <w:sz w:val="18"/>
          <w:szCs w:val="18"/>
          <w:color w:val="auto"/>
        </w:rPr>
        <w:t>Under U.S. GAAP, an impairment charge totalling $17.1 million (or 11% of operating revenue) was recognised in the quarter ended December 31, 2010 which is comprised of $15.5 million released deposits, $1.3 million capitalized interest and $0.3 million other predelivery capital expenditure for the newbuildings.</w:t>
      </w:r>
    </w:p>
    <w:p>
      <w:pPr>
        <w:spacing w:after="0" w:line="59" w:lineRule="exact"/>
        <w:rPr>
          <w:sz w:val="20"/>
          <w:szCs w:val="20"/>
          <w:color w:val="auto"/>
        </w:rPr>
      </w:pPr>
    </w:p>
    <w:p>
      <w:pPr>
        <w:ind w:left="900" w:right="22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w:t>
      </w:r>
      <w:r>
        <w:rPr>
          <w:rFonts w:ascii="Arial" w:cs="Arial" w:eastAsia="Arial" w:hAnsi="Arial"/>
          <w:sz w:val="16"/>
          <w:szCs w:val="16"/>
          <w:color w:val="auto"/>
        </w:rPr>
        <w:t>Other operating income was $0.4 million in 2010 the same as in 2009. Other operating income related to the time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is miscellaneous revenue mainly from carrying passengers and sundry recharges under the time charters.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of all preceding items, operating income was $51.8 million in 2010 compared to $61.7 million in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cash held by us in 2010 was $0.2 million compared to $0.5 million for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expense, excluding the effect of interest rate derivatives which do not qualify for hedge accounting, was $23.8 million (or 15% of operating revenue) in 2010. Borrowings under our credit facility together with the preferred shares averaged $615.7 million during the year. Interest expense in 2009 was $24.2 million (or 16% of operating revenue), including $2.2 million accelerated write off of deferred financing fees, based on average borrowings including the preferred shares of $608.7 million in the year.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U.S. $ LIBOR remained low during 2009 and 2010, the interest rate derivatives were “out-of-the-money” and showed realized losses, based on the difference between prevailing U.S. $ LIBOR and the weighted average fixed rate of 3.59%. In 2010, the realized loss was $16.7 million (or 11% of operating revenue) compared to $13.1 million (or 9% of operating revenue) in 2009.</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Taken as a whole, the market experienced downward movements in the U.S. $ LIBOR forward yield curve through 2010 and upward movements through 2009, and consequently the Company’s interest rate derivatives depreciated in value in 2010 having appreciated in 2009. For the year ended December 31, 2010 there was an unrealized loss of 15.3 million (or 10% of operating revenue) in 2010 compared to an unrealized gain in 2009 of $17.9 million (or 12% of operating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for 2010 were $0.1 million compared to $0.4 million for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of all preceding items the net loss was $4.0 million for 2010 compared to net income of $42.4 million for 2009.</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working capital and dividends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net cash flow from operating activities derives from revenue received under our charter contracts, which varies directly with the number of vessels under charter, days on-hire and charter rates, less operating expenses including insurance premiums, general and administrative expenses, interest and other financing costs including the settlement of interest rate derivatives. In addition, each of our vessels is subject to a dry dock every five years. The average cost of the six drydockings completed in 2011 was $1.3 million with an average loss of revenue of $0.3 million whilst the relevant vessel was offhire. Seven vessels are scheduled to be drydocked in 2012, two in 2013, two in 2014 and none in 2015. We have included a schedule of the next anticipated drydocking date for each of our vessels in Item 4.B. “Business Overview</w:t>
      </w:r>
      <w:r>
        <w:rPr>
          <w:rFonts w:ascii="Arial" w:cs="Arial" w:eastAsia="Arial" w:hAnsi="Arial"/>
          <w:sz w:val="16"/>
          <w:szCs w:val="16"/>
          <w:b w:val="1"/>
          <w:bCs w:val="1"/>
          <w:color w:val="auto"/>
        </w:rPr>
        <w:t>—</w:t>
      </w:r>
      <w:r>
        <w:rPr>
          <w:rFonts w:ascii="Arial" w:cs="Arial" w:eastAsia="Arial" w:hAnsi="Arial"/>
          <w:sz w:val="16"/>
          <w:szCs w:val="16"/>
          <w:color w:val="auto"/>
        </w:rPr>
        <w:t>Inspection by Classification Societies.”</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Further, under the Credit Facility Waiver agreed with our lenders on November 30, 2011, the credit facility will be repaid quarterly commencing December 31, 2011 with free cash in excess of $20.0 million determined as of the previous month end subject to a minimum $40.0 million prepayment per rolling four-quarter basis as long as the leverage ratio is, or is deemed to be, over 75%. When the leverage ratio becomes 75% or less, scheduled repayments will be set at $10.0 million per quarter. The next scheduled test of the leverage ratio is November 30, 2012.</w:t>
      </w:r>
    </w:p>
    <w:p>
      <w:pPr>
        <w:spacing w:after="0" w:line="11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Based on our contractual arrangements, we expect that our operating cash flow will be reasonably predictable and stable and will be sufficient, together with retained cash, to fund our day to day working capital requirements, although we can provide no assurances (see Item 3.D. “Key Information – Risk Factors – Risks Related to our Business – We are highly dependent on charter payments from CMA CGM”).</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Facility Waiver provides that we may not declare or pay common dividends until the leverage ratio under the credit facility is no more than 75%.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Routine requirements of the business may also limit our ability to pay a dividend.</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no capital commitments and no undrawn, committed financings. Therefore, we will require new credit facilities and/or other additional capital to effect vessel acquisitions.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other longer term liquidity requirements include repaying the remaining principal balance of our credit facility at the final maturity date of August 14, 2016. Further, the $48.0 million Preferred Shares are mandatorily redeemable at par by quarterly installments of approximately $4.0 million commencing August 31, 2016.</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funds generated by the business and retained, we are likely to require new borrowings, issuances of equity or other securities, or a combination of the former and the latter to purchase additional vessels and will likely require such further funding to meet all of our repayment obligations under the credit facility.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2011 our operating activities were comprised entirely of the chartering out of our vessels under time charters.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provided by operating activities was $74.9 million in 2011 reflecting mainly net income of $9.1 million, depreciation of $40.1 million, impairment charge $13.6 million, amortization of deferred charges $1.1 million, change in fair value of derivatives $0.9 million, settlement of hedges which do not qualify for hedge accounting $19.4 million, share based compensation $0.6 million less $2.1 million amortization of intangible liability, $7.0 million increase in receivables and $0.8 million increase in payables.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cash settlement of interest rate derivatives was $19.4 million and $7.7 million was paid for drydockings.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repayments of $49.2 million were made in respect of the credit facility during 2011 and $1.0 million was paid in respect of obtaining on November 30, 2011 the waiver of the requirement to perform the leverage ratio test until November 30,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net decrease in cash and cash equivalents during 2011 was $2.5 million resulting in closing cash of $25.8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 our operating activities were comprised entirely of the chartering out our vessels under time charters.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Net cash provided by operating activities was $85.2 million in 2010 reflecting mainly net loss of $4.0 million, depreciation of $40.1 million, impairment charge $17.1 million, amortization of deferred charges $1.1 million, change in fair value of derivatives $15.3 million, settlement of hedges which do not qualify for hedge accounting $16.7 million, share based compensation $1.0 million less $2.1 million amortization of intangible liability.</w:t>
      </w:r>
    </w:p>
    <w:p>
      <w:pPr>
        <w:spacing w:after="0" w:line="10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cash settlement of interest rate derivatives was $16.7 million, $1.7 million was expended on vessels including supplies for newbuildings, and $13.6 million cash payment was made in connection with converting purchase obligations to buy two vessels from German Interests into options.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Total repayments of $55.4 million were made in respect of the credit facility in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net decrease in cash and cash equivalents during 2010 was $2.4 million resulting in closing cash of $28.4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Facility</w:t>
      </w:r>
    </w:p>
    <w:p>
      <w:pPr>
        <w:spacing w:after="0" w:line="9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have a senior secured credit facility with ABN AMRO Bank N.V. (also the “Agent”), Citibank Global Markets Limited, HSH Nordbank AG, Sumitomo Mitsui Banking Corporation, Brussels Branch, KFW Ipex GmbH, DnB NOR Bank ASA and Bank of Scotland plc, which we refer to as our credit facility. We drew funds under our credit facility to finance in part the purchase of our vessels from CMA CGM. All of our vessel owning subsidiaries and our service company are borrowers and guarantors jointly and severally guaranteeing our obligations under the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facility was entered into in 2007 and was originally an $800 million revolving facility, non amortizing for five years and with a term of eight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Due to the possibility that we would exceed the maximum permitted leverage ratio under the credit facility as a result of the declines in market values of our vessels from mid 2008 due to adverse market conditions, our lenders agreed to enter into an Amendment and Restatement Agreement to the Credit Facility, dated August 20, 2009 (the Credit Facility Amendment) whereby, effective as of August 20, 2009, the credit facility effectively became an amortizing term loan of approximately $600 million with an unchanged final maturity date of August 14, 2016. Under the Credit Facility Amendment, prepayments were accelerated and the undrawn portion of the credit facility amounting to approximately $200 million was cancelled. Consequently, there is no undrawn capacity under the credit facility.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Credit Facility Amendment, the maximum 75% leverage ratio would not apply until the leverage ratio was first tested after the expiration of the waiver period which was up to and including November 30, 2010. Consequently the first such test was scheduled to be as of April 30, 2011. Commencing June 30, 2010 the credit facility was repaid quarterly in an amount equal to free cash in excess of $20.0 million determined as at the previous month end subject to a minimum of $40.0 million repayment a year on a rolling 12 month trailing basis as long as the leverage ratio is, or is deemed to be, over 75%. When the leverage ratio becomes 75% or less, scheduled repayments would be fixed at $10.0 million per quarter. In addition, the fixed interest margin to be paid over LIBOR was agreed to be 3.50% during the waiver period.</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is reduced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we agreed that we would not declare or pay any dividends to common shareholders during the waiver period or thereafter unless the leverage ratio is 75% or below.</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the Credit Facility Amendment, CMA CGM agreed to defer the redemption of the $48.0 million preferred shares until after the final maturity of the credit facility which remains August 14,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Ratio and Credit Facility Waiver</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leverage ratio was tested as at April 30, 2011, when it was 75% or less. Consequently repayments of the credit facility became set at $10.0 million per quarter and the fixed interest margin to be paid over LIBOR reduced to 3.00%,.</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anticipation of the scheduled test of the leverage ratio as at November 30, 2011 when we expected that it would be between 75% and 90% due to declines in market values of our vessels, we agreed the Credit Facility Waiver with our lenders to waive the requirement to perform the leverage ratio test until November 30, 2012. Under the terms of the waiver, the fixed interest margin to be paid over LIBOR increased to 3.50%, prepayments are required to be made quarterly based on cash flow as described above and dividends on common shares cannot be paid.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our credit facility, net of surplus cash held in the retention account, to the aggregate charter-free market value of the vessels securing the credit facility plus the value of any other security held by the lenders.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If no current valuations are available at the relevant time, the leverage ratio will be assumed to be over 100%. Set forth below is the margin that applies for the relevant leverage ratio once the fixed margin period expires.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Leverage Ratio</w:t>
            </w:r>
          </w:p>
        </w:tc>
        <w:tc>
          <w:tcPr>
            <w:tcW w:w="98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10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Up to 65%</w:t>
            </w: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780" w:type="dxa"/>
            <w:vAlign w:val="bottom"/>
            <w:gridSpan w:val="2"/>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Greater than 65% up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we must hedge at least 50% of the amounts outstanding under the credit facility. We hedged, prior to the Merger, the majority of the amounts outstanding under the credit facility.</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Until undrawn commitments were cancelled pursuant to the Credit Facility Amendment, we paid a commitment fee of 0.50% per annum on the undrawn portion of the credit facility. We are responsible for the duly justified costs properly incurred in connection with the maintenance of the credit facility.</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are permitted to make voluntary early prepayments that can reduce subsequent prepayment obligations. Any amount outstanding under the credit facility at the final maturity date on August 14, 2016 must be repaid in one installment.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See Item 4.B. “Business Overview—Credit Facility” for further details on our credit facility, including a description of the security provided, covenants and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Utilization of the credit facility</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financed the purchase of 10 secondhand vessels in December 2007 with $213.1 million of borrowings under the credit facility and drawings of $171.9 million under a shareholder loan made between us and CMA CGM. In addition, we drew approximately $5.0 million under the shareholder loan to pay lenders’ fees and expenses in connection with the credit facility, bringing the total borrowings under the shareholder loan to $176.9 million. Prior to December 31, 2007, we drew a further $188.0 million under the credit facility, which was placed on restricted cash deposit, in order to pay for the two newly built vessels of our initial fleet purchased in January 2008. Total drawings under the credit facility as of December 31, 2007 were $401.1 million. The shareholder loan of $176.9 million was cancelled on the closing of the Merger and $115.0 million of the drawings under the credit facility were prepaid.</w:t>
      </w:r>
    </w:p>
    <w:p>
      <w:pPr>
        <w:spacing w:after="0" w:line="12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Merger, $99.0 million of the total $355.0 million purchase price of the four vessels acquired in December 2008 was prepaid by the issuance of 12,375,000 Class C common shares to CMA CGM. These shares converted to Class A common shares on January 1, 2009. The balance of the purchase price of $256.0 million was settled from further borrowings under the credit facility. As of December 31, 2008, total drawings under the credit facility were $542.1 million.</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An additional $57.0 million was borrowed in August 2009 under the credit facility to purchase the </w:t>
      </w:r>
      <w:r>
        <w:rPr>
          <w:rFonts w:ascii="Arial" w:cs="Arial" w:eastAsia="Arial" w:hAnsi="Arial"/>
          <w:sz w:val="16"/>
          <w:szCs w:val="16"/>
          <w:i w:val="1"/>
          <w:iCs w:val="1"/>
          <w:color w:val="auto"/>
        </w:rPr>
        <w:t>CMA CGM Berlioz</w:t>
      </w:r>
      <w:r>
        <w:rPr>
          <w:rFonts w:ascii="Arial" w:cs="Arial" w:eastAsia="Arial" w:hAnsi="Arial"/>
          <w:sz w:val="16"/>
          <w:szCs w:val="16"/>
          <w:color w:val="auto"/>
        </w:rPr>
        <w:t>, the final ship to be purchased from CMA CGM, consisting of drawings of $42.0 million under the main credit facility and $15.0 million under a newly created Over Advance Portion. The $25.0 million balance of the purchase price of $82.0 million was met from available cash. In November 2009, $10.9 million of the Over Advance Portion was prepaid leaving a total balance outstanding on the credit facility of $588.2 million at December 31, 2009 of which $68.3 million was presented as due within one year.</w:t>
      </w:r>
    </w:p>
    <w:p>
      <w:pPr>
        <w:spacing w:after="0" w:line="11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remaining balance of $4.1 million of the Over Advance Portion was prepaid in February 2010 and $51.3 million of the main facility was prepaid in the year leaving a remaining balance at December 31, 2010 of $532.8 million of which $44.5 million has been presented as due within one year.</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2011 $49.2 million of the credit facility was prepaid leaving a remaining balance at December 31, 2011 of $483.6 million of which $46.0 million has been presented as due within one year.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cancellation of the undrawn portion of the credit facility, alternate sources of financing are required for future vessel acquisitions (See Item 3.D.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Information—Risk Factors”).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dividends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net cash flows from operating activities corresponds directly with the number of vessels under charter, days on-hire, vessel charter rates, operating expenses, drydock costs, interest and other financing costs and general and administrative expenses. Pursuant to our ship management agreements, we have agreed to pay our ship manager an annual management fee of $114,000 per vessel and to reimburse it for operating costs it incurs on our behalf up to a quarterly cap pursuant to the global expense agreement (other than drydocking expenses and insurance premiums which will not be subject to the cap). Charterhire is payable by CMA CGM 15 days in advance and estimated ship management costs are payable monthly in advance. Although we can provide no assurances (see Item 3.D. “Key Information—Risk Factors – Risks Related to our Business – We are highly dependent on charter payments from CMA CGM”), we expect that our cash flow from our chartering arrangements will be sufficient to cover our ship management costs and fees, interest payments, and other financing costs under our credit facility, insurance premiums, vessel taxes, general and administrative expenses and other costs and any other working capital requirements for the short and medium term and planned drydocking expenses.</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Credit Facility Amendment provides that we may not declare or pay common dividends unless the leverage ratio is no more than 75%. The Credit Facility Amendment provides that the credit facility will be repaid quarterly commencing June 30, 2010 with free cash in excess of $20.0 million determined as of the previous month end subject to a minimum $40.0 million prepayment per rolling four-quarter basis as long as the leverage ratio is, or is deemed to be, over 75%. When the leverage ratio became 75% or less as at April 30, 2011, scheduled repayments were set at $10.0 million per quarter. Under the Credit Facility Waiver, the credit facility is being repaid quarterly from December 31, 2011 with free cash in excess of $20.0 million determined as of the previous month end subject to a minimum $40.0 million prepayment per rolling four-quarter basis.</w:t>
      </w:r>
    </w:p>
    <w:p>
      <w:pPr>
        <w:spacing w:after="0" w:line="1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Further, the $48.0 million Preferred Shares are mandatorily redeemable at par by quarterly installments of approximately $4.0 million commencing August 31, 2016.</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estimate that the average cost of the six drydockings completed in 2011 was approximately $1.3 million, with an average loss of revenue of $0.3 million from offhire. We have included a schedule of the next anticipated drydocking date for each of our vessels in the section of this Annual Report entitled Item 4.B. “Business Overview</w:t>
      </w:r>
      <w:r>
        <w:rPr>
          <w:rFonts w:ascii="Arial" w:cs="Arial" w:eastAsia="Arial" w:hAnsi="Arial"/>
          <w:sz w:val="18"/>
          <w:szCs w:val="18"/>
          <w:b w:val="1"/>
          <w:bCs w:val="1"/>
          <w:color w:val="auto"/>
        </w:rPr>
        <w:t>—</w:t>
      </w:r>
      <w:r>
        <w:rPr>
          <w:rFonts w:ascii="Arial" w:cs="Arial" w:eastAsia="Arial" w:hAnsi="Arial"/>
          <w:sz w:val="18"/>
          <w:szCs w:val="18"/>
          <w:color w:val="auto"/>
        </w:rPr>
        <w:t>Inspection by Classification Societies.”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other liquidity requirements include repaying the remaining principal balance of our credit facility at the final maturity date in August 2016.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credit facility.</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Trend Information</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Container shipping is a cyclical industry, with the demand for container shipping services driven by global trade. Between 1997 and 2007 containerized trade exhibited compound annual growth of approximately 10%, with a period of super-cyclical growth from 2002 to mid-2008 fuelled partly by exports from China.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is estimated to have been between 7% and 8%.</w:t>
      </w:r>
    </w:p>
    <w:p>
      <w:pPr>
        <w:spacing w:after="0" w:line="14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period of super-cyclical growth, combined with operators seeking economies of scale achievable with ever larger vessels, led to a significant orderbook of new containerships. In December, 2008 the orderbook was estimated to represent approximately 60% of existing global capacity measured in TEU. The global financial crisis and poor industry conditions have led to a much reduced level of ordering of new vessels and as at March, 2012, the orderbook stood at around 28% of existing capacity.</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Vessel newbuilding prices, second hand values and charter rates have tended to be closely correlated and are all strongly influenced by the dynamics of supply and demand. From 2002 through 2011, the average newbuilding price for a theoretical 3,500 TEU containership was around $49 million, with prices ranging between $33 million (third quarter 2002) and $67 million (third quarter 2008). During the same period, secondhand values for a 10 year old vessel of similar size averaged $34 million and ranged between $12 million (mid-2009) and $52 million (second quarter 2005). Meantime, spot market charter rates for such tonnage averaged about $23,150 per day and ranged between $5,450 (late 2009) and $44,000 (first quarter 2005). As at March, 2012 prevailing spot market charter rates were around $6,250 per day, with newbuilding prices at approximately $48 million and second hand values at about $16 million.</w:t>
      </w:r>
    </w:p>
    <w:p>
      <w:pPr>
        <w:spacing w:after="0" w:line="12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Liner operators’ results are also sensitive to the dynamics of supply and demand. Results were adversely affected in 2009, recovered significantly in 2010 and declined again in 2011. In March, 2012 operators implemented a series of General Rate Increases (GRIs) in a number of trades in order to improve financial performance.</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combination of macroeconomic uncertainty, anticipated lower containerized demand growth and consequent excess supply in some vessel size segments is expected to keep vessel values and charter rates under some pressure in the near to medium term.</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Off-Balance Sheet Arrangements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Except as described under Item 5.F. “Contractual Obligations” and Item 11. “Quantitative and Qualitative Disclosure About Market Risk”, we do not have any other transactions, obligations or relationships that could be considered material off-balance sheet arrangements.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Contractual Obligations</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contractual obligations presented below represent our estimates of future payments under fixed contractual obligations and commitments as of December 31, 2011. Changes in our business needs or in interest rates, as well as actions by third parties and other factors, may cause these estimates to change. These estimates are necessarily subjective and our actual payments in future periods are likely to vary from those presented in the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5"/>
              </w:rPr>
              <w:t>Less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5"/>
              </w:rPr>
              <w:t>More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than 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than 5</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60" w:type="dxa"/>
            <w:vAlign w:val="bottom"/>
            <w:gridSpan w:val="3"/>
            <w:vMerge w:val="continue"/>
          </w:tcPr>
          <w:p>
            <w:pPr>
              <w:spacing w:after="0"/>
              <w:rPr>
                <w:sz w:val="13"/>
                <w:szCs w:val="13"/>
                <w:color w:val="auto"/>
              </w:rPr>
            </w:pPr>
          </w:p>
        </w:tc>
        <w:tc>
          <w:tcPr>
            <w:tcW w:w="5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3"/>
              </w:rPr>
              <w:t>year</w:t>
            </w:r>
          </w:p>
        </w:tc>
        <w:tc>
          <w:tcPr>
            <w:tcW w:w="5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1-3 years</w:t>
            </w:r>
          </w:p>
        </w:tc>
        <w:tc>
          <w:tcPr>
            <w:tcW w:w="200" w:type="dxa"/>
            <w:vAlign w:val="bottom"/>
          </w:tcPr>
          <w:p>
            <w:pPr>
              <w:spacing w:after="0"/>
              <w:rPr>
                <w:sz w:val="13"/>
                <w:szCs w:val="13"/>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2"/>
              </w:rPr>
              <w:t>3-5 years</w:t>
            </w:r>
          </w:p>
        </w:tc>
        <w:tc>
          <w:tcPr>
            <w:tcW w:w="200" w:type="dxa"/>
            <w:vAlign w:val="bottom"/>
          </w:tcPr>
          <w:p>
            <w:pPr>
              <w:spacing w:after="0"/>
              <w:rPr>
                <w:sz w:val="13"/>
                <w:szCs w:val="13"/>
                <w:color w:val="auto"/>
              </w:rPr>
            </w:pPr>
          </w:p>
        </w:tc>
        <w:tc>
          <w:tcPr>
            <w:tcW w:w="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3"/>
                <w:szCs w:val="13"/>
                <w:color w:val="auto"/>
              </w:rPr>
            </w:pPr>
          </w:p>
        </w:tc>
        <w:tc>
          <w:tcPr>
            <w:tcW w:w="5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7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20"/>
              <w:spacing w:after="0" w:line="149" w:lineRule="exact"/>
              <w:rPr>
                <w:sz w:val="20"/>
                <w:szCs w:val="20"/>
                <w:color w:val="auto"/>
              </w:rPr>
            </w:pPr>
            <w:r>
              <w:rPr>
                <w:rFonts w:ascii="Arial" w:cs="Arial" w:eastAsia="Arial" w:hAnsi="Arial"/>
                <w:sz w:val="14"/>
                <w:szCs w:val="14"/>
                <w:b w:val="1"/>
                <w:bCs w:val="1"/>
                <w:color w:val="auto"/>
                <w:w w:val="97"/>
              </w:rPr>
              <w:t>(in millions of U.S. dollars)</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debt obligations (1)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46.0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3"/>
          </w:tcPr>
          <w:p>
            <w:pPr>
              <w:spacing w:after="0"/>
              <w:rPr>
                <w:sz w:val="20"/>
                <w:szCs w:val="20"/>
                <w:color w:val="auto"/>
              </w:rPr>
            </w:pPr>
            <w:r>
              <w:rPr>
                <w:rFonts w:ascii="Arial" w:cs="Arial" w:eastAsia="Arial" w:hAnsi="Arial"/>
                <w:sz w:val="18"/>
                <w:szCs w:val="18"/>
                <w:color w:val="auto"/>
              </w:rPr>
              <w:t>Interest on long term debt obligations (1)(2)</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21.2</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obligation under Interest Rate Swaps (3)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3"/>
          </w:tcPr>
          <w:p>
            <w:pPr>
              <w:spacing w:after="0"/>
              <w:rPr>
                <w:sz w:val="20"/>
                <w:szCs w:val="20"/>
                <w:color w:val="auto"/>
              </w:rPr>
            </w:pPr>
            <w:r>
              <w:rPr>
                <w:rFonts w:ascii="Arial" w:cs="Arial" w:eastAsia="Arial" w:hAnsi="Arial"/>
                <w:sz w:val="18"/>
                <w:szCs w:val="18"/>
                <w:color w:val="auto"/>
              </w:rPr>
              <w:t>Ship management agreements (4)</w:t>
            </w: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Mandatorily Redeemable Preferred Shares and related interest (5)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41.6</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84.3</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1401.8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8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Under the Credit Facility Waiver, the credit facility is being repaid quarterly until September 30, 2012 in an amount equal to free cash in excess of $20.0 million determined as at the previous month end subject to a minimum of $40.0 million repayment a year on a rolling 12 month trailing basis. Should the leverage ratio become 75% or less at the next test date of November 30, 2012, scheduled repayments will be set at $10.0 million per quarter. The above table is based on a leverage ratio of 75% or less as at November 30, 2012.</w:t>
      </w:r>
    </w:p>
    <w:p>
      <w:pPr>
        <w:spacing w:after="0" w:line="2"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estimated contractual interest obligation has been calculated using an assumed all in interest rate of 4.5% being estimated LIBOR of 1.0% plus a spread of 3.5% being the margin set by the Credit Facility Waiver, up to November 30, 2012 then reduced to an assumed all in interest rate of 4.0% including a margin of 3.0% on the basis that the leverage ratio becomes 75% or less. The Credit Facility Amendment contemplates a continuation of a spread of 3.5% if the leverage ratio remains over 75%.</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estimated net obligations under our interest rate swaps have been calculated using a LIBOR of 1.00% and assume that the counterparties do not exercise their options to terminate, as at February 28, 2013 or March 17, 2013, one and two contracts respectively totaling $191.0 million but that these continue to maturity of December 17, 2016.</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Obligations under our ship management agreements include (i) the management fee for two months for the notice period under 16 of our ship management contracts which have been in place for more than three years, and (ii) the management fee for the 239 days remaining until its third anniversary under one ship management contract, each based on an annual management fee of $114,000 per vessel. These obligations do not include any amount for the reimbursement of daily operating costs incurred by the ship manager on our behalf.</w:t>
      </w:r>
    </w:p>
    <w:p>
      <w:pPr>
        <w:spacing w:after="0" w:line="2" w:lineRule="exact"/>
        <w:rPr>
          <w:rFonts w:ascii="Arial" w:cs="Arial" w:eastAsia="Arial" w:hAnsi="Arial"/>
          <w:sz w:val="16"/>
          <w:szCs w:val="16"/>
          <w:color w:val="auto"/>
        </w:rPr>
      </w:pPr>
    </w:p>
    <w:p>
      <w:pPr>
        <w:ind w:left="460" w:right="20" w:hanging="452"/>
        <w:spacing w:after="0" w:line="32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Preferred Shares are mandatorily redeemable at par by quarterly installments of approximately $4.0 million commencing August 31, 2016. The interest obligation has been determined using an all in rate of 3.0% being estimated LIBOR of 1.0% plus the contractual spread of 2.0%.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Directors and Senior Management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2011 are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5480" w:type="dxa"/>
            <w:vAlign w:val="bottom"/>
            <w:gridSpan w:val="2"/>
          </w:tcPr>
          <w:p>
            <w:pPr>
              <w:ind w:left="30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5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S. Gross</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3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Chairman of the Board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240" w:type="dxa"/>
            <w:vAlign w:val="bottom"/>
          </w:tcPr>
          <w:p>
            <w:pPr>
              <w:jc w:val="right"/>
              <w:spacing w:after="0"/>
              <w:rPr>
                <w:sz w:val="20"/>
                <w:szCs w:val="20"/>
                <w:color w:val="auto"/>
              </w:rPr>
            </w:pPr>
            <w:r>
              <w:rPr>
                <w:rFonts w:ascii="Arial" w:cs="Arial" w:eastAsia="Arial" w:hAnsi="Arial"/>
                <w:sz w:val="18"/>
                <w:szCs w:val="18"/>
                <w:color w:val="auto"/>
              </w:rPr>
              <w:t>67</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D. Pribor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Ian J. Webber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Chief Executive Officer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Cook</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Chief Financial Officer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Thomas A. Lister</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Chief Commercial Officer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Chief Technical Officer</w:t>
            </w:r>
          </w:p>
        </w:tc>
      </w:tr>
    </w:tbl>
    <w:p>
      <w:pPr>
        <w:spacing w:after="0" w:line="1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Michael S. Gross. </w:t>
      </w:r>
      <w:r>
        <w:rPr>
          <w:rFonts w:ascii="Arial" w:cs="Arial" w:eastAsia="Arial" w:hAnsi="Arial"/>
          <w:sz w:val="16"/>
          <w:szCs w:val="16"/>
          <w:color w:val="auto"/>
        </w:rPr>
        <w:t>Mr. Gross has been a director since inception and was appointed Chairman in September 2008. Since December 2010, Mr., Gross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directors, Chief Executive Officer and President of Solar Senior Capital Ltd. Since December 2007, Mr. Gross has served as the Chairman and Chief Executive Officer of Solar Capital Ltd, a finance company focusing on debt and equity investments in leveraged companies. From July 2006 through approximately the first quarter 2009, Mr. Gross was a partner in Magnetar Capital Partners LP, the holding company for Magnetar Financial LLC. Mr. Gross was the Chairman, Chief Executive Officer, and Secretary of Marathon Acquisition Corp. from April 2006 to August 2008. Between February 2004 and February 2006, Mr. Gross was the President and Chief Executive Officer of Apollo Investment Corporation (“AIC”), a publicly traded business development company, and was the managing partner of Apollo Investment Management, L.P. (“AIM”), a leading private equity firm which he founded in 1990 and the investment adviser to AIC. From 1990 to February 2006, Mr. Gross was a senior partner at AIM. Mr. Gross currently serves on the boards of directors of Saks Incorporated and Jarden Corporation.</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Howard Boyd. </w:t>
      </w:r>
      <w:r>
        <w:rPr>
          <w:rFonts w:ascii="Arial" w:cs="Arial" w:eastAsia="Arial" w:hAnsi="Arial"/>
          <w:sz w:val="16"/>
          <w:szCs w:val="16"/>
          <w:color w:val="auto"/>
        </w:rPr>
        <w:t>Mr. Boyd has been a director since August 2008. In 1996, Mr. Boyd was named chief executive officer of Safmarine, a container liner operator</w:t>
      </w:r>
      <w:r>
        <w:rPr>
          <w:rFonts w:ascii="Arial" w:cs="Arial" w:eastAsia="Arial" w:hAnsi="Arial"/>
          <w:sz w:val="16"/>
          <w:szCs w:val="16"/>
          <w:b w:val="1"/>
          <w:bCs w:val="1"/>
          <w:color w:val="auto"/>
        </w:rPr>
        <w:t xml:space="preserve"> </w:t>
      </w:r>
      <w:r>
        <w:rPr>
          <w:rFonts w:ascii="Arial" w:cs="Arial" w:eastAsia="Arial" w:hAnsi="Arial"/>
          <w:sz w:val="16"/>
          <w:szCs w:val="16"/>
          <w:color w:val="auto"/>
        </w:rPr>
        <w:t>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Mr. Frew has been a director since August 2008. Mr. Frew has been chief executive of the British Chamber of Shipping since July 2009 and was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from 2003 until 2008 of GE SeaCo SRL, a joint venture between GE Capital and Sea Containers Ltd and one of the largest global container leasing companies. Mr. Frew was a director of the Institute of International Container Lessors from 2003 until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 Mr. Frew held senior financial positions in a number of small entrepreneurial businesses in the IT consultancy, design and retail industries. Mr. Frew has an honors degree in chemistry from the University of Durham.</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Mr. Morel has been a director since August 2008. Mr. Morel was the general secretary of InterManager, the International Association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Shipmanagers from 2007 to 2010. From 2005 to 2007, he was a professor of corporate finance and director of development at the International University of Monaco. From 1993 to 2004, he was the president, director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 management group, where he was senior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11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Jeffrey D. Pribor. </w:t>
      </w:r>
      <w:r>
        <w:rPr>
          <w:rFonts w:ascii="Arial" w:cs="Arial" w:eastAsia="Arial" w:hAnsi="Arial"/>
          <w:sz w:val="18"/>
          <w:szCs w:val="18"/>
          <w:color w:val="auto"/>
        </w:rPr>
        <w:t>Mr. Pribor has been a director since August 2008. Mr. Pribor is currently executive vice president and the chief financial officer of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Maritime Corporation. Prior to that, from 2002 to 2004, Mr. Pribor was managing director and president of DnB NOR Markets, Inc., the U.S. investment banking division of DnB NOR Bank ASA, responsible for mergers and acquisitions, strategic advisory services and U.S. capital market activities for the bank’s shipping, offshore, logistics and energy clients. From 2001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2002, Mr. Pribor was managing director and group head of transportation banking at ABN AMRO, Inc. where he was responsible for all commercial and investment banking activities for shipping and other transportation companies in North America. From 1996 to 2001, Mr. Pribor was managing director and sector head of transportation and logistics investment banking for ING Barings. He also worked for over 10 years in the mergers and acquisitions group at Merrill Lynch, and as an attorney in the corporate and banking law practice of Milbank, Tweed, Hadley and McCloy. Mr. Pribor holds a B.A. from Yale University and a J.D. and an M.B.A. from Columbia University.</w:t>
      </w:r>
    </w:p>
    <w:p>
      <w:pPr>
        <w:spacing w:after="0" w:line="13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Upon the completion of the Merger, Mr. Webber became our Chief Executive Officer. From 1979 to 1996, Mr. Webber worked for</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3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Susan J. Cook. </w:t>
      </w:r>
      <w:r>
        <w:rPr>
          <w:rFonts w:ascii="Arial" w:cs="Arial" w:eastAsia="Arial" w:hAnsi="Arial"/>
          <w:sz w:val="16"/>
          <w:szCs w:val="16"/>
          <w:color w:val="auto"/>
        </w:rPr>
        <w:t>Upon the completion of the Merger, Ms. Cook became our Chief Financial Officer. From 1986 to 2006, Ms. Cook worked for The Peninsular and</w:t>
      </w:r>
      <w:r>
        <w:rPr>
          <w:rFonts w:ascii="Arial" w:cs="Arial" w:eastAsia="Arial" w:hAnsi="Arial"/>
          <w:sz w:val="16"/>
          <w:szCs w:val="16"/>
          <w:b w:val="1"/>
          <w:bCs w:val="1"/>
          <w:color w:val="auto"/>
        </w:rPr>
        <w:t xml:space="preserve"> </w:t>
      </w:r>
      <w:r>
        <w:rPr>
          <w:rFonts w:ascii="Arial" w:cs="Arial" w:eastAsia="Arial" w:hAnsi="Arial"/>
          <w:sz w:val="16"/>
          <w:szCs w:val="16"/>
          <w:color w:val="auto"/>
        </w:rPr>
        <w:t>Oriental Steam Navigation Company and served as Group Head of Specialized Finance from 2003 to 2006, Head of Structured Finance from 1999 to 2003, Deputy Group Treasurer from 1994 to 1999 and Treasury Manager from 1989 to 1993. She is a Chartered Management Accountant and a member of the Association of Corporate Treasurers. Ms. Cook graduated from Brunel University and received a Master of Science from Oxford University.</w:t>
      </w:r>
    </w:p>
    <w:p>
      <w:pPr>
        <w:spacing w:after="0" w:line="10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Thomas A. Lister. </w:t>
      </w:r>
      <w:r>
        <w:rPr>
          <w:rFonts w:ascii="Arial" w:cs="Arial" w:eastAsia="Arial" w:hAnsi="Arial"/>
          <w:sz w:val="16"/>
          <w:szCs w:val="16"/>
          <w:color w:val="auto"/>
        </w:rPr>
        <w:t>Upon the completion of the Merger, Mr. Lister became our Chief Commercial Officer. From 2005 until 2007, Mr. Lister was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at DVB Group Merchant Bank (Asia) Ltd, responsible for developing DVB’s Singapore ship fund and leasing project. Before that, from 2004 to 2005, he worked for the German KG financier and ship owning group Nordcapital as Director of Business Development. From 1991 to 2002, Mr. Lister worked for a number of shipping companies in both South America and the United States. Mr. Lister graduated from Durham University and holds an MBA from INSEAD.</w:t>
      </w:r>
    </w:p>
    <w:p>
      <w:pPr>
        <w:spacing w:after="0" w:line="10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Vivek Puri. </w:t>
      </w:r>
      <w:r>
        <w:rPr>
          <w:rFonts w:ascii="Arial" w:cs="Arial" w:eastAsia="Arial" w:hAnsi="Arial"/>
          <w:sz w:val="16"/>
          <w:szCs w:val="16"/>
          <w:color w:val="auto"/>
        </w:rPr>
        <w:t>In November 2008 Mr. Puri was appointed as our Chief Technical Officer. Prior to joining us, Mr. Puri was Senior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Global Ship Lease Services Limited, our wholly owned subsidiary, has entered into an employment agreement with Mr. Webber and, pursuant to the terms of an inter-company agreement between us and Global Ship Lease Services Limited, Mr. Webber serves as our Chief Executive Officer. Pursuant to his employment agreement, Mr. Webber receives an annual salary of £290,000 (£250,000 up to December 31, 2010) and is eligible to receive a bonus payment up to an annual maximum of 60% (50% up to December 31, 2010) of his salary at the discretion of Global Ship Lease Services Limited.</w:t>
      </w:r>
    </w:p>
    <w:p>
      <w:pPr>
        <w:spacing w:after="0" w:line="11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ours (or one of our group companies) or be involved in any relevant business in competition with us (or one of our group companies).</w:t>
      </w:r>
    </w:p>
    <w:p>
      <w:pPr>
        <w:spacing w:after="0" w:line="140"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Global Ship Lease Services Limited has entered into an employment agreement with Ms. Cook and, pursuant to the inter-company agreement, Ms. Cook serves as our Chief Financial Officer. Pursuant to her employment agreement, Ms. Cook receives an annual salary of £165,000 (£160,000 for 2010) and is eligible to receive a bonus payment up to an annual maximum of 40% (25% up to December 31, 2010) of her salary at the discretion of Global Ship Lease Services Limited.</w:t>
      </w:r>
    </w:p>
    <w:p>
      <w:pPr>
        <w:spacing w:after="0" w:line="8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ours (or one of our group companies) or be involved in any relevant business in competition with us (or one of our group companies).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Services Limited has entered into an employment agreement with Mr. Lister and, pursuant to the inter-company agreement, Mr. Lister serves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our Chief Commercial Officer. Pursuant to his employment agreement, Mr. Lister receives an annual salary of £175,000 (£150,000 for 2010) and is eligible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a bonus payment up to an annual maximum of 40% (25% up to December 31, 2010) of his salary at the discretion of Global Ship Lease Services Limited.</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six months thereafter, Mr. Lister, will not, among other actions, solicit or attempt to solicit certain employees or certain customers of ours (or one of our group companies) or be involved in any relevant business in competition with us (or one of our group companies).</w:t>
      </w:r>
    </w:p>
    <w:p>
      <w:pPr>
        <w:spacing w:after="0" w:line="140"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Global Ship Lease Services Limited has entered into an employment agreement with Mr. Puri and, pursuant to the inter-company agreement, Mr. Puri serves as our Chief Technical Officer. Pursuant to his employment agreement, Mr. Puri receives an annual salary of £130,000 (£,000 for 2010) and is eligible to receive a bonus payment up to an annual maximum of 40% (25% up to December 31, 2010) of his salary at the discretion of Global Ship Lease Services Limited.</w:t>
      </w:r>
    </w:p>
    <w:p>
      <w:pPr>
        <w:spacing w:after="0" w:line="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certain customers of ours (or one of our group companies) or be involved in any relevant business in competition with us (or one of our group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Chairman of our board of directors receives an annual fee of $150,000, consisting up to December 31, 2009 of $75,000 in cash and an annual restricted stock grant with a grant date value of $75,000. From January 1, 2010, the annual fee consists of $120,000 in cash and an annual restricted stock grant with a grant date value of $30,000. Our other directors receive an annual fee of $100,000, consisting up to December 31, 2009 of $50,000 in cash and an annual restricted stock grant with a grant date value of $50,000. From January 1, 2010, the annual fee consists of $80,000 in cash and an annual restricted stock grant with a grant date value of $20,000. The Chairman of the audit committee receives an additional fee of $15,000 and each member of the audit committee an additional $7,500. The Chairmen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90"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We adopted the 2008 Equity Incentive Plan (the “Plan”), which entitles our and our subsidiaries’ employees, consultants and directors to receive options, stock appreciation rights, stock grants, stock units and dividend equivalents. The following description of the Plan is a summary of the material terms of the Plan.</w:t>
      </w:r>
    </w:p>
    <w:p>
      <w:pPr>
        <w:spacing w:after="0" w:line="6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Plan is administered by our board of directors or a committee of the board of directors. Subject to adjustment as provided below, the maximum aggregate number of Class A common shares that may be delivered pursuant to awards granted under the Plan during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10-year term of the Plan is 1,500,000. The maximum number of Class A common shares with respect to which awards may be granted to any participant in the Plan in any fiscal year is 500,000 per participant. If an award granted under the Plan is forfeited, or otherwise expires, terminates or is canceled without the delivery of shares, then the shares covered by such award will again be available to be delivered pursuant to other awards under the Plan.</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the event that we are subject to a change of control, the Plan administrator in its discretion may make such adjustments and other substitutions to the Plan and outstanding awards under the Plan as it deems equitable or desirable in its sole discretion.</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date of the grant.</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4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Stock grants may be issued with or without cash consideration under the Plan. The holder of a stock grant awarded under the Plan shall have the same voting, dividend and other rights as other Class A common shareholders. The Plan administrator may provide a participant who holds stock grants with dividends or dividend equivalents payable in cash, Class A common shares or other property.</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Subject to the provisions of the Plan, awards granted under the Plan may include dividend equivalents. The Plan administrator may determine the amounts, terms and conditions of any such awards provided that they comply with applicable laws.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became effective as of the closing of the Merger. No award may be granted under the Plan after the tenth anniversary of the date of shareholder approval of the Plan.</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August 2008, our board of directors granted 375,000 restricted shares to Mr. Webber, 202,500 restricted shares to Ms. Cook and 202,500 restricted shares to Mr. Lister under the Plan, which were expected to vest over a three-year period. One third of the award vested over 20 business days commencing mid September 2009, one third vested over 20 business days commencing mid September 2010 and one third vested over 20 business days commencing mid September 2011. In November 2008, Mr. Puri was granted 80,000 restricted shares, half of which vested over 20 business days commencing mid September 2009 and half vested over 20 business days commencing mid September 2010. In March 2011, Mr. Puri was granted 15,000 restricted shares which vested over 20 business days commencing mid September 2011. In September 2011, Mr. Webber was granted 55,000 restricted shares, Ms. Cook 34,000 restricted shares, Mr. Lister 34,000 restricted shares and Mr. Puri 27,000 restricted shares, which were expected to vest over a two-year period. One half of the award was expected to vest over 20 business days commencing mid September 2012, and one half over 20 business days commencing mid September 2013. In March 2012, the grants made in September 2011 were amended and restated to provide that vesting would occur only when the individual leaves employment, for whatever reason, provided that this is after September 30, 2012 in respect of half of the grant and September 30, 2013 for the other half of the grant. In March 2012, Mr. Webber was granted 27,500 restricted shares, Ms. Cook 17,000 restricted shares, Mr. Lister 17,000 restricted shares and Mr. Puri 13,500 restricted shares, which are expected to vest when the individual leaves employment provided that this is after September 30, 2014 and is not as a result of resignation or termination for cause. No further awards have been made.</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Board Practices</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board of directors is divided into three classes with one class of directors being elected in each year and each class serving a three-year term. The term of office of the first class of directors, consisting of Mr. Morel and Mr. Pribor, expired at the first annual meeting of stockholders held in July 2009. They were re-elected to serve until the Annual Meeting to be held in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term of office of the second class of directors, consisting of Mr. Boyd and Mr. Frew, expired at the second annual meeting of stockholders held in July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They were reelected to serve until the Annual Meeting to be held in 2013.</w:t>
      </w:r>
    </w:p>
    <w:p>
      <w:pPr>
        <w:spacing w:after="0" w:line="16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term of office of the third class of directors, consisting of Mr. Gross, expired at the third annual meeting of stockholders held in August 2011. He was reelected to serve until the Annual Meeting to be held in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board of directors has determined that Messrs. Pribor, Frew and Morel are “independent directors” as such term is defined in Rule 10A-3 of the Exchange Act and the rules of the NYSE.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formed an audit committee, a compensation committee, and a governance and nominating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audit committee consists of Messrs. Pribor, Frew and Morel, each of whom is “independent” as defined in Rule 10A-3 of the Exchange Act and the rules of the NYSE. In addition, our board of directors has determined that Mr. Pribor is an “audit committee financial expert” as that term is defined under Item 401 of Regulation S-K of the Securities Exchange Act of 1934,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Experts on Audit Committee</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we have certified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Pribor satisfies the NYSE’s definition of financial sophistication and also qualifies as an “audit committee financial expert,” as defined under rules and regulations of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U.S. issuers are required to have a compensation committee that is comprised entirely of independent directors. Although as a foreign private issuer this rule does not apply to us, we have a compensation committee. Our compensation committee consists of Messrs. Boyd, Frew, Gross and Pribor. The compensation committee is responsible for and reports to the board of directors on the evaluation and compensation of executives, oversees the administration of compensation plans, reviews and determines director compensation and prepares any report on executive compensation required by the rules and regulations of the SEC.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nominating and corporate governance committee consists of Messrs. Boyd, Gross and Morel. The nominating and corporate governance committee reports to the board of directors on and is responsible for succession planning and the appointment, development and performance evaluation of the members of our board and senior executives. It also assesses the adequacy and effectiveness of our corporate governance guidelines, reviewing and recommending changes to the board whenever necessary.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have adopted a code of business conduct and ethics (“Code of Ethics”) that applies to our officers, employees and directors. More information on the Code of Ethics and board committee charters is available on our website (www.globalshiplease.com) and in print to any investor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from NYSE Corporate Governance Rules</w:t>
      </w:r>
    </w:p>
    <w:p>
      <w:pPr>
        <w:spacing w:after="0" w:line="9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As a foreign private issuer, we are exempted from certain corporate governance rules that apply to domestic companies under NYSE listing standards. The following are the significant ways in which our corporate governance practices differ from those followed by domestic companies:</w:t>
      </w:r>
    </w:p>
    <w:p>
      <w:pPr>
        <w:spacing w:after="0" w:line="4" w:lineRule="exact"/>
        <w:rPr>
          <w:sz w:val="20"/>
          <w:szCs w:val="20"/>
          <w:color w:val="auto"/>
        </w:rPr>
      </w:pPr>
    </w:p>
    <w:p>
      <w:pPr>
        <w:ind w:left="900" w:right="980" w:hanging="325"/>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269"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b w:val="1"/>
          <w:bCs w:val="1"/>
          <w:color w:val="auto"/>
        </w:rPr>
        <w:t>D.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we had eight employees.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Share Ownership</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See Item 7.A. “Major Shareholders and Related Party Transactions — Major Shareholders” for information regarding beneficial ownership by our directors and executive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Major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our common shares as of March 31, 2012 by:</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of our common shares shown as beneficially owned, subject to applicable community property laws. As of March 31, 2012, an aggregate of 54,887,820 Class A and Class B common shares were issued and outstanding.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Approximate Percentage of Outstanding</w:t>
            </w:r>
          </w:p>
        </w:tc>
        <w:tc>
          <w:tcPr>
            <w:tcW w:w="0" w:type="dxa"/>
            <w:vAlign w:val="bottom"/>
          </w:tcPr>
          <w:p>
            <w:pPr>
              <w:spacing w:after="0"/>
              <w:rPr>
                <w:sz w:val="1"/>
                <w:szCs w:val="1"/>
                <w:color w:val="auto"/>
              </w:rPr>
            </w:pPr>
          </w:p>
        </w:tc>
      </w:tr>
      <w:tr>
        <w:trPr>
          <w:trHeight w:val="161"/>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324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86"/>
              </w:rPr>
              <w:t>Amount of Beneficial Ownership</w:t>
            </w:r>
          </w:p>
        </w:tc>
        <w:tc>
          <w:tcPr>
            <w:tcW w:w="25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129"/>
        </w:trPr>
        <w:tc>
          <w:tcPr>
            <w:tcW w:w="5640" w:type="dxa"/>
            <w:vAlign w:val="bottom"/>
            <w:gridSpan w:val="3"/>
            <w:vMerge w:val="continue"/>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S. Gross (2)(3)</w:t>
            </w:r>
          </w:p>
        </w:tc>
        <w:tc>
          <w:tcPr>
            <w:tcW w:w="300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13,726,362</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Jeffrey Pribor (3)</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72,909</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Boyd (3)</w:t>
            </w:r>
          </w:p>
        </w:tc>
        <w:tc>
          <w:tcPr>
            <w:tcW w:w="32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47,909</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Angus R. Frew (3)</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47,909</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Morel (3)</w:t>
            </w:r>
          </w:p>
        </w:tc>
        <w:tc>
          <w:tcPr>
            <w:tcW w:w="32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47,909</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Ian J. Webber (4)</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204,800</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Cook (5)</w:t>
            </w:r>
          </w:p>
        </w:tc>
        <w:tc>
          <w:tcPr>
            <w:tcW w:w="32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103,600</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Thomas Lister (6)</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103,600</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 (7)</w:t>
            </w:r>
          </w:p>
        </w:tc>
        <w:tc>
          <w:tcPr>
            <w:tcW w:w="32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49,400</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(9 individuals)</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14,404,398</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 (8)</w:t>
            </w:r>
          </w:p>
        </w:tc>
        <w:tc>
          <w:tcPr>
            <w:tcW w:w="32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27,544,600</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DePrince, Race &amp; Zollo, Inc (9)</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4,213,007</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individuals is c/o Portland House, Stag Place, London SW1E 5RS, United Kingdom.</w:t>
      </w:r>
    </w:p>
    <w:p>
      <w:pPr>
        <w:spacing w:after="0" w:line="38"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Marathon Founders, LLC is the record holder of 6,217,712 Class A and Class B common shares and 3,007,288 Class A warrants (which are included in the table above). Marathon Founders, LLC is owned and controlled by Mr. Gross. As a result, Mr. Gross may be deemed to beneficially own the shares held by Marathon Founders, LLC. At March 31, 2012 Mr. Gross held 8,746 restricted stock units in relation to his remuneration for 2012 as Chairman of the board of directors which are expected to vest in January 2013 (which are not included in the table above). The business address of Mr. Gross is c/o Marathon Founders, LLC, 500 Park Avenue, New York, New York 10022.</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Webber serves as our Chief Executive Officer. At March 31, 2012, Mr. Webber held 82,500 restricted stock units scheduled to vest after May 31, 2012 which are not included in the table above.</w:t>
      </w:r>
    </w:p>
    <w:p>
      <w:pPr>
        <w:ind w:left="460" w:right="4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Ms. Cook serves as our Chief Financial Officer and Secretary. At March 31, 2012, Ms. Cook held 51,000 restricted stock units scheduled to vest after May 31, 2012 which are not included in the table above.</w:t>
      </w:r>
    </w:p>
    <w:p>
      <w:pPr>
        <w:ind w:left="460" w:right="20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Lister serves as our Chief Commercial Officer. At March 31, 2012, Mr. Lister held 51,000 restricted stock units scheduled to vest after May 31, 2012 which are not included in the table above.</w:t>
      </w:r>
    </w:p>
    <w:p>
      <w:pPr>
        <w:ind w:left="460" w:right="1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Puri serves as our Chief Technical Officer. At March 31, 2012, Mr. Puri held 40,500 restricted stock units scheduled to vest after May 31, 2012 which are not included in the table above.</w:t>
      </w:r>
    </w:p>
    <w:p>
      <w:pPr>
        <w:ind w:left="460" w:right="18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CMA CGM S.A. is the record holder of 24,412,700 Class A and Class B common shares and 3,131,900 Class A warrants (which are included in the table above). The business address of CMA CGM S.A. is 4, quai d’Arenc, 13235 Marseille Cedex 02, France.</w:t>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with the SEC on February 15, 2012</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See Item 4.B. “Information on the Company — Business Overview” for a discussion of our commercial transactions and agreements with CMA CGM.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the Merger, we entered into a stockholders agreement with CMA CGM and Marathon Founders, LLC, pursuant to which, until August 14,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CMA CGM agrees not to:</w:t>
      </w:r>
    </w:p>
    <w:p>
      <w:pPr>
        <w:spacing w:after="0" w:line="84"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acquire additional common shares or other equity securities of ours;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tender offer or exchange offer for any common shares or other equity securities of ours;</w:t>
      </w:r>
    </w:p>
    <w:p>
      <w:pPr>
        <w:spacing w:after="0" w:line="90" w:lineRule="exact"/>
        <w:rPr>
          <w:rFonts w:ascii="Arial" w:cs="Arial" w:eastAsia="Arial" w:hAnsi="Arial"/>
          <w:sz w:val="18"/>
          <w:szCs w:val="18"/>
          <w:color w:val="auto"/>
        </w:rPr>
      </w:pPr>
    </w:p>
    <w:p>
      <w:pPr>
        <w:ind w:left="900" w:right="4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or take any action to solicit, initiate or encourage, any offer or proposal for, or any indication of interest in, a merger, other business combination or other extraordinary transaction involving us or any of our subsidiaries, or the acquisition of any common shares or other equity interest in, or a substantial portion of the assets of, us or any of our subsidiaries;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propose any changes to the size or members of our board of directors;</w:t>
      </w:r>
    </w:p>
    <w:p>
      <w:pPr>
        <w:spacing w:after="0" w:line="9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solicit, or become a participant in any solicitation of, any proxy from any holder of common shares in connection with any vote on the matters described in the two preceding bullet points above, or agree or announce its intention to vote with any person undertaking a solicitation or grant any proxies with respect to any common shares to any person with respect to such matters, or deposit any common shares in a voting trust or enter into any other arrangement or agreement with respect to the voting thereof; or</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join or in any way participate in a “group” (within the meaning of the Exchange Act) with respect to any of our common shares.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These standstill restrictions will be temporarily released (i) in the event we or our shareholders receive an unsolicited third party tender offer or exchange offer to acquire at least a majority of the outstanding common shares or there is a public announcement of a proposal or offer, or commencement of a proxy contest, to effect a change of control of us, until such time as our board of directors notifies CMA CGM that in the good faith determination of the board of directors such offer or proposal or proxy contest has concluded or been withdrawn, and (ii) to allow CMA CGM to respond to any vote, offer or other transaction involving a tender offer or exchange offer or a merger, business combination, sale of a substantial portion of assets or other extraordinary transaction that has been approved by the board of directors and/or for which the board of directors has granted its recommendation. We agreed to include such standstill exceptions in any shareholder rights plan we may adopt.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time of the Merger, we entered into a registration rights agreement with CMA CGM, Marathon Investors, LLC, Marathon Founders, LLC and the other initial stockholders of Marathon common stock (including Michael Gross), pursuant to which we agreed to register for resale on a registration statement under the Securities Act and applicable state securities laws, the common shares issued to such shareholders pursuant to the Merger or upon exercise of warrants. CMA CGM has the right to demand up to three registrations and the Marathon initial stockholders will have the right to demand up to two registrations. These shareholders also have the right to request that we file a shelf registration statement with respect to their common shares as soon as the applicable transfer restrictions under the stockholders agreement expire. In addition, these shareholders also have piggyback registration rights allowing them to participate in offerings by us and in demand registrations of the other shareholders. We are obligated to pay all expenses incidental to the registration, excluding underwriter discounts and commissions.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Financial Statements and Other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18. “Financial Statements”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noted in Item 4.B. “Information on the Company—Business Overview—Our Credit Facility” above, pursuant to the terms of the Credit Facility Amendment, we agreed not to declare or pay any dividends to common shareholders until at least November 30,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47,463,978 Class A common shares outstanding at December 31, 2011, there were 7,405,956 subordinated Class B common shares held by Marathon’s initial stockholders and CMA CGM. During the subordination period, no dividends can be paid on the Class B common shares unless dividends at the rate of $0.23 per share have been paid on all Class A common shares for all quarters. In general, during the subordination period, we can pay quarterly dividends on our Class A common shares and subordinated Class B common shares from our operating surplus (as defined in the amended and restated articles of incorporation) in the following manner: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all Class A common shares, pro rata, until each outstanding common share has been paid an amount equal to the applicable dividend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100% to all subordinated Class B common shares, pro rata, until each outstanding Class B common share has been paid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dividend for that quarter;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Notwithstanding the foregoing, the dividend rights of the holders of Class B common shares continue to be subordinated to those of holders of Class A common shares, absent a prior change in control of us.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declaration and payment of any dividend is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credit facility,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paying a dividend on our common shares.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ability to pay dividends may be subject to constraints under or credit facility and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 “Key Information—Risk Factors” for a discussion of the risks associated with our ability to pay dividends.</w:t>
      </w:r>
    </w:p>
    <w:p>
      <w:pPr>
        <w:spacing w:after="0" w:line="14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taxable as “qualified dividend income” (subject to a maximum 15% U.S. federal income tax rate through 2012). See Item. 10 “Additional Information—Taxation—Tax Consequences of Holding Class A Shares—U.S. holders—Taxation of dividends paid on Class A common shares” for information regarding the eligibility requirements for “qualified dividend income” and for a discussion of proposed legislation that, if enacted, would prevent dividends paid by us from constituting qualified dividend income.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Significant Changes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w:t>
            </w:r>
          </w:p>
        </w:tc>
        <w:tc>
          <w:tcPr>
            <w:tcW w:w="8900" w:type="dxa"/>
            <w:vAlign w:val="bottom"/>
          </w:tcPr>
          <w:p>
            <w:pPr>
              <w:spacing w:after="0"/>
              <w:rPr>
                <w:sz w:val="20"/>
                <w:szCs w:val="20"/>
                <w:color w:val="auto"/>
              </w:rPr>
            </w:pPr>
            <w:r>
              <w:rPr>
                <w:rFonts w:ascii="Arial" w:cs="Arial" w:eastAsia="Arial" w:hAnsi="Arial"/>
                <w:sz w:val="18"/>
                <w:szCs w:val="18"/>
                <w:b w:val="1"/>
                <w:bCs w:val="1"/>
                <w:color w:val="auto"/>
              </w:rPr>
              <w:t>The Offer and Listing.</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10040" w:type="dxa"/>
            <w:vAlign w:val="bottom"/>
            <w:gridSpan w:val="3"/>
          </w:tcPr>
          <w:p>
            <w:pPr>
              <w:spacing w:after="0"/>
              <w:rPr>
                <w:sz w:val="20"/>
                <w:szCs w:val="20"/>
                <w:color w:val="auto"/>
              </w:rPr>
            </w:pPr>
            <w:r>
              <w:rPr>
                <w:rFonts w:ascii="Arial" w:cs="Arial" w:eastAsia="Arial" w:hAnsi="Arial"/>
                <w:sz w:val="18"/>
                <w:szCs w:val="18"/>
                <w:color w:val="auto"/>
              </w:rPr>
              <w:t>On August 15, 2008, our Class A common shares began trading on the NYSE under the symbol “GSL”.</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0040" w:type="dxa"/>
            <w:vAlign w:val="bottom"/>
            <w:gridSpan w:val="3"/>
          </w:tcPr>
          <w:p>
            <w:pPr>
              <w:spacing w:after="0"/>
              <w:rPr>
                <w:sz w:val="20"/>
                <w:szCs w:val="20"/>
                <w:color w:val="auto"/>
              </w:rPr>
            </w:pPr>
            <w:r>
              <w:rPr>
                <w:rFonts w:ascii="Arial" w:cs="Arial" w:eastAsia="Arial" w:hAnsi="Arial"/>
                <w:sz w:val="18"/>
                <w:szCs w:val="18"/>
                <w:color w:val="auto"/>
                <w:w w:val="90"/>
              </w:rPr>
              <w:t>The following sets forth the high and low closing sales price of our Class A common shares as reported on the NYSE for the periods shown:</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0040" w:type="dxa"/>
            <w:vAlign w:val="bottom"/>
            <w:gridSpan w:val="3"/>
          </w:tcPr>
          <w:p>
            <w:pPr>
              <w:spacing w:after="0"/>
              <w:rPr>
                <w:sz w:val="20"/>
                <w:szCs w:val="20"/>
                <w:color w:val="auto"/>
              </w:rPr>
            </w:pPr>
            <w:r>
              <w:rPr>
                <w:rFonts w:ascii="Arial" w:cs="Arial" w:eastAsia="Arial" w:hAnsi="Arial"/>
                <w:sz w:val="18"/>
                <w:szCs w:val="18"/>
                <w:b w:val="1"/>
                <w:bCs w:val="1"/>
                <w:color w:val="auto"/>
              </w:rPr>
              <w:t>Class A Common Shares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Quarter Ended</w:t>
            </w:r>
          </w:p>
        </w:tc>
        <w:tc>
          <w:tcPr>
            <w:tcW w:w="2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32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r>
      <w:tr>
        <w:trPr>
          <w:trHeight w:val="203"/>
        </w:trPr>
        <w:tc>
          <w:tcPr>
            <w:tcW w:w="100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September 30, 2008 (since August 15, 2008)</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$7.64</w:t>
            </w: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$6.33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040" w:type="dxa"/>
            <w:vAlign w:val="bottom"/>
            <w:gridSpan w:val="3"/>
          </w:tcPr>
          <w:p>
            <w:pPr>
              <w:spacing w:after="0"/>
              <w:rPr>
                <w:sz w:val="20"/>
                <w:szCs w:val="20"/>
                <w:color w:val="auto"/>
              </w:rPr>
            </w:pPr>
            <w:r>
              <w:rPr>
                <w:rFonts w:ascii="Arial" w:cs="Arial" w:eastAsia="Arial" w:hAnsi="Arial"/>
                <w:sz w:val="18"/>
                <w:szCs w:val="18"/>
                <w:color w:val="auto"/>
              </w:rPr>
              <w:t>December 31, 2008</w:t>
            </w:r>
          </w:p>
        </w:tc>
        <w:tc>
          <w:tcPr>
            <w:tcW w:w="5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$6.30</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$2.34</w:t>
            </w:r>
          </w:p>
        </w:tc>
        <w:tc>
          <w:tcPr>
            <w:tcW w:w="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March 31, 2009</w:t>
            </w:r>
          </w:p>
        </w:tc>
        <w:tc>
          <w:tcPr>
            <w:tcW w:w="8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$3.60</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$1.84</w:t>
            </w:r>
          </w:p>
        </w:tc>
        <w:tc>
          <w:tcPr>
            <w:tcW w:w="100" w:type="dxa"/>
            <w:vAlign w:val="bottom"/>
            <w:shd w:val="clear" w:color="auto" w:fill="CCEEFF"/>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w w:val="98"/>
              </w:rPr>
              <w:t>June 30, 2009</w:t>
            </w:r>
          </w:p>
        </w:tc>
        <w:tc>
          <w:tcPr>
            <w:tcW w:w="8900" w:type="dxa"/>
            <w:vAlign w:val="bottom"/>
          </w:tcPr>
          <w:p>
            <w:pPr>
              <w:spacing w:after="0"/>
              <w:rPr>
                <w:sz w:val="18"/>
                <w:szCs w:val="18"/>
                <w:color w:val="auto"/>
              </w:rPr>
            </w:pPr>
          </w:p>
        </w:tc>
        <w:tc>
          <w:tcPr>
            <w:tcW w:w="5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$2.35</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$1.75</w:t>
            </w:r>
          </w:p>
        </w:tc>
        <w:tc>
          <w:tcPr>
            <w:tcW w:w="100" w:type="dxa"/>
            <w:vAlign w:val="bottom"/>
          </w:tcPr>
          <w:p>
            <w:pPr>
              <w:spacing w:after="0"/>
              <w:rPr>
                <w:sz w:val="18"/>
                <w:szCs w:val="18"/>
                <w:color w:val="auto"/>
              </w:rPr>
            </w:pPr>
          </w:p>
        </w:tc>
      </w:tr>
      <w:tr>
        <w:trPr>
          <w:trHeight w:val="216"/>
        </w:trPr>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$2.10</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$1.19</w:t>
            </w:r>
          </w:p>
        </w:tc>
        <w:tc>
          <w:tcPr>
            <w:tcW w:w="100" w:type="dxa"/>
            <w:vAlign w:val="bottom"/>
            <w:shd w:val="clear" w:color="auto" w:fill="CCEEFF"/>
          </w:tcPr>
          <w:p>
            <w:pPr>
              <w:spacing w:after="0"/>
              <w:rPr>
                <w:sz w:val="18"/>
                <w:szCs w:val="18"/>
                <w:color w:val="auto"/>
              </w:rPr>
            </w:pPr>
          </w:p>
        </w:tc>
      </w:tr>
      <w:tr>
        <w:trPr>
          <w:trHeight w:val="216"/>
        </w:trPr>
        <w:tc>
          <w:tcPr>
            <w:tcW w:w="10040" w:type="dxa"/>
            <w:vAlign w:val="bottom"/>
            <w:gridSpan w:val="3"/>
          </w:tcPr>
          <w:p>
            <w:pPr>
              <w:spacing w:after="0"/>
              <w:rPr>
                <w:sz w:val="20"/>
                <w:szCs w:val="20"/>
                <w:color w:val="auto"/>
              </w:rPr>
            </w:pPr>
            <w:r>
              <w:rPr>
                <w:rFonts w:ascii="Arial" w:cs="Arial" w:eastAsia="Arial" w:hAnsi="Arial"/>
                <w:sz w:val="18"/>
                <w:szCs w:val="18"/>
                <w:color w:val="auto"/>
              </w:rPr>
              <w:t>December 31, 2009</w:t>
            </w:r>
          </w:p>
        </w:tc>
        <w:tc>
          <w:tcPr>
            <w:tcW w:w="5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$1.66</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$1.05</w:t>
            </w:r>
          </w:p>
        </w:tc>
        <w:tc>
          <w:tcPr>
            <w:tcW w:w="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March 31, 2010</w:t>
            </w:r>
          </w:p>
        </w:tc>
        <w:tc>
          <w:tcPr>
            <w:tcW w:w="8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$2.66</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$1.45</w:t>
            </w:r>
          </w:p>
        </w:tc>
        <w:tc>
          <w:tcPr>
            <w:tcW w:w="100" w:type="dxa"/>
            <w:vAlign w:val="bottom"/>
            <w:shd w:val="clear" w:color="auto" w:fill="CCEEFF"/>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w w:val="98"/>
              </w:rPr>
              <w:t>June 30, 2010</w:t>
            </w:r>
          </w:p>
        </w:tc>
        <w:tc>
          <w:tcPr>
            <w:tcW w:w="8900" w:type="dxa"/>
            <w:vAlign w:val="bottom"/>
          </w:tcPr>
          <w:p>
            <w:pPr>
              <w:spacing w:after="0"/>
              <w:rPr>
                <w:sz w:val="18"/>
                <w:szCs w:val="18"/>
                <w:color w:val="auto"/>
              </w:rPr>
            </w:pPr>
          </w:p>
        </w:tc>
        <w:tc>
          <w:tcPr>
            <w:tcW w:w="5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$3.45</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$2.00</w:t>
            </w:r>
          </w:p>
        </w:tc>
        <w:tc>
          <w:tcPr>
            <w:tcW w:w="100" w:type="dxa"/>
            <w:vAlign w:val="bottom"/>
          </w:tcPr>
          <w:p>
            <w:pPr>
              <w:spacing w:after="0"/>
              <w:rPr>
                <w:sz w:val="18"/>
                <w:szCs w:val="18"/>
                <w:color w:val="auto"/>
              </w:rPr>
            </w:pPr>
          </w:p>
        </w:tc>
      </w:tr>
      <w:tr>
        <w:trPr>
          <w:trHeight w:val="216"/>
        </w:trPr>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$2.87</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$2.25</w:t>
            </w:r>
          </w:p>
        </w:tc>
        <w:tc>
          <w:tcPr>
            <w:tcW w:w="100" w:type="dxa"/>
            <w:vAlign w:val="bottom"/>
            <w:shd w:val="clear" w:color="auto" w:fill="CCEEFF"/>
          </w:tcPr>
          <w:p>
            <w:pPr>
              <w:spacing w:after="0"/>
              <w:rPr>
                <w:sz w:val="18"/>
                <w:szCs w:val="18"/>
                <w:color w:val="auto"/>
              </w:rPr>
            </w:pPr>
          </w:p>
        </w:tc>
      </w:tr>
      <w:tr>
        <w:trPr>
          <w:trHeight w:val="216"/>
        </w:trPr>
        <w:tc>
          <w:tcPr>
            <w:tcW w:w="10040" w:type="dxa"/>
            <w:vAlign w:val="bottom"/>
            <w:gridSpan w:val="3"/>
          </w:tcPr>
          <w:p>
            <w:pPr>
              <w:spacing w:after="0"/>
              <w:rPr>
                <w:sz w:val="20"/>
                <w:szCs w:val="20"/>
                <w:color w:val="auto"/>
              </w:rPr>
            </w:pPr>
            <w:r>
              <w:rPr>
                <w:rFonts w:ascii="Arial" w:cs="Arial" w:eastAsia="Arial" w:hAnsi="Arial"/>
                <w:sz w:val="18"/>
                <w:szCs w:val="18"/>
                <w:color w:val="auto"/>
              </w:rPr>
              <w:t>December 31, 2010</w:t>
            </w:r>
          </w:p>
        </w:tc>
        <w:tc>
          <w:tcPr>
            <w:tcW w:w="5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$5.35</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$2.65</w:t>
            </w:r>
          </w:p>
        </w:tc>
        <w:tc>
          <w:tcPr>
            <w:tcW w:w="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March 31, 2011</w:t>
            </w:r>
          </w:p>
        </w:tc>
        <w:tc>
          <w:tcPr>
            <w:tcW w:w="8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$7.43</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$4.94</w:t>
            </w:r>
          </w:p>
        </w:tc>
        <w:tc>
          <w:tcPr>
            <w:tcW w:w="100" w:type="dxa"/>
            <w:vAlign w:val="bottom"/>
            <w:shd w:val="clear" w:color="auto" w:fill="CCEEFF"/>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w w:val="98"/>
              </w:rPr>
              <w:t>June 30, 2011</w:t>
            </w:r>
          </w:p>
        </w:tc>
        <w:tc>
          <w:tcPr>
            <w:tcW w:w="8900" w:type="dxa"/>
            <w:vAlign w:val="bottom"/>
          </w:tcPr>
          <w:p>
            <w:pPr>
              <w:spacing w:after="0"/>
              <w:rPr>
                <w:sz w:val="18"/>
                <w:szCs w:val="18"/>
                <w:color w:val="auto"/>
              </w:rPr>
            </w:pPr>
          </w:p>
        </w:tc>
        <w:tc>
          <w:tcPr>
            <w:tcW w:w="5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$7.08</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$5.33</w:t>
            </w:r>
          </w:p>
        </w:tc>
        <w:tc>
          <w:tcPr>
            <w:tcW w:w="100" w:type="dxa"/>
            <w:vAlign w:val="bottom"/>
          </w:tcPr>
          <w:p>
            <w:pPr>
              <w:spacing w:after="0"/>
              <w:rPr>
                <w:sz w:val="18"/>
                <w:szCs w:val="18"/>
                <w:color w:val="auto"/>
              </w:rPr>
            </w:pPr>
          </w:p>
        </w:tc>
      </w:tr>
      <w:tr>
        <w:trPr>
          <w:trHeight w:val="216"/>
        </w:trPr>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$5.51</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$1.95</w:t>
            </w:r>
          </w:p>
        </w:tc>
        <w:tc>
          <w:tcPr>
            <w:tcW w:w="100" w:type="dxa"/>
            <w:vAlign w:val="bottom"/>
            <w:shd w:val="clear" w:color="auto" w:fill="CCEEFF"/>
          </w:tcPr>
          <w:p>
            <w:pPr>
              <w:spacing w:after="0"/>
              <w:rPr>
                <w:sz w:val="18"/>
                <w:szCs w:val="18"/>
                <w:color w:val="auto"/>
              </w:rPr>
            </w:pPr>
          </w:p>
        </w:tc>
      </w:tr>
      <w:tr>
        <w:trPr>
          <w:trHeight w:val="216"/>
        </w:trPr>
        <w:tc>
          <w:tcPr>
            <w:tcW w:w="10040" w:type="dxa"/>
            <w:vAlign w:val="bottom"/>
            <w:gridSpan w:val="3"/>
          </w:tcPr>
          <w:p>
            <w:pPr>
              <w:spacing w:after="0"/>
              <w:rPr>
                <w:sz w:val="20"/>
                <w:szCs w:val="20"/>
                <w:color w:val="auto"/>
              </w:rPr>
            </w:pPr>
            <w:r>
              <w:rPr>
                <w:rFonts w:ascii="Arial" w:cs="Arial" w:eastAsia="Arial" w:hAnsi="Arial"/>
                <w:sz w:val="18"/>
                <w:szCs w:val="18"/>
                <w:color w:val="auto"/>
              </w:rPr>
              <w:t>December 31, 2011</w:t>
            </w:r>
          </w:p>
        </w:tc>
        <w:tc>
          <w:tcPr>
            <w:tcW w:w="5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$2.78</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$1.65</w:t>
            </w:r>
          </w:p>
        </w:tc>
        <w:tc>
          <w:tcPr>
            <w:tcW w:w="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March 31, 2012</w:t>
            </w:r>
          </w:p>
        </w:tc>
        <w:tc>
          <w:tcPr>
            <w:tcW w:w="8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$3.56</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$1.60</w:t>
            </w:r>
          </w:p>
        </w:tc>
        <w:tc>
          <w:tcPr>
            <w:tcW w:w="100" w:type="dxa"/>
            <w:vAlign w:val="bottom"/>
            <w:shd w:val="clear" w:color="auto" w:fill="CCEEFF"/>
          </w:tcPr>
          <w:p>
            <w:pPr>
              <w:spacing w:after="0"/>
              <w:rPr>
                <w:sz w:val="18"/>
                <w:szCs w:val="18"/>
                <w:color w:val="auto"/>
              </w:rPr>
            </w:pPr>
          </w:p>
        </w:tc>
      </w:tr>
      <w:tr>
        <w:trPr>
          <w:trHeight w:val="49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10.</w:t>
            </w:r>
          </w:p>
        </w:tc>
        <w:tc>
          <w:tcPr>
            <w:tcW w:w="890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Share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Form F-4 (File No. 333-150309) filed with the SEC on April 18, 2008 and are hereby incorporated by reference into this Annual Report.</w:t>
      </w:r>
    </w:p>
    <w:p>
      <w:pPr>
        <w:spacing w:after="0" w:line="10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rights, preferences and restrictions attaching to each class of our capital stock are described in the section “Description of Securities” of our Form F-1 (File No. 333-147070), filed with the SEC on September 12, 2008 and hereby incorporated by reference into this Annual Report and there have been no changes since that date.</w:t>
      </w:r>
    </w:p>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Material Contracts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Reference is made to Item 4.B. “Information on the Company—Business Overview” for a description of the time charters, the ship management agreements and the global expense agreement, which are incorporated herein by reference. Reference is made to Item 5.B. “Operating and Financial Review and Prospects— Liquidity and Capital Resources” for a description of our credit facility, which is incorporated herein by reference. Reference is made to Item 6.B. “Directors, Senior Management and Employees—Compensation” for a description of employment agreements, which is incorporated herein by reference. Reference is made to Item 7.B. “Major Shareholders and Related Party Transactions—Related Party Transactions” for a description of the registration rights agreement and the stockholders agreement, which are incorporated herein by reference.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Exchange Controls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are not aware of any limitations on the right of non-resident or foreign owners to hold or vote our securities imposed by the laws of the Republic of the Marshall Islands or our Articles of Incorporation and Bylaws.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Taxation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material U.S. federal income tax consequences of the acquisition, ownership and disposition of our Class A common shares.</w:t>
      </w:r>
    </w:p>
    <w:p>
      <w:pPr>
        <w:spacing w:after="0" w:line="194"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This section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w:t>
      </w:r>
    </w:p>
    <w:p>
      <w:pPr>
        <w:spacing w:after="0" w:line="6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3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taxpayers who hold Class A common shares as part of a straddle, hedge, conversion transaction or other integrated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our Class A common shares through such entities. Prospective investors may want to consult their tax advisors regarding the specific tax consequences to them of the acquisition, holding or disposition of our Class A common shares, in light of their particular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foreign corporations not engaged in a United States trade or business, the United States imposes a 4% U.S. federal income tax (without allowance of any deductions) on the corporation’s United States source gross transportation income. For this purpose, transportation income includes income from the use, hiring or leasing of a vessel, or the performance of services directly related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use of a vessel (and thus includes time charter and bareboat charter income). The United States source portion of transportation income includes 50% of the income attributable to voyages that begin or end (but not both) in the United States. Generally, no amount of the income from voyages that begin and end outside the United States is treated as United States source, and consequently none of the transportation income attributable to such voyages is subject to this 4% tax. Although the entire amount of transportation income from voyages that begin and end in the United States would be United States source, we do not expect to have any transportation income from voyages that begin and end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do not expect to engage in any activities in the United States or otherwise have a fixed place of business in the United States. Nonetheless, if this situation were to change or we were to be treated as engaged in a United States trade or business, all or a portion of our taxable income, including gain from the sale of vessels, could be treated as effectively connected with the conduct of this United States trade or business, or effectively connected income. Any effectively connected income would be subject to U.S. federal corporate income tax (with the highest statutory rate currently being 35%).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4" w:lineRule="exact"/>
        <w:rPr>
          <w:sz w:val="20"/>
          <w:szCs w:val="20"/>
          <w:color w:val="auto"/>
        </w:rPr>
      </w:pPr>
    </w:p>
    <w:p>
      <w:pPr>
        <w:ind w:left="900" w:right="1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organized in a jurisdiction outside the United States that grants an equivalent exemption from tax to corporations organized in the United States, which we call an Equivalent Exemption;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satisfy one of the following three ownership tests (discussed in more detail below): (1) the more than 50% ownership test, or 50% Ownership Test,</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(2) the controlled foreign corporation test, or CFC Test or (3) the “Publicly Traded Test”; and</w:t>
      </w:r>
    </w:p>
    <w:p>
      <w:pPr>
        <w:spacing w:after="0" w:line="8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(which include the filing of United States income tax returns).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organized under the laws of the Marshall Islands. Each of the vessels in the fleet is owned by a separate wholly owned subsidiary organized either in the Marshall Islands or Cyprus. The United States Treasury Department recognizes both the Marshall Islands and Cyprus as jurisdictions that grant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the second requirement enumerated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order to satisfy the 50% Ownership Test, a non-United States corporation must be able to substantiate that more than 50% of the value of its stock is owned, directly or indirectly, by “qualified shareholders.” For this purpose, qualified shareholders are: (1) individuals who are residents (as defined in the regulations promulgated under Section 883 of the Code, or Section 883 Regulations) of countries, other than the United States, that grant an Equivalent Exemption, (2) non-United States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We believe that we satisfied the 50% Ownership Test up to and including 2008 due to being a wholly owned subsidiary of CMA CGM until the merger on August 14, 2008 but believe that we may not currently be able to satisfy the 50% Ownership Test due to our lack of knowledge of the direct and indirect owners of entities which own our Class A common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The CFC Test</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CFC Test requires that the non-United States corporation be treated as a controlled foreign corporation, or CFC, for U.S. federal income tax purposes. As discussed below at “Tax Consequences of Holding Class A Common Shares—U.S. holders—Possible treatment as a controlled foreign corporation,” we cannot predict at this time whether we will be a CFC.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non-United States corporation be “primarily and regularly traded” on an established securities market either in the United States or in a foreign country that grants an Equivalent Exemption.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Section 883 Regulations provide, in pertinent part, that stock of a non-United States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 Moreover, the Class A common shares represent more than 50% of both the voting power and value of all classes of our shares.</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common shares on the established securities market, other than in minimal quantities, on at least 60 days during the taxable year (or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6</w:t>
      </w:r>
      <w:r>
        <w:rPr>
          <w:rFonts w:ascii="Arial" w:cs="Arial" w:eastAsia="Arial" w:hAnsi="Arial"/>
          <w:sz w:val="16"/>
          <w:szCs w:val="16"/>
          <w:color w:val="auto"/>
        </w:rPr>
        <w:t xml:space="preserve"> of the days in a short taxable year); and (2) the aggregate number of common shares traded on the established securities market during the taxable year is at least 10% of the average number of outstanding common shares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w:t>
      </w:r>
    </w:p>
    <w:p>
      <w:pPr>
        <w:spacing w:after="0" w:line="1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value of the class of stock for more than half the number of days during the taxable year. Based on information currently available to us on our shareholders, it appears that the 5% Override Rule did not apply for 2009, 2010 or 2011 and will continue to not apply if such shareholders were to retain the our Class A common shares throughout 2012 and we were to satisfy certain substantiation requirements. However, it is possible that our ownership may change such that the 5% Override Rule may apply. The ability to avoid application of the 5% Override Rule will be outside of our control and, as a result, no assurances can be provided that we will satisfy the Publicly Traded Test for any year.</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were not to qualify for the Section 883 exemption in any year, the United States income taxes that become payable could have a negative effect on our business, and could result in decreased earnings available for distribution to our shareholders. However, under the charter agreements, CMA CGM has agreed to provide reimbursement for any such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9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has never been, engaged in a U.S. trade or business. Under certain circumstances, if we are so engaged, gain on sale of vessels could be subject to U.S. federal income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IRS would not seek to challenge such a position, or that such a challenge would not be successful.</w:t>
      </w:r>
    </w:p>
    <w:p>
      <w:pPr>
        <w:spacing w:after="0" w:line="1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our Class A common shares that is:</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we make a distribution with respect to our Class A common shares, subject to the discussions of the passive foreign investment company, or PFIC, and CFC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Subject to the discussions of the PFIC and CFC rules below, in the case of a U.S. holder that is a corporation, dividends that we pay will generally be taxable at regular corporate rates of up to 35% and generally will not qualify for a dividends-received deduction available for dividends received from United States corporations. In the case of certain non-corporate U.S. holders, dividends that we pay in taxable years beginning prior to January 1, 2013 generally will be subject to tax at a maximum rate of 15%, provided that the U.S. holder meets certain holding period and other requirements and we are not a PFIC in the taxable year in which the dividends are paid or in the immediately preceding taxable year. Legislation has been introduced which, if enacted, would deny the benefit of the 15% maximum rate to dividends that we pay. We cannot predict whether such legislation will be enacted, or, if so, what its effective date might be.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our Class A common shares.</w:t>
      </w:r>
    </w:p>
    <w:p>
      <w:pPr>
        <w:spacing w:after="0" w:line="14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9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 non-United States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w:t>
      </w:r>
    </w:p>
    <w:p>
      <w:pPr>
        <w:ind w:firstLine="8"/>
        <w:spacing w:after="0" w:line="254"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50% or more of the average value of its assets is attributable to assets that produce passive income or are held for the production of passive income.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4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 Correspondingly, we believe such income should not constitute passive income, and the assets owned and operated by us in connection with the production of such income (in particular, the vessels) should not constitute passive assets under the PFIC rules.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believe there is substantial legal authority supporting our position consisting of case law and IRS pronouncements concerning the characterization of income derived from time charters as services income for other tax purposes. There is, however, no direct legal authority under the PFIC rules addressing our current and projected future operations. Accordingly, no assurance can be given that the IRS will not assert that we are a PFIC with respect to any taxable year, nor that a court would not uphold any such assertion. Moreover, no assurance can be given that we will be able to avoid PFIC classification for any future taxable year if we decide to change the nature and/or extent of our operations.</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our time charters. Subsequently, the IRS has stated that it disagrees with and will not acquiesce to the rental versus services distinction in the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decision, and in its discussion stated that the time charters at issue in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would be treated as producing services income for PFIC purposes. The IRS’s statement with respect to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cannot be relied upon or otherwise cited as precedent by taxpayers. Consequently, no assurance can be given that the IRS or a court of law would accept our position, and there is a risk that the IRS or a court of law could determine that the company is a PFIC.</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If we were to be classified as a PFIC in any year, each U.S. holder of our Class A common shares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3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our Class A common shares;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we were a PFIC will be taxed as ordinary income in the current year; and</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each U.S. holder of our Class A common shares will be required to file an IRS Form 8621 if such U.S. holder holds its shares in any year in which we were classified as a PFIC.</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order to avoid the application of the PFIC rules,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to the QEF election, Section 1296 of the Code permits United States persons to make a “mark-to-market” election with respect to marketable stock in a PFIC. If a U.S. holder of our Class A common shares makes a mark-to-market election, such U.S. holder generally would, in each taxable year: (1) include as ordinary income the excess, if any, of the fair market value of the Class A common shares at the end of the taxable year over such U.S. holder’s adjusted tax basis in the Class A common shares, and (2)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may want to consult their tax advisors as to the consequences to them of making a mark-to-market or QEF election, as well as other U.S. federal income tax consequences of holding stock in a PFIC in light of their particular circumstances.</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reduced rate of U.S. federal income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more than 50% of the voting power or value of our shares is owned by U.S. persons (within the meaning of the Code) who each own (directly or through application of certain rules of attribution) 10% or more of the voting power of the shares, or U.S 10% Holders, we will be a controlled foreign corporation, or a CFC. If we were so treated, there will be additional tax consequences to U.S. 10% Holders. In particular, in each year we are a CFC, such U.S. 10% Holders who directly or indirectly own our shares on the last day of the year will be required to include in ordinary income their pro rata share of our “Subpart F income,” even if no distributions are made, for each such year. Such inclusions will not be eligible for the 15% maximum rate of tax on qualified dividends received by non-corporate taxpayers. In general, Subpart F income will include dividends, interest, royalties and other passive income of ours, but will not include active business income. We believe, and intend to take the position, that the charters we have entered into should not generate passive income, and thus the income generated by our charters should not be treated as Subpart F income to our U.S. 10% Holders, although no assurance can be provided that the IRS will not successfully challenge such position.</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Additionally, if we are treated as a CFC, gain realized by a U.S. 10% Holder on the sale or other disposition of Class A common shares may be treated as dividend income to the extent of our certain accumulated earnings and profits. Moreover, for taxable years of a U.S. 10% Holder in which we are a CFC, and our taxable years that end with or within such taxable years of such U.S. 10% Holders, we generally will not be treated as a PFIC with respect to Class A common shares held by such U.S. 10% Holder (but may be treated as a PFIC with respect to other U.S. holders).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believe that we are not a CFC but cannot predict whether we will become a CFC, and satisfaction of the CFC definitional test is outside of our control. U.S. holders may want to consult their own tax advisors concerning the application of the controlled foreign corporation rules to them in light of their particular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the non-U.S. holder makes certain tax representations regarding the identity of the beneficial owner of the Class A common shares, and that such dividends or gains are not effectively connected with the non-U.S. holder’s conduct of a United States trade or business.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Dividends or gains that are effectively connected with a non-U.S. holder’s conduct of a United States trade or business (and, if required by an applicable income tax treaty, are attributable to a United States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we are treated as a U.S. corporation pursuant to Section 7874 of the Code, non-U.S. holders generally will be subject to withholding tax at a rate of 30% on all dividends paid by us, unless a reduced rate of tax is available under a tax treaty.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W-9 or W-8BEN,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Taxation</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Because we do not (and do not expect in the future) that we will conduct business or operations in the Republic of The Marshall Islands, we are not subject to income, capital gains, profits or other taxation under current Marshall Islands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Taxation</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are subject to taxation in certain non- 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Dividends and Paying Agents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 Statements by Experts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 Documents on Display</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exposed to the impact of interest rate changes primarily through our floating-rate borrowings under our credit facility and our $48 million preferred shares. Significant increases in interest rates could adversely affect our results of operations and our ability to service our own debt. Details of the expected maturity of our borrowings are presented in Item 5.F. “Operating and Financial Review and Prospects – Contractual Obligations”.</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connection with our credit facility and as part of overall risk management, we have entered into interest rate swap agreements to reduce our exposure to market risks of variable interest rates. The swaps are not accounted for as hedging instruments as for accounting purposes they are not expected to be effective in mitigating the risks of changes in interest rates over the term of the debt and they do not meet all U.S. GAAP requirements. As a result, changes in the fair value of the interest rates swaps (mark to market adjustment) are included in earnings each period. Details of our interest rate swaps are provided in note 9 to our Consolidated financial statements included elsewhere in this Annual Report.</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Counterparties to these financial instruments expose us to credit-related losses in the event of non-performance; however, counterparties to these agreements are major financial institutions, and we consider the risk of loss due to non-performance to be minimal. We will not require collateral from these institutions. We will not enter into interest rate swaps for trading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Without applying the effect of any interest rate swap arrangements that we have entered into in connection with our credit facility, and based on borrowings under the credit facility together with the preferred shares and ignoring cash on deposit as of December 31, 2011, a hypothetical 1% increase in LIBOR would have the impact of reducing our net income, before income taxes, by approximately $5.3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interest rate swap agreements that we entered into in connection with the credit facility are intended to minimize the risks associated with our variable rate debt under our credit facility. We expect that these interest rate swaps will significantly reduce the additional cash interest expense that could be caused by upward changes in variable market interest rates.</w:t>
      </w:r>
    </w:p>
    <w:p>
      <w:pPr>
        <w:spacing w:after="0" w:line="14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We have entered into derivatives to swap a notional amount of $580 million of debt from floating rate to fixed rate. $253 million of the derivatives expire in March 2013, $50 million in November 2013, $41 million in August 2014, $45 million in October 2015 and the remaining $191 million in December 2016. The swap counterparties to the derivatives that otherwise expire in December 2016 have a one-time option to cancel the derivatives in February or March 2013. Unless short term interest rates increase significantly before that time, we think it is unlikely that the counterparties will exercise their options to cancel. Due to required prepayment of borrowings, we expect to remain in an over-hedged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shipping industry’s functional currency is the United States dollar. All of our revenues and the majority of our operating costs are in United States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the exception of rising costs associated with the employment of international crews for our vessels and the impact of global oil prices on the cost of lubricating oil, we do not believe that inflation has had or is likely, in the foreseeable future, to have a significant impact on vessel operating expenses, drydocking expenses and general and administrative expenses. For the duration of the Ship Management Agreements, daily operating costs, including the costs of crews and lube oils but excluding insurance and dry docking costs, are capped as discussed elsewhere in this Annual Report.</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2011, the end of the period covered by this report, our disclosure controls and procedures were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2"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relate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59"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evaluated the effectiveness of our internal control over financial reporting as of December 31, 2011 using the framework set forth in the report of the Treadway Commission’s Committee of Sponsoring Organizations. Based on the foregoing, management has concluded that internal control over financial reporting was effective as of December 31, 2011.</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effectiveness of our internal controls over financial reporting as of December 31, 2011 has been audited by PricewaterhouseCoopers Audit, France, the independent registered public accounting firm that audited our December 31, 2011 consolidated financial statements, as stated in their report which is included 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4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During the year ended December 31, 2011 there were no changes with regard to internal control over financial reporting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9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Board has determined that director and member of the Audit Committee, Jeffrey D. Pribor, qualifies as an audit committee financial expert and is independent under applicable NYSE and SEC standards.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have adopted a Code of Business Conduct and Ethics for all employees and directors. This document is available in the Corporate Governance section of our website (www.globalshiplease.com). We also intend to disclose any waivers to or amendments of our Code of Business Conduct and Ethics for the benefit of our directors and executive officers on our website. We will provide a hard copy of our Code of Ethics free of charge upon written request of a shareholder.</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 for 2011 and 2010 was PricewaterhouseCoopers Audit, France, an independent registered public accounting firm.</w:t>
      </w:r>
    </w:p>
    <w:p>
      <w:pPr>
        <w:spacing w:after="0" w:line="246" w:lineRule="exact"/>
        <w:rPr>
          <w:sz w:val="20"/>
          <w:szCs w:val="20"/>
          <w:color w:val="auto"/>
        </w:rPr>
      </w:pPr>
    </w:p>
    <w:p>
      <w:pPr>
        <w:ind w:right="5300"/>
        <w:spacing w:after="0" w:line="491" w:lineRule="auto"/>
        <w:rPr>
          <w:sz w:val="20"/>
          <w:szCs w:val="20"/>
          <w:color w:val="auto"/>
        </w:rPr>
      </w:pPr>
      <w:r>
        <w:rPr>
          <w:rFonts w:ascii="Arial" w:cs="Arial" w:eastAsia="Arial" w:hAnsi="Arial"/>
          <w:sz w:val="15"/>
          <w:szCs w:val="15"/>
          <w:b w:val="1"/>
          <w:bCs w:val="1"/>
          <w:color w:val="auto"/>
        </w:rPr>
        <w:t xml:space="preserve">Fees Incurred by Global Ship Lease for PricewaterhouseCoopers Audit’s Services </w:t>
      </w:r>
      <w:r>
        <w:rPr>
          <w:rFonts w:ascii="Arial" w:cs="Arial" w:eastAsia="Arial" w:hAnsi="Arial"/>
          <w:sz w:val="15"/>
          <w:szCs w:val="15"/>
          <w:color w:val="auto"/>
        </w:rPr>
        <w:t>In 2011 and 2010, the fees for services rendered by the auditors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60" w:type="dxa"/>
            <w:vAlign w:val="bottom"/>
          </w:tcPr>
          <w:p>
            <w:pPr>
              <w:spacing w:after="0"/>
              <w:rPr>
                <w:sz w:val="21"/>
                <w:szCs w:val="21"/>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right w:val="single" w:sz="8" w:color="auto"/>
            </w:tcBorders>
          </w:tcPr>
          <w:p>
            <w:pPr>
              <w:spacing w:after="0"/>
              <w:rPr>
                <w:sz w:val="21"/>
                <w:szCs w:val="21"/>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1"/>
                <w:szCs w:val="21"/>
                <w:color w:val="auto"/>
              </w:rPr>
            </w:pPr>
          </w:p>
        </w:tc>
      </w:tr>
      <w:tr>
        <w:trPr>
          <w:trHeight w:val="210"/>
        </w:trPr>
        <w:tc>
          <w:tcPr>
            <w:tcW w:w="9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$351,500</w:t>
            </w:r>
          </w:p>
        </w:tc>
        <w:tc>
          <w:tcPr>
            <w:tcW w:w="3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$342,200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Audit-Related Fees</w:t>
            </w:r>
          </w:p>
        </w:tc>
        <w:tc>
          <w:tcPr>
            <w:tcW w:w="680" w:type="dxa"/>
            <w:vAlign w:val="bottom"/>
          </w:tcPr>
          <w:p>
            <w:pPr>
              <w:jc w:val="right"/>
              <w:spacing w:after="0"/>
              <w:rPr>
                <w:sz w:val="20"/>
                <w:szCs w:val="20"/>
                <w:color w:val="auto"/>
              </w:rPr>
            </w:pPr>
            <w:r>
              <w:rPr>
                <w:rFonts w:ascii="Arial" w:cs="Arial" w:eastAsia="Arial" w:hAnsi="Arial"/>
                <w:sz w:val="18"/>
                <w:szCs w:val="18"/>
                <w:color w:val="auto"/>
              </w:rPr>
              <w:t>25,900</w:t>
            </w:r>
          </w:p>
        </w:tc>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31,800</w:t>
            </w:r>
          </w:p>
        </w:tc>
        <w:tc>
          <w:tcPr>
            <w:tcW w:w="3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88,205</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$409,200</w:t>
            </w:r>
          </w:p>
        </w:tc>
        <w:tc>
          <w:tcPr>
            <w:tcW w:w="320" w:type="dxa"/>
            <w:vAlign w:val="bottom"/>
            <w:tcBorders>
              <w:right w:val="single" w:sz="8" w:color="auto"/>
            </w:tcBorders>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$430,405</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Tax fees for 2011 and 2010 are primarily for tax consultation services.</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Audit Committee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services, subject to a detailed pre-approval policy and procedure established by them and also subject to a limit for all non-audit fees of $100,000 per year.</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right="5140"/>
        <w:spacing w:after="0" w:line="369" w:lineRule="auto"/>
        <w:rPr>
          <w:sz w:val="20"/>
          <w:szCs w:val="20"/>
          <w:color w:val="auto"/>
        </w:rPr>
      </w:pPr>
      <w:r>
        <w:rPr>
          <w:rFonts w:ascii="Arial" w:cs="Arial" w:eastAsia="Arial" w:hAnsi="Arial"/>
          <w:sz w:val="18"/>
          <w:szCs w:val="18"/>
          <w:b w:val="1"/>
          <w:bCs w:val="1"/>
          <w:color w:val="auto"/>
        </w:rPr>
        <w:t xml:space="preserve">Item 16.E. Purchases of Equity Securities by the Issuer and Affiliated Purchasers </w:t>
      </w:r>
      <w:r>
        <w:rPr>
          <w:rFonts w:ascii="Arial" w:cs="Arial" w:eastAsia="Arial" w:hAnsi="Arial"/>
          <w:sz w:val="18"/>
          <w:szCs w:val="18"/>
          <w:color w:val="auto"/>
        </w:rPr>
        <w:t>Not applicable.</w:t>
      </w:r>
    </w:p>
    <w:p>
      <w:pPr>
        <w:sectPr>
          <w:pgSz w:w="11900" w:h="16838" w:orient="portrait"/>
          <w:cols w:equalWidth="0" w:num="1">
            <w:col w:w="11420"/>
          </w:cols>
          <w:pgMar w:left="240" w:top="459" w:right="239" w:bottom="1440" w:gutter="0" w:footer="0" w:header="0"/>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5"/>
          <w:szCs w:val="15"/>
          <w:b w:val="1"/>
          <w:bCs w:val="1"/>
          <w:color w:val="auto"/>
        </w:rPr>
        <w:t>Change in Registrants’ Certifying Accountant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5"/>
          <w:szCs w:val="15"/>
          <w:b w:val="1"/>
          <w:bCs w:val="1"/>
          <w:color w:val="auto"/>
        </w:rPr>
        <w:t>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ways in which our corporate governance practices differ from those followed by domestic companies:</w:t>
      </w:r>
    </w:p>
    <w:p>
      <w:pPr>
        <w:spacing w:after="0" w:line="90" w:lineRule="exact"/>
        <w:rPr>
          <w:sz w:val="20"/>
          <w:szCs w:val="20"/>
          <w:color w:val="auto"/>
        </w:rPr>
      </w:pPr>
    </w:p>
    <w:p>
      <w:pPr>
        <w:ind w:left="900" w:right="98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19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U.S. issuers are required to have a compensation committee that is comprised entirely of independent directors. Although as a foreign private issuer this rule does not apply to us, we have a compensation committee that consists of four directors, all of whom satisfy NYSE standards for independence.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140" w:type="dxa"/>
            <w:vAlign w:val="bottom"/>
            <w:gridSpan w:val="2"/>
          </w:tcPr>
          <w:p>
            <w:pPr>
              <w:spacing w:after="0"/>
              <w:rPr>
                <w:sz w:val="20"/>
                <w:szCs w:val="20"/>
                <w:color w:val="auto"/>
              </w:rPr>
            </w:pPr>
            <w:r>
              <w:rPr>
                <w:rFonts w:ascii="Arial" w:cs="Arial" w:eastAsia="Arial" w:hAnsi="Arial"/>
                <w:sz w:val="18"/>
                <w:szCs w:val="18"/>
                <w:color w:val="auto"/>
                <w:w w:val="99"/>
              </w:rPr>
              <w:t>The following financial statements, together with the report of PricewaterhouseCoopers Audit thereon, are filed as part of this Annual Report: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140" w:type="dxa"/>
            <w:vAlign w:val="bottom"/>
            <w:gridSpan w:val="2"/>
          </w:tcPr>
          <w:p>
            <w:pPr>
              <w:ind w:left="440"/>
              <w:spacing w:after="0"/>
              <w:rPr>
                <w:sz w:val="20"/>
                <w:szCs w:val="20"/>
                <w:color w:val="auto"/>
              </w:rPr>
            </w:pPr>
            <w:r>
              <w:rPr>
                <w:rFonts w:ascii="Arial" w:cs="Arial" w:eastAsia="Arial" w:hAnsi="Arial"/>
                <w:sz w:val="18"/>
                <w:szCs w:val="18"/>
                <w:i w:val="1"/>
                <w:iCs w:val="1"/>
                <w:color w:val="auto"/>
              </w:rPr>
              <w:t>Audited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Report of Independent Registered Public Accounting Firm</w:t>
            </w:r>
          </w:p>
        </w:tc>
        <w:tc>
          <w:tcPr>
            <w:tcW w:w="280" w:type="dxa"/>
            <w:vAlign w:val="bottom"/>
          </w:tcPr>
          <w:p>
            <w:pPr>
              <w:ind w:left="20"/>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Consolidated Balance Sheets as at December 31, 2011 and 2010</w:t>
            </w:r>
          </w:p>
        </w:tc>
        <w:tc>
          <w:tcPr>
            <w:tcW w:w="280" w:type="dxa"/>
            <w:vAlign w:val="bottom"/>
          </w:tcPr>
          <w:p>
            <w:pPr>
              <w:ind w:left="2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Consolidated Statements of Income for the years ended December 31, 2011, 2010 and 2009</w:t>
            </w:r>
          </w:p>
        </w:tc>
        <w:tc>
          <w:tcPr>
            <w:tcW w:w="280" w:type="dxa"/>
            <w:vAlign w:val="bottom"/>
          </w:tcPr>
          <w:p>
            <w:pPr>
              <w:ind w:left="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years ended December 31, 2011, 2010 and 2009</w:t>
            </w:r>
          </w:p>
        </w:tc>
        <w:tc>
          <w:tcPr>
            <w:tcW w:w="280" w:type="dxa"/>
            <w:vAlign w:val="bottom"/>
          </w:tcPr>
          <w:p>
            <w:pPr>
              <w:ind w:left="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Consolidated Statements of Stockholders’ Equity for the years ended December 31, 2011, 2010 and 2009</w:t>
            </w:r>
          </w:p>
        </w:tc>
        <w:tc>
          <w:tcPr>
            <w:tcW w:w="280" w:type="dxa"/>
            <w:vAlign w:val="bottom"/>
          </w:tcPr>
          <w:p>
            <w:pPr>
              <w:ind w:left="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Notes to the Consolidated Financial Statements</w:t>
            </w:r>
          </w:p>
        </w:tc>
        <w:tc>
          <w:tcPr>
            <w:tcW w:w="280" w:type="dxa"/>
            <w:vAlign w:val="bottom"/>
          </w:tcPr>
          <w:p>
            <w:pPr>
              <w:ind w:left="2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10400" w:type="dxa"/>
            <w:vAlign w:val="bottom"/>
          </w:tcPr>
          <w:p>
            <w:pPr>
              <w:ind w:left="488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5"/>
                <w:szCs w:val="15"/>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1.1</w:t>
            </w:r>
          </w:p>
        </w:tc>
        <w:tc>
          <w:tcPr>
            <w:tcW w:w="580" w:type="dxa"/>
            <w:vAlign w:val="bottom"/>
          </w:tcPr>
          <w:p>
            <w:pPr>
              <w:spacing w:after="0"/>
              <w:rPr>
                <w:sz w:val="16"/>
                <w:szCs w:val="16"/>
                <w:color w:val="auto"/>
              </w:rPr>
            </w:pPr>
          </w:p>
        </w:tc>
        <w:tc>
          <w:tcPr>
            <w:tcW w:w="10340" w:type="dxa"/>
            <w:vAlign w:val="bottom"/>
          </w:tcPr>
          <w:p>
            <w:pPr>
              <w:spacing w:after="0" w:line="195" w:lineRule="exact"/>
              <w:rPr>
                <w:sz w:val="20"/>
                <w:szCs w:val="20"/>
                <w:color w:val="auto"/>
              </w:rPr>
            </w:pPr>
            <w:r>
              <w:rPr>
                <w:rFonts w:ascii="Arial" w:cs="Arial" w:eastAsia="Arial" w:hAnsi="Arial"/>
                <w:sz w:val="18"/>
                <w:szCs w:val="18"/>
                <w:color w:val="auto"/>
                <w:w w:val="97"/>
              </w:rPr>
              <w:t>Amended and Restated Articles of Incorporation of GSL Holdings, Inc. (incorporated by reference to Exhibit C to Exhibit 2.1 Marathon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Amended and Restated By-laws of GSL Holdings, Inc. (incorporated by reference to Exhibit 3.2 of Global Ship Lease, Inc.’s Registration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Statement on Form F-4 (File No. 333-150309) filed on April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Specimen Class A common share certificate (incorporated by reference to Exhibit 4.2 of Global Ship Lease, Inc.’s Registration Statement on Form</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F-1 (File No. 333-153448) filed on September 12,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Agreement and Plan of Merger by and among Marathon Acquisition Corp., GSL Holdings, Inc., Global Ship Lease, Inc. and CMA CGM S.A.,</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dated as of March 21, 2008 (incorporated by reference to Exhibit 2.1 of Marathon Acquisition Corp.’s Current Report on Form 8-K (File No. 001-</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Amendment, dated as of June 2, 2008, to Agreement and Plan of Merger, dated as of March 21, 2008, among Marathon Acquisition Corp., GSL</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Holdings, Inc., CMA CGM S.A. and Global Ship Lease, Inc. (incorporated by reference to Exhibit 2.1 of Marathon Acquisition Corp.’s Current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001-32983) filed on June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Second Amendment, dated as of July 3, 2008, to Agreement and Plan of Merger, dated as of March 21, 2008, among Marathon Acquisition Corp.,</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GSL Holdings, Inc., CMA CGM S.A. and Global Ship Lease, Inc., as amended (incorporated by reference to Exhibit 2.1 of Marathon Acquisition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Corp.’s Current Report on Form 8-K (File No. 001-32983) filed on July 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Registration Rights Agreement between GSL Holdings, Inc., Marathon Founders, LLC, Marathon Investors, LLC, the insiders listed on</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the signature page thereto and CMA CGM S.A. (incorporated by reference to Exhibit A-1 to Exhibit 2.1 of Marathon Acquisition Corp.’s Current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001-32983) filed on July 24,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Founder Warrant Purchase Agreement, dated as of May 11, 2006, between Marathon Acquisition Corp. and Marathon Investors, LLC</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(incorporated by reference to Exhibit 10.8 of Amendment No. 1 to Marathon Acquisition Corp.’s Registration Statement on Form S-1 (File No.</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333-134078) filed on June 29,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First Supplemental Founder Warrant Purchase Agreement, dated March 18, 2008, between the Marathon Acquisition Corp. and Marathon</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Investors, LLC (incorporated by reference to Exhibit 4.1 of Marathon Acquisition Corp.’s Current Report on Form 8-K (File No. 001-32983) filed</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Form Indemnification Agreement between Marathon Acquisition Corp. and each of its directors and executive officers (incorporated by reference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to Exhibit 10.6 of Amendment No. 2 to Marathon Acquisition Corp.’s Registration Statement on Form S-1 (File No. 333-134078) filed on August</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580"/>
              <w:spacing w:after="0"/>
              <w:rPr>
                <w:sz w:val="20"/>
                <w:szCs w:val="20"/>
                <w:color w:val="auto"/>
              </w:rPr>
            </w:pPr>
            <w:r>
              <w:rPr>
                <w:rFonts w:ascii="Arial" w:cs="Arial" w:eastAsia="Arial" w:hAnsi="Arial"/>
                <w:sz w:val="18"/>
                <w:szCs w:val="18"/>
                <w:color w:val="auto"/>
              </w:rPr>
              <w:t>1,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Form of Transitional Services Agreement between Global Ship Lease Services Limited and CMA CGM S.A. (incorporated by reference to Exhibit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A-5 to Exhibit 2.1 of Marathon Acquisition Corp.’s Current Report on Form 8-K (File No. 001-32983)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Amended and Restated Asset Purchase Agreement, dated as of December 5, 2007, among Global Ship Lease, Inc. and CMA CGM S.A., Delmas</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S.A.S., Pacific I S.N.C. and Pacific II S.N.C. (incorporated by reference to Exhibit 10.7 of Global Ship Lease, Inc.’s Registration Statement 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F-4 (File No. 333-150309) filed on April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Form of Second Amended and Restated Asset Purchase Agreement among Global Ship Lease, Inc. and CMA CGM S.A., Delmas S.A.S., Pacific I</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S.N.C. and Pacific II S.N.C. (incorporated by reference to Exhibit A-2 to Exhibit 2.1 of Marathon Acquisition Corp’s Current Report on Form 8-K</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Credit Facility, dated as of December 10, 2007, among the Companies Listed In Part 1 of Schedule 1 thereto, Global Ship Lease, Inc., Fortis Bank</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(Nederland) N.V., Citigroup Global Markets Limited, HSH Nordbank AG, DNB Nor Bank ASA, Sumitomo Mitsui Banking Corporation, Brussels</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Branch (incorporated by reference to Exhibit 10.9 of Amendment No. 3 to Global Ship Lease, Inc.’s Registration Statement on Form F-1 (File No.</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333-147070) filed on November 13, 2007).</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5"/>
                <w:szCs w:val="15"/>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4.12</w:t>
            </w:r>
          </w:p>
        </w:tc>
        <w:tc>
          <w:tcPr>
            <w:tcW w:w="580" w:type="dxa"/>
            <w:vAlign w:val="bottom"/>
          </w:tcPr>
          <w:p>
            <w:pPr>
              <w:spacing w:after="0"/>
              <w:rPr>
                <w:sz w:val="16"/>
                <w:szCs w:val="16"/>
                <w:color w:val="auto"/>
              </w:rPr>
            </w:pPr>
          </w:p>
        </w:tc>
        <w:tc>
          <w:tcPr>
            <w:tcW w:w="10340" w:type="dxa"/>
            <w:vAlign w:val="bottom"/>
          </w:tcPr>
          <w:p>
            <w:pPr>
              <w:spacing w:after="0" w:line="195" w:lineRule="exact"/>
              <w:rPr>
                <w:sz w:val="20"/>
                <w:szCs w:val="20"/>
                <w:color w:val="auto"/>
              </w:rPr>
            </w:pPr>
            <w:r>
              <w:rPr>
                <w:rFonts w:ascii="Arial" w:cs="Arial" w:eastAsia="Arial" w:hAnsi="Arial"/>
                <w:sz w:val="18"/>
                <w:szCs w:val="18"/>
                <w:color w:val="auto"/>
                <w:w w:val="90"/>
              </w:rPr>
              <w:t>Addendum No. 1 to Credit Facility, dated December 10, 2007, among the Companies Listed In Part 1 of Schedule 1 thereto, Global Ship Lease,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Inc., Fortis Bank (Nederland) N.V., Citigroup Global Markets Limited, HSH Nordbank AG, DNB Nor Bank ASA, Sumitomo Mitsui Banking</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Corporation, Brussels Branch (incorporated by reference to Exhibit 10.10 of Global Ship Lease, Inc.’s Registration Statement on Form F-4 (File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333-150309) filed on April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Addendum No. 2 to Credit Facility, dated February 2009, among the Companies Listed In Part 1 of Schedule 1 thereto, Global Ship Lease, Inc.,</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Fortis Bank (Nederland) N.V., Citigroup Global Markets Limited, HSH Nordbank AG, DNB Nor Bank ASA, Sumitomo Mitsui Banking</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Corporation, Brussels Branch, (incorporated by reference to Exhibit II of Global Ship Lease, Inc.’s Current Report on Form 6-K (File No. 001-</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341539) filed on February 10,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April 29, 2009, between Global Ship Lease, Inc. and Fortis Bank (Nederland) N.V., as Facility Agent</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May 1,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June 26, 2009, between Global Ship Lease, Inc. and Fortis Bank (Nederland) N.V., as Facility Agent</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June 29,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Waiver Agreement to Credit Facility, dated July 30, 2009, between Global Ship Lease, Inc. and Fortis Bank (Nederland) N.V., as Facility Agent</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July 31,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Amendment and Restatement Agreement to Credit Facility, dated August 20, 2009, among the Companies Listed In Part 1 of Schedule 1 thereto,</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Global Ship Lease, Inc., Fortis Bank (Nederland) N.V., Citigroup Global Markets Limited, HSH Nordbank AG, DNB Nor Bank ASA, Sumitomo</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Mitsui Banking Corporation, Brussels Branch, (incorporated by reference to Exhibit II of Global Ship Lease, Inc.’s Current Report on Form 6-K</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001-341539) filed on August 21,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Global Ship Lease, Inc. in favor of the charterer listed on Schedule I thereto (incorporated by reference to Exhibit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10.10 of Global Ship Lease, Inc.’s Registration Statement on Form F-1 (File No. 333-147070) filed on November 1,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the CMA CGM S.A. in favor of Global Ship Lease, Inc. (incorporated by reference to Exhibit 10.11 of Global Ship</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Charter Agreement entered into by a subsidiary of Global Ship Lease, Inc. and CMA CGM S.A. or one of its subsidiaries (incorporated</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by reference to Exhibit 2.1 of Marathon Acquisition Corp.’s Current Report on Form 8-K (File No. 001-32983)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Form of Ship Management Agreement entered into by CMA Ships and a Subsidiary of Global Ship Lease, Inc. (incorporated by reference to</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Exhibit A-3 to Exhibit 2.1 of Marathon Acquisition Corp.’s Current Report on Form 8-K (File No. 001-32983)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Global Ship Lease, Inc. in favor of CMA CGM S.A. and CMA Ships (incorporated by reference to Exhibit 10.14 of</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Global Ship Lease, Inc.’s Registration Statement on Form F-1 (File No. 333-147070) filed on November 1,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CMA CGM S.A. in favor of Global Ship Lease, Inc. and its Subsidiaries (incorporated by reference to Exhibit 1015</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Form of Global Expense Agreement between CMA Ships and Global Ship Lease, Inc. (incorporated by reference to Exhibit 10.16 of Global Ship</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Form of Indemnification Agreement entered into between Global Ship Lease, Inc. and each of its directors and officers (incorporated by reference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to Exhibit 10.17 of Global Ship Lease, Inc.’s Registration Statement on Form F-1 (File No. 333-147070) filed on November 1, 2007).</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4.26</w:t>
            </w:r>
          </w:p>
        </w:tc>
        <w:tc>
          <w:tcPr>
            <w:tcW w:w="66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Form of Stockholders Agreement among GSL Holdings, Inc., CMA CGM S.A. and Marathon Founders, LLC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Exhibit B to Exhibit 2.1 of Marathon Acquisition Corp.’s Current Report on Form 8-K (File No. 001-32983) filed on June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4.27</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2008 Equity Incentive Plan (incorporated by reference to Exhibit 10.22 of Global Ship Lease, Inc.’s Registration Statement on Form F-1 (File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No. 333-153448) filed on September 12,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4.28</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Employment Agreement of Ian J. Webber (incorporated by reference to Exhibit 10.23 of Amendment No. 3 to Global Ship Lease, Inc.’s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4.29</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Form of Employment Agreement of Susan J. Cook (incorporated by reference to Exhibit 10.24 of Amendment No. 3 to Global Ship Lease, Inc.’s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4.30</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Form of Employment Agreement of Thomas A. Lister (incorporated by reference to Exhibit 10.25 of Amendment No. 3 to Global Ship Lease,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Inc.’s Registration Statement on Form F-4 (File No. 333-150309) filed on July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789 (incorporated by reference to Exhibit 10.26 of Global Ship Lease, Inc.’s Registration Statement on</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790 (incorporated by reference to Exhibit 10.27 of Global Ship Lease, Inc.’s Registration Statement on</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Agreement in Respect of the Vessel with Builder’s Hull No. YZJ2007-789 dated November 8, 2010 (incorporated by reference to Exhibit III of</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Current Report on Form 6-K (File No. 001-34153) filed on November 12,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Agreement in Respect of the Vessel with Builder’s Hull No. YZJ2007-790 dated November 8, 2010 (incorporated by reference to Exhibit III of</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Current Report on Form 6-K (File No. 001-34153) filed on November 12,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List of Subsidiaries of Global Ship Lease, Inc. (incorporated by reference to Exhibit II of Global Ship Lease, Inc.’s Annual Report on Form 20-F</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(File No. 001-341539) filed on June 25,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Code of Ethics (incorporated by reference to Exhibit II of Global Ship Lease, Inc.’s Annual Report on Form 20-F (File No. 001-341539) filed on</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June 25,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Ian J. Webber, Chief Executive Officer, pursuant to 18 U.S.C. Section 1350, as adopted pursuant to</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Susan J. Cook, Chief Financial Officer, pursuant to 18 U.S.C. Section 1350, as adopted pursuant to</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Consent of PricewaterhouseCoopers Audit to the incorporation by reference of the consolidated financial statements of the Company for the</w:t>
            </w:r>
          </w:p>
        </w:tc>
      </w:tr>
    </w:tbl>
    <w:p>
      <w:pPr>
        <w:ind w:left="1160"/>
        <w:spacing w:after="0"/>
        <w:rPr>
          <w:sz w:val="20"/>
          <w:szCs w:val="20"/>
          <w:color w:val="auto"/>
        </w:rPr>
      </w:pPr>
      <w:r>
        <w:rPr>
          <w:rFonts w:ascii="Arial" w:cs="Arial" w:eastAsia="Arial" w:hAnsi="Arial"/>
          <w:sz w:val="18"/>
          <w:szCs w:val="18"/>
          <w:color w:val="auto"/>
        </w:rPr>
        <w:t>fiscal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I</w:t>
            </w:r>
            <w:r>
              <w:rPr>
                <w:rFonts w:ascii="Arial" w:cs="Arial" w:eastAsia="Arial" w:hAnsi="Arial"/>
                <w:sz w:val="14"/>
                <w:szCs w:val="14"/>
                <w:color w:val="auto"/>
              </w:rPr>
              <w:t>AN</w:t>
            </w:r>
            <w:r>
              <w:rPr>
                <w:rFonts w:ascii="Arial" w:cs="Arial" w:eastAsia="Arial" w:hAnsi="Arial"/>
                <w:sz w:val="18"/>
                <w:szCs w:val="18"/>
                <w:color w:val="auto"/>
              </w:rPr>
              <w:t xml:space="preserve"> J. W</w:t>
            </w:r>
            <w:r>
              <w:rPr>
                <w:rFonts w:ascii="Arial" w:cs="Arial" w:eastAsia="Arial" w:hAnsi="Arial"/>
                <w:sz w:val="14"/>
                <w:szCs w:val="14"/>
                <w:color w:val="auto"/>
              </w:rPr>
              <w:t>EBBER</w:t>
            </w:r>
          </w:p>
        </w:tc>
      </w:tr>
      <w:tr>
        <w:trPr>
          <w:trHeight w:val="144"/>
        </w:trPr>
        <w:tc>
          <w:tcPr>
            <w:tcW w:w="380" w:type="dxa"/>
            <w:vAlign w:val="bottom"/>
          </w:tcPr>
          <w:p>
            <w:pPr>
              <w:spacing w:after="0"/>
              <w:rPr>
                <w:sz w:val="12"/>
                <w:szCs w:val="12"/>
                <w:color w:val="auto"/>
              </w:rPr>
            </w:pPr>
          </w:p>
        </w:tc>
        <w:tc>
          <w:tcPr>
            <w:tcW w:w="41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Ian J. Webber</w:t>
            </w:r>
          </w:p>
        </w:tc>
      </w:tr>
      <w:tr>
        <w:trPr>
          <w:trHeight w:val="174"/>
        </w:trPr>
        <w:tc>
          <w:tcPr>
            <w:tcW w:w="380" w:type="dxa"/>
            <w:vAlign w:val="bottom"/>
          </w:tcPr>
          <w:p>
            <w:pPr>
              <w:spacing w:after="0"/>
              <w:rPr>
                <w:sz w:val="15"/>
                <w:szCs w:val="15"/>
                <w:color w:val="auto"/>
              </w:rPr>
            </w:pP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GLOSSARY OF SHIPPING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definitions of certain terms that are commonly used in the shipping industry and in this Annual Report.</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 takes</w:t>
      </w:r>
      <w:r>
        <w:rPr>
          <w:rFonts w:ascii="Arial" w:cs="Arial" w:eastAsia="Arial" w:hAnsi="Arial"/>
          <w:sz w:val="18"/>
          <w:szCs w:val="18"/>
          <w:i w:val="1"/>
          <w:iCs w:val="1"/>
          <w:color w:val="auto"/>
        </w:rPr>
        <w:t xml:space="preserve"> </w:t>
      </w:r>
      <w:r>
        <w:rPr>
          <w:rFonts w:ascii="Arial" w:cs="Arial" w:eastAsia="Arial" w:hAnsi="Arial"/>
          <w:sz w:val="18"/>
          <w:szCs w:val="18"/>
          <w:color w:val="auto"/>
        </w:rPr>
        <w:t>place every year.</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destination of unloading to a point of reloading of cargo.</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 water, taken on a ship to increase draught, to change trim, or to improve stability or a voyage in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ship is not laden with cargo.</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Bareboat Charter. </w:t>
      </w:r>
      <w:r>
        <w:rPr>
          <w:rFonts w:ascii="Arial" w:cs="Arial" w:eastAsia="Arial" w:hAnsi="Arial"/>
          <w:sz w:val="18"/>
          <w:szCs w:val="18"/>
          <w:color w:val="auto"/>
        </w:rPr>
        <w:t>A charter of a ship under which the ship-owner is usually paid a fixed amount of charterhire for a certain period of time during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charterer is responsible for the ship operating expenses and voyage expenses of the ship and for the management of the ship, including crewing. A bareboat charter is also known as a “demise charter” or a “time charter by demise.”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 and generators.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Capacity</w:t>
      </w:r>
      <w:r>
        <w:rPr>
          <w:rFonts w:ascii="Arial" w:cs="Arial" w:eastAsia="Arial" w:hAnsi="Arial"/>
          <w:sz w:val="18"/>
          <w:szCs w:val="18"/>
          <w:color w:val="auto"/>
        </w:rPr>
        <w:t>. The nominal carrying capacity of the ship, measured in TEU.</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The hire of a ship for a specified period of time or a particular voyage to carry a cargo from a loading port to a discharging port.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Charterer</w:t>
      </w:r>
      <w:r>
        <w:rPr>
          <w:rFonts w:ascii="Arial" w:cs="Arial" w:eastAsia="Arial" w:hAnsi="Arial"/>
          <w:sz w:val="18"/>
          <w:szCs w:val="18"/>
          <w:color w:val="auto"/>
        </w:rPr>
        <w:t>. The party that hires a ship for a period of time or for a voyage.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Charterhire</w:t>
      </w:r>
      <w:r>
        <w:rPr>
          <w:rFonts w:ascii="Arial" w:cs="Arial" w:eastAsia="Arial" w:hAnsi="Arial"/>
          <w:sz w:val="18"/>
          <w:szCs w:val="18"/>
          <w:color w:val="auto"/>
        </w:rPr>
        <w:t>. A sum of money paid to the ship-owner by a charterer for the use of a ship.</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Charter owner</w:t>
      </w:r>
      <w:r>
        <w:rPr>
          <w:rFonts w:ascii="Arial" w:cs="Arial" w:eastAsia="Arial" w:hAnsi="Arial"/>
          <w:sz w:val="18"/>
          <w:szCs w:val="18"/>
          <w:color w:val="auto"/>
        </w:rPr>
        <w:t>. A company that owns containerships and charters out its ships to container shipping companies rather than operating the ships for liner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also known as ship-owner or lessor.</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a Charter owner normally as a daily rate for the use of its containerships by a charterer. Charter rates can be on a time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or bareboat charter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 for that type</w:t>
      </w:r>
      <w:r>
        <w:rPr>
          <w:rFonts w:ascii="Arial" w:cs="Arial" w:eastAsia="Arial" w:hAnsi="Arial"/>
          <w:sz w:val="18"/>
          <w:szCs w:val="18"/>
          <w:i w:val="1"/>
          <w:iCs w:val="1"/>
          <w:color w:val="auto"/>
        </w:rPr>
        <w:t xml:space="preserve"> </w:t>
      </w:r>
      <w:r>
        <w:rPr>
          <w:rFonts w:ascii="Arial" w:cs="Arial" w:eastAsia="Arial" w:hAnsi="Arial"/>
          <w:sz w:val="18"/>
          <w:szCs w:val="18"/>
          <w:color w:val="auto"/>
        </w:rPr>
        <w:t>of ship and complies with the applicable rules and regulations of the country of the ship’s registry and the international conventions of which that country is a member. A ship that receives its certification is referred to as being “in-class.”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 services using owned or chartered ships with fixed port of call schedules. Also known as</w:t>
      </w:r>
      <w:r>
        <w:rPr>
          <w:rFonts w:ascii="Arial" w:cs="Arial" w:eastAsia="Arial" w:hAnsi="Arial"/>
          <w:sz w:val="18"/>
          <w:szCs w:val="18"/>
          <w:i w:val="1"/>
          <w:iCs w:val="1"/>
          <w:color w:val="auto"/>
        </w:rPr>
        <w:t xml:space="preserve"> </w:t>
      </w:r>
      <w:r>
        <w:rPr>
          <w:rFonts w:ascii="Arial" w:cs="Arial" w:eastAsia="Arial" w:hAnsi="Arial"/>
          <w:sz w:val="18"/>
          <w:szCs w:val="18"/>
          <w:color w:val="auto"/>
        </w:rPr>
        <w:t>a carrier, liner company or an operator.</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Drydocking</w:t>
      </w:r>
      <w:r>
        <w:rPr>
          <w:rFonts w:ascii="Arial" w:cs="Arial" w:eastAsia="Arial" w:hAnsi="Arial"/>
          <w:sz w:val="16"/>
          <w:szCs w:val="16"/>
          <w:color w:val="auto"/>
        </w:rPr>
        <w:t>. Placing the ship in a drydock in order to check and repair areas and parts below the water line. During drydockings, which are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carried out periodically, certain mandatory classification society inspections are carried out and relevant certifications are issued. Under Classification Society rules, drydockings for containerships are generally required once every three to five years or after an accident resulting in under-water damage.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Freight rate</w:t>
      </w:r>
      <w:r>
        <w:rPr>
          <w:rFonts w:ascii="Arial" w:cs="Arial" w:eastAsia="Arial" w:hAnsi="Arial"/>
          <w:sz w:val="16"/>
          <w:szCs w:val="16"/>
          <w:color w:val="auto"/>
        </w:rPr>
        <w:t>. The amount charged by container shipping companies for transporting cargo, normally as a rate per 20-foot or 40-foot container.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Geared Containerships</w:t>
      </w:r>
      <w:r>
        <w:rPr>
          <w:rFonts w:ascii="Arial" w:cs="Arial" w:eastAsia="Arial" w:hAnsi="Arial"/>
          <w:sz w:val="16"/>
          <w:szCs w:val="16"/>
          <w:color w:val="auto"/>
        </w:rPr>
        <w:t>. Self-sustained containerships, which are able to load and discharge containers with their own onboard cranes and derricks.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at 100 cubic feet to the ton.</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Headhaul</w:t>
      </w:r>
      <w:r>
        <w:rPr>
          <w:rFonts w:ascii="Arial" w:cs="Arial" w:eastAsia="Arial" w:hAnsi="Arial"/>
          <w:sz w:val="18"/>
          <w:szCs w:val="18"/>
          <w:color w:val="auto"/>
        </w:rPr>
        <w:t>. The stronger leg of a round trip voyage with greater volume than the weaker backhaul or the outgoing goods to be delivered from a point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Intermediate survey</w:t>
      </w:r>
      <w:r>
        <w:rPr>
          <w:rFonts w:ascii="Arial" w:cs="Arial" w:eastAsia="Arial" w:hAnsi="Arial"/>
          <w:sz w:val="16"/>
          <w:szCs w:val="16"/>
          <w:color w:val="auto"/>
        </w:rPr>
        <w:t>. The inspection of a ship by a classification society surveyor that takes place 24 to 36 months after each special survey.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Newbuilding</w:t>
      </w:r>
      <w:r>
        <w:rPr>
          <w:rFonts w:ascii="Arial" w:cs="Arial" w:eastAsia="Arial" w:hAnsi="Arial"/>
          <w:sz w:val="18"/>
          <w:szCs w:val="18"/>
          <w:color w:val="auto"/>
        </w:rPr>
        <w:t>. A ship on order, under construction or just delivered.</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Off-hire</w:t>
      </w:r>
      <w:r>
        <w:rPr>
          <w:rFonts w:ascii="Arial" w:cs="Arial" w:eastAsia="Arial" w:hAnsi="Arial"/>
          <w:sz w:val="18"/>
          <w:szCs w:val="18"/>
          <w:color w:val="auto"/>
        </w:rPr>
        <w:t>. The period in which a ship is not available for service under a charter and, accordingly, the charterer generally is not required to pay the hire. Off-hire periods can include days spent on repairs, drydocking and surveys, whether or not scheduled.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government, flag state, class certification and international rules and regulations.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Shipper</w:t>
      </w:r>
      <w:r>
        <w:rPr>
          <w:rFonts w:ascii="Arial" w:cs="Arial" w:eastAsia="Arial" w:hAnsi="Arial"/>
          <w:sz w:val="16"/>
          <w:szCs w:val="16"/>
          <w:color w:val="auto"/>
        </w:rPr>
        <w:t>. Someone who prepares goods for shipment or arranges seaborne transportation; essentially a customer of a container shipping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 typically built at the same shipyard.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 ship by a</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society.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 or for short periods of time, up to 12 months.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TEU </w:t>
      </w:r>
      <w:r>
        <w:rPr>
          <w:rFonts w:ascii="Arial" w:cs="Arial" w:eastAsia="Arial" w:hAnsi="Arial"/>
          <w:sz w:val="18"/>
          <w:szCs w:val="18"/>
          <w:color w:val="auto"/>
        </w:rPr>
        <w:t>. A 20-foot equivalent unit, the international standard measure for containers and containership capacity.</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 the crew</w:t>
      </w:r>
      <w:r>
        <w:rPr>
          <w:rFonts w:ascii="Arial" w:cs="Arial" w:eastAsia="Arial" w:hAnsi="Arial"/>
          <w:sz w:val="18"/>
          <w:szCs w:val="18"/>
          <w:i w:val="1"/>
          <w:iCs w:val="1"/>
          <w:color w:val="auto"/>
        </w:rPr>
        <w:t xml:space="preserve"> </w:t>
      </w:r>
      <w:r>
        <w:rPr>
          <w:rFonts w:ascii="Arial" w:cs="Arial" w:eastAsia="Arial" w:hAnsi="Arial"/>
          <w:sz w:val="18"/>
          <w:szCs w:val="18"/>
          <w:color w:val="auto"/>
        </w:rPr>
        <w:t>and paying ship operating expenses while the charterer is responsible for paying the voyage expenses such as fuel and additional voyage insurance. The ship-owner is paid charterhire, which accrues on a daily basis.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Vessel operating expenses</w:t>
      </w:r>
      <w:r>
        <w:rPr>
          <w:rFonts w:ascii="Arial" w:cs="Arial" w:eastAsia="Arial" w:hAnsi="Arial"/>
          <w:sz w:val="16"/>
          <w:szCs w:val="16"/>
          <w:color w:val="auto"/>
        </w:rPr>
        <w:t>. The costs of operating a ship, primarily consisting of crew wages and associated costs, insurance premiums, ship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fees, costs of lubricants and spare parts, and repair and maintenance costs. Vessel operating expenses exclude bunker costs, port expenses, stevedoring costs, agents’ fees, canal dues, extra war risk insurance and commissions, which are included in “voyage expenses.”</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costs, port expenses, stevedoring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agents’ fees, canal dues, extra war risk insurance and commissions.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YEAR ENDED DECEMBER 31, 2011</w:t>
      </w:r>
    </w:p>
    <w:p>
      <w:pPr>
        <w:sectPr>
          <w:pgSz w:w="11900" w:h="16838" w:orient="portrait"/>
          <w:cols w:equalWidth="0" w:num="1">
            <w:col w:w="10219"/>
          </w:cols>
          <w:pgMar w:left="240" w:top="45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600" w:type="dxa"/>
            <w:vAlign w:val="bottom"/>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Report of Independent Registered Public Accounting Firm</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6"/>
              </w:rPr>
              <w:t>F-1</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45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87">
              <w:r>
                <w:rPr>
                  <w:rFonts w:ascii="Arial" w:cs="Arial" w:eastAsia="Arial" w:hAnsi="Arial"/>
                  <w:sz w:val="18"/>
                  <w:szCs w:val="18"/>
                  <w:color w:val="0000EE"/>
                  <w:w w:val="85"/>
                </w:rPr>
                <w:t>Consolidated Balance Sheets as at December 31, 2011 and 2010</w:t>
              </w:r>
            </w:hyperlink>
          </w:p>
        </w:tc>
        <w:tc>
          <w:tcPr>
            <w:tcW w:w="6080" w:type="dxa"/>
            <w:vAlign w:val="bottom"/>
            <w:gridSpan w:val="4"/>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F-2 - F-3</w:t>
            </w:r>
          </w:p>
        </w:tc>
      </w:tr>
      <w:tr>
        <w:trPr>
          <w:trHeight w:val="304"/>
        </w:trPr>
        <w:tc>
          <w:tcPr>
            <w:tcW w:w="10600" w:type="dxa"/>
            <w:vAlign w:val="bottom"/>
            <w:gridSpan w:val="7"/>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Consolidated Statements of Income for the years ended December 31, 2011, 2010 and 2009</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6"/>
              </w:rPr>
              <w:t>F-4</w:t>
            </w:r>
          </w:p>
        </w:tc>
      </w:tr>
      <w:tr>
        <w:trPr>
          <w:trHeight w:val="20"/>
        </w:trPr>
        <w:tc>
          <w:tcPr>
            <w:tcW w:w="308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90">
              <w:r>
                <w:rPr>
                  <w:rFonts w:ascii="Arial" w:cs="Arial" w:eastAsia="Arial" w:hAnsi="Arial"/>
                  <w:sz w:val="18"/>
                  <w:szCs w:val="18"/>
                  <w:color w:val="0000EE"/>
                  <w:w w:val="86"/>
                </w:rPr>
                <w:t>Consolidated Statements of Cash Flows for the years ended December 31, 2011, 2010 and 2009</w:t>
              </w:r>
            </w:hyperlink>
          </w:p>
        </w:tc>
        <w:tc>
          <w:tcPr>
            <w:tcW w:w="3860" w:type="dxa"/>
            <w:vAlign w:val="bottom"/>
            <w:gridSpan w:val="2"/>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F-5</w:t>
            </w:r>
          </w:p>
        </w:tc>
      </w:tr>
      <w:tr>
        <w:trPr>
          <w:trHeight w:val="304"/>
        </w:trPr>
        <w:tc>
          <w:tcPr>
            <w:tcW w:w="82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Consolidated Statements of Changes in Stockholders’ Equity for the years ended December 31, 2011, 2010 and 2009</w:t>
              </w:r>
            </w:hyperlink>
          </w:p>
        </w:tc>
        <w:tc>
          <w:tcPr>
            <w:tcW w:w="2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F-6</w:t>
            </w:r>
          </w:p>
        </w:tc>
      </w:tr>
      <w:tr>
        <w:trPr>
          <w:trHeight w:val="304"/>
        </w:trPr>
        <w:tc>
          <w:tcPr>
            <w:tcW w:w="1060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Notes to Consolidated Financial Statements</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89"/>
              </w:rPr>
              <w:t>F-7 - F-25</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Global Ship Lease, Inc.</w:t>
      </w:r>
    </w:p>
    <w:p>
      <w:pPr>
        <w:spacing w:after="0" w:line="17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of changes in stockholders’ equity and of cash flows present fairly, in all material respects, the financial position of Global Ship Lease, Inc. and its subsidiaries (“the Company”) at December 31, 2011 and December 31, 2010, and the results of their operations and their cash flows for each of the three years in the period ended December 31, 2011 in conformity with accounting principles generally accepted in United States of America. Also in our opinion, the Company maintained, in all material respects, effective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section entitled “Management’s Report on Internal Control Over Financial Reporting” under Item 15 of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discussed in Note 2 (b)</w:t>
      </w:r>
      <w:r>
        <w:rPr>
          <w:rFonts w:ascii="Arial" w:cs="Arial" w:eastAsia="Arial" w:hAnsi="Arial"/>
          <w:sz w:val="18"/>
          <w:szCs w:val="18"/>
          <w:i w:val="1"/>
          <w:iCs w:val="1"/>
          <w:color w:val="auto"/>
        </w:rPr>
        <w:t>(i)</w:t>
      </w:r>
      <w:r>
        <w:rPr>
          <w:rFonts w:ascii="Arial" w:cs="Arial" w:eastAsia="Arial" w:hAnsi="Arial"/>
          <w:sz w:val="18"/>
          <w:szCs w:val="18"/>
          <w:color w:val="auto"/>
        </w:rPr>
        <w:t xml:space="preserve"> to the consolidated financial statements, the Company has entered into significant contracts with CMA CGM, a related party and the sole source of the Company’s operating revenue and consequently the Company is highly dependent on the performance by CMA CGM of its obligations under those contracts which will in turn depend partly on CMA CGM’s financial situation.</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13,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64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25,814</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(note 15)</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Accounts receivable</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13,911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receivables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financing costs (note 9)</w:t>
            </w:r>
          </w:p>
        </w:tc>
        <w:tc>
          <w:tcPr>
            <w:tcW w:w="2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460" w:type="dxa"/>
            <w:vAlign w:val="bottom"/>
            <w:gridSpan w:val="2"/>
          </w:tcPr>
          <w:p>
            <w:pPr>
              <w:spacing w:after="0"/>
              <w:rPr>
                <w:sz w:val="20"/>
                <w:szCs w:val="20"/>
                <w:color w:val="auto"/>
              </w:rPr>
            </w:pPr>
            <w:r>
              <w:rPr>
                <w:rFonts w:ascii="Arial" w:cs="Arial" w:eastAsia="Arial" w:hAnsi="Arial"/>
                <w:sz w:val="18"/>
                <w:szCs w:val="18"/>
                <w:color w:val="auto"/>
              </w:rPr>
              <w:t>Vessels in operation (note 4)</w:t>
            </w: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890,249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922,498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Intangible assets – vessel purchase options (note 7)</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other (note 7)</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tax</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(note 9)</w:t>
            </w:r>
          </w:p>
        </w:tc>
        <w:tc>
          <w:tcPr>
            <w:tcW w:w="2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2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894,031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940,044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939,535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981,022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46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60" w:type="dxa"/>
            <w:vAlign w:val="bottom"/>
            <w:gridSpan w:val="2"/>
          </w:tcPr>
          <w:p>
            <w:pPr>
              <w:spacing w:after="0"/>
              <w:rPr>
                <w:sz w:val="20"/>
                <w:szCs w:val="20"/>
                <w:color w:val="auto"/>
              </w:rPr>
            </w:pPr>
            <w:r>
              <w:rPr>
                <w:rFonts w:ascii="Arial" w:cs="Arial" w:eastAsia="Arial" w:hAnsi="Arial"/>
                <w:sz w:val="18"/>
                <w:szCs w:val="18"/>
                <w:color w:val="auto"/>
              </w:rPr>
              <w:t>Current portion of long-term debt (note 11)</w:t>
            </w:r>
          </w:p>
        </w:tc>
        <w:tc>
          <w:tcPr>
            <w:tcW w:w="300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46,000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 (note 10)</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Accounts payable</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Derivative instruments (note 8)</w:t>
            </w:r>
          </w:p>
        </w:tc>
        <w:tc>
          <w:tcPr>
            <w:tcW w:w="2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15,920</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70,278</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460" w:type="dxa"/>
            <w:vAlign w:val="bottom"/>
            <w:gridSpan w:val="2"/>
          </w:tcPr>
          <w:p>
            <w:pPr>
              <w:spacing w:after="0"/>
              <w:rPr>
                <w:sz w:val="20"/>
                <w:szCs w:val="20"/>
                <w:color w:val="auto"/>
              </w:rPr>
            </w:pPr>
            <w:r>
              <w:rPr>
                <w:rFonts w:ascii="Arial" w:cs="Arial" w:eastAsia="Arial" w:hAnsi="Arial"/>
                <w:sz w:val="18"/>
                <w:szCs w:val="18"/>
                <w:color w:val="auto"/>
              </w:rPr>
              <w:t>Long-term debt (note 11)</w:t>
            </w: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437,612</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488,269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(note 15)</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Intangible liability – charter agreements (note 10)</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20,050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(note 8)</w:t>
            </w:r>
          </w:p>
        </w:tc>
        <w:tc>
          <w:tcPr>
            <w:tcW w:w="2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646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2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535,057</w:t>
            </w: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585,075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605,335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656,458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14)</w:t>
            </w:r>
          </w:p>
        </w:tc>
        <w:tc>
          <w:tcPr>
            <w:tcW w:w="2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Class A Common stock - authorized 214,000,000 shares with a $0.01 par value; 47,463,978 shares issued and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outstanding (2010 - 47,130,467) (note 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w w:val="93"/>
              </w:rPr>
              <w:t>Class B Common stock - authorized 20,000,000 shares with a $0.01 par value; 7,405,956 shares issued and outstanding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(2010 - 7,405,956) (note 15)</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906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351,856</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351,295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(27,276)</w:t>
            </w:r>
          </w:p>
        </w:tc>
        <w:tc>
          <w:tcPr>
            <w:tcW w:w="0" w:type="dxa"/>
            <w:vAlign w:val="bottom"/>
          </w:tcPr>
          <w:p>
            <w:pPr>
              <w:spacing w:after="0"/>
              <w:rPr>
                <w:sz w:val="1"/>
                <w:szCs w:val="1"/>
                <w:color w:val="auto"/>
              </w:rPr>
            </w:pP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334,200</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324,564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939,535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2010</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Time charter revenue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156,268</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158,837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42,067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(note 4)</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40,051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 (note 6)</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17,082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operating income (note 12)</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107,064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86,991</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51,773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61,717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(16,727)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interest rate derivatives (note 16)</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12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9,145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42,818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120" w:type="dxa"/>
            <w:vAlign w:val="bottom"/>
            <w:gridSpan w:val="2"/>
            <w:vMerge w:val="continue"/>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(3,971)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2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(note 19)</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47,262,549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46,910,604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46,459,509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Diluted (note 19)</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47,448,012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46,910,604</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46,754,858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A share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Basic (note 19)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(note 19)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323"/>
        </w:trPr>
        <w:tc>
          <w:tcPr>
            <w:tcW w:w="612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(note 19)</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6120" w:type="dxa"/>
            <w:vAlign w:val="bottom"/>
            <w:gridSpan w:val="2"/>
          </w:tcPr>
          <w:p>
            <w:pPr>
              <w:spacing w:after="0"/>
              <w:rPr>
                <w:sz w:val="20"/>
                <w:szCs w:val="20"/>
                <w:color w:val="auto"/>
              </w:rPr>
            </w:pPr>
            <w:r>
              <w:rPr>
                <w:rFonts w:ascii="Arial" w:cs="Arial" w:eastAsia="Arial" w:hAnsi="Arial"/>
                <w:sz w:val="18"/>
                <w:szCs w:val="18"/>
                <w:color w:val="auto"/>
              </w:rPr>
              <w:t>Net Income (Loss) in $ per Class B share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(note 19)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2"/>
              </w:rPr>
              <w:t>Year ended</w:t>
            </w: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Year ended</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9,071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(3,971)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Adjustments to Reconcile Net Income (Loss) to Net Cash Provided by Operating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Depreciation (note 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40,131</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40,051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 (note 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13,645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17,082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Amortization of deferred financing costs (note 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1,101</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1,106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 (note 16)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 (note 16)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19,393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16,727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Share based compensation (note 17)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receivables and other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(6,952)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(823)</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 loss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74,872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85,191</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74,618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 (note 16)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(19,393)</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(16,727)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paid for intangible assets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vessel purchase options (note 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(13,645)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paid for purchase of vessels, vessel prepayments and vessel deposits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(1,670)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(27,254)</w:t>
            </w:r>
          </w:p>
        </w:tc>
        <w:tc>
          <w:tcPr>
            <w:tcW w:w="18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(32,218)</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(98,466)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Proceeds from debt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(49,157)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(55,423)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Issuance costs of debt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(1,007)</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 (note 15)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(50,164)</w:t>
            </w:r>
          </w:p>
        </w:tc>
        <w:tc>
          <w:tcPr>
            <w:tcW w:w="18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(55,423)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28,295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3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28,360</w:t>
            </w:r>
          </w:p>
        </w:tc>
        <w:tc>
          <w:tcPr>
            <w:tcW w:w="18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30,810</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25,814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28,360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30,810</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 cash Investing and financing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gridSpan w:val="2"/>
          </w:tcPr>
          <w:p>
            <w:pPr>
              <w:spacing w:after="0"/>
              <w:rPr>
                <w:sz w:val="20"/>
                <w:szCs w:val="20"/>
                <w:color w:val="auto"/>
              </w:rPr>
            </w:pPr>
            <w:r>
              <w:rPr>
                <w:rFonts w:ascii="Arial" w:cs="Arial" w:eastAsia="Arial" w:hAnsi="Arial"/>
                <w:sz w:val="18"/>
                <w:szCs w:val="18"/>
                <w:color w:val="auto"/>
              </w:rPr>
              <w:t>Total interest paid</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19,518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22,368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22,092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paid</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Number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Common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Stock at $0.01</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Paid in</w:t>
            </w: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1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4"/>
              </w:rPr>
              <w:t>Par value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spacing w:after="0" w:line="159" w:lineRule="exact"/>
              <w:rPr>
                <w:sz w:val="20"/>
                <w:szCs w:val="20"/>
                <w:color w:val="auto"/>
              </w:rPr>
            </w:pPr>
            <w:r>
              <w:rPr>
                <w:rFonts w:ascii="Arial" w:cs="Arial" w:eastAsia="Arial" w:hAnsi="Arial"/>
                <w:sz w:val="14"/>
                <w:szCs w:val="14"/>
                <w:color w:val="auto"/>
              </w:rPr>
              <w:t>Stock</w:t>
            </w:r>
          </w:p>
        </w:tc>
        <w:tc>
          <w:tcPr>
            <w:tcW w:w="10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8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5"/>
              </w:rPr>
              <w:t>(Deficit)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10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53,749,317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537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$347,810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(53,308)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Class C Shares converted to Class A</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Class C</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(12,375,000)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Class A</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12,375,000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124</w:t>
            </w:r>
          </w:p>
        </w:tc>
        <w:tc>
          <w:tcPr>
            <w:tcW w:w="4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17)</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Class A shares issued (note 15, 17)</w:t>
            </w:r>
          </w:p>
        </w:tc>
        <w:tc>
          <w:tcPr>
            <w:tcW w:w="900" w:type="dxa"/>
            <w:vAlign w:val="bottom"/>
          </w:tcPr>
          <w:p>
            <w:pPr>
              <w:jc w:val="right"/>
              <w:spacing w:after="0"/>
              <w:rPr>
                <w:sz w:val="20"/>
                <w:szCs w:val="20"/>
                <w:color w:val="auto"/>
              </w:rPr>
            </w:pPr>
            <w:r>
              <w:rPr>
                <w:rFonts w:ascii="Arial" w:cs="Arial" w:eastAsia="Arial" w:hAnsi="Arial"/>
                <w:sz w:val="18"/>
                <w:szCs w:val="18"/>
                <w:color w:val="auto"/>
              </w:rPr>
              <w:t>336,833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Dividends declared (note 15)</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(12,371)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(12,371)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54,086,150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$350,319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(23,305)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Restricted Stock Units (note 17)</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(notes 15, 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(3,971)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54,536,423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$351,295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(27,276)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Restricted Stock Units (note 17)</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(notes 15, 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54,869,934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351,856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(18,205)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334,200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On August 14, 2008, Global Ship Lease, Inc. (the “Company”) merged indirectly with Marathon Acquisition Corp. (“Marathon”), a company then listed on The American Stock Exchange. Under the merger agreement, Marathon, a U.S. corporation, first merged with its 100% owned Marshall Islands subsidiary, GSL Holdings, Inc. (“Holdings”), with Holdings continuing as the surviving company. Global Ship Lease, Inc., at that time a subsidiary of CMA CGM S.A. (“CMA CGM”), then merged with Holdings, with Holdings again being the surviving company. Holdings was renamed Global Ship Lease, Inc. and became listed on the New York Stock Exchange on August 15, 2008.</w:t>
      </w:r>
    </w:p>
    <w:p>
      <w:pPr>
        <w:spacing w:after="0" w:line="231" w:lineRule="exact"/>
        <w:rPr>
          <w:rFonts w:ascii="Arial" w:cs="Arial" w:eastAsia="Arial" w:hAnsi="Arial"/>
          <w:sz w:val="18"/>
          <w:szCs w:val="18"/>
          <w:b w:val="1"/>
          <w:bCs w:val="1"/>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has a business of owning and chartering out containerships under long term time charters. All vessels are time chartered to CMA CGM for remaining terms as at December 31, 2011 ranging from one to 14 years. The following table provides information about the 17 vessels in the fleet chartered to CMA CGM and reflected in these consolidated financial statements: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Approximate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r>
      <w:tr>
        <w:trPr>
          <w:trHeight w:val="134"/>
        </w:trPr>
        <w:tc>
          <w:tcPr>
            <w:tcW w:w="7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14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w w:val="95"/>
              </w:rPr>
              <w:t>Capacity</w:t>
            </w: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Purchase Date</w:t>
            </w:r>
          </w:p>
        </w:tc>
        <w:tc>
          <w:tcPr>
            <w:tcW w:w="16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Remaining Charter</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3500" w:type="dxa"/>
            <w:vAlign w:val="bottom"/>
          </w:tcPr>
          <w:p>
            <w:pPr>
              <w:spacing w:after="0"/>
              <w:rPr>
                <w:sz w:val="15"/>
                <w:szCs w:val="15"/>
                <w:color w:val="auto"/>
              </w:rPr>
            </w:pPr>
          </w:p>
        </w:tc>
        <w:tc>
          <w:tcPr>
            <w:tcW w:w="1140" w:type="dxa"/>
            <w:vAlign w:val="bottom"/>
            <w:gridSpan w:val="2"/>
          </w:tcPr>
          <w:p>
            <w:pPr>
              <w:jc w:val="right"/>
              <w:ind w:right="500"/>
              <w:spacing w:after="0" w:line="162" w:lineRule="exact"/>
              <w:rPr>
                <w:sz w:val="20"/>
                <w:szCs w:val="20"/>
                <w:color w:val="auto"/>
              </w:rPr>
            </w:pPr>
            <w:r>
              <w:rPr>
                <w:rFonts w:ascii="Arial" w:cs="Arial" w:eastAsia="Arial" w:hAnsi="Arial"/>
                <w:sz w:val="12"/>
                <w:szCs w:val="12"/>
                <w:b w:val="1"/>
                <w:bCs w:val="1"/>
                <w:color w:val="auto"/>
                <w:w w:val="98"/>
              </w:rPr>
              <w:t xml:space="preserve">in TEUs </w:t>
            </w:r>
            <w:r>
              <w:rPr>
                <w:rFonts w:ascii="Arial" w:cs="Arial" w:eastAsia="Arial" w:hAnsi="Arial"/>
                <w:sz w:val="18"/>
                <w:szCs w:val="18"/>
                <w:b w:val="1"/>
                <w:bCs w:val="1"/>
                <w:color w:val="auto"/>
                <w:w w:val="98"/>
                <w:vertAlign w:val="superscript"/>
              </w:rPr>
              <w:t>(1)</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Year Built</w:t>
            </w:r>
          </w:p>
        </w:tc>
        <w:tc>
          <w:tcPr>
            <w:tcW w:w="1680" w:type="dxa"/>
            <w:vAlign w:val="bottom"/>
            <w:gridSpan w:val="2"/>
          </w:tcPr>
          <w:p>
            <w:pPr>
              <w:jc w:val="center"/>
              <w:ind w:right="500"/>
              <w:spacing w:after="0" w:line="162" w:lineRule="exact"/>
              <w:rPr>
                <w:sz w:val="20"/>
                <w:szCs w:val="20"/>
                <w:color w:val="auto"/>
              </w:rPr>
            </w:pPr>
            <w:r>
              <w:rPr>
                <w:rFonts w:ascii="Arial" w:cs="Arial" w:eastAsia="Arial" w:hAnsi="Arial"/>
                <w:sz w:val="12"/>
                <w:szCs w:val="12"/>
                <w:b w:val="1"/>
                <w:bCs w:val="1"/>
                <w:color w:val="auto"/>
              </w:rPr>
              <w:t>by GSL</w:t>
            </w:r>
            <w:r>
              <w:rPr>
                <w:rFonts w:ascii="Arial" w:cs="Arial" w:eastAsia="Arial" w:hAnsi="Arial"/>
                <w:sz w:val="18"/>
                <w:szCs w:val="18"/>
                <w:b w:val="1"/>
                <w:bCs w:val="1"/>
                <w:color w:val="auto"/>
                <w:vertAlign w:val="superscript"/>
              </w:rPr>
              <w:t>(2)</w:t>
            </w:r>
          </w:p>
        </w:tc>
        <w:tc>
          <w:tcPr>
            <w:tcW w:w="1620" w:type="dxa"/>
            <w:vAlign w:val="bottom"/>
            <w:gridSpan w:val="2"/>
          </w:tcPr>
          <w:p>
            <w:pPr>
              <w:jc w:val="center"/>
              <w:ind w:right="500"/>
              <w:spacing w:after="0" w:line="162" w:lineRule="exact"/>
              <w:rPr>
                <w:sz w:val="20"/>
                <w:szCs w:val="20"/>
                <w:color w:val="auto"/>
              </w:rPr>
            </w:pPr>
            <w:r>
              <w:rPr>
                <w:rFonts w:ascii="Arial" w:cs="Arial" w:eastAsia="Arial" w:hAnsi="Arial"/>
                <w:sz w:val="12"/>
                <w:szCs w:val="12"/>
                <w:b w:val="1"/>
                <w:bCs w:val="1"/>
                <w:color w:val="auto"/>
              </w:rPr>
              <w:t xml:space="preserve">Duration (years) </w:t>
            </w:r>
            <w:r>
              <w:rPr>
                <w:rFonts w:ascii="Arial" w:cs="Arial" w:eastAsia="Arial" w:hAnsi="Arial"/>
                <w:sz w:val="18"/>
                <w:szCs w:val="18"/>
                <w:b w:val="1"/>
                <w:bCs w:val="1"/>
                <w:color w:val="auto"/>
                <w:vertAlign w:val="superscript"/>
              </w:rPr>
              <w:t>(3)</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r>
      <w:tr>
        <w:trPr>
          <w:trHeight w:val="203"/>
        </w:trPr>
        <w:tc>
          <w:tcPr>
            <w:tcW w:w="4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1997</w:t>
            </w:r>
          </w:p>
        </w:tc>
        <w:tc>
          <w:tcPr>
            <w:tcW w:w="5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December 2007</w:t>
            </w:r>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4,113</w:t>
            </w:r>
          </w:p>
        </w:tc>
        <w:tc>
          <w:tcPr>
            <w:tcW w:w="600" w:type="dxa"/>
            <w:vAlign w:val="bottom"/>
          </w:tcPr>
          <w:p>
            <w:pPr>
              <w:jc w:val="right"/>
              <w:spacing w:after="0"/>
              <w:rPr>
                <w:sz w:val="20"/>
                <w:szCs w:val="20"/>
                <w:color w:val="auto"/>
              </w:rPr>
            </w:pPr>
            <w:r>
              <w:rPr>
                <w:rFonts w:ascii="Arial" w:cs="Arial" w:eastAsia="Arial" w:hAnsi="Arial"/>
                <w:sz w:val="18"/>
                <w:szCs w:val="18"/>
                <w:color w:val="auto"/>
              </w:rPr>
              <w:t>1996</w:t>
            </w:r>
          </w:p>
        </w:tc>
        <w:tc>
          <w:tcPr>
            <w:tcW w:w="5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December 2007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2,262</w:t>
            </w:r>
          </w:p>
        </w:tc>
        <w:tc>
          <w:tcPr>
            <w:tcW w:w="600" w:type="dxa"/>
            <w:vAlign w:val="bottom"/>
          </w:tcPr>
          <w:p>
            <w:pPr>
              <w:jc w:val="right"/>
              <w:spacing w:after="0"/>
              <w:rPr>
                <w:sz w:val="20"/>
                <w:szCs w:val="20"/>
                <w:color w:val="auto"/>
              </w:rPr>
            </w:pPr>
            <w:r>
              <w:rPr>
                <w:rFonts w:ascii="Arial" w:cs="Arial" w:eastAsia="Arial" w:hAnsi="Arial"/>
                <w:sz w:val="18"/>
                <w:szCs w:val="18"/>
                <w:color w:val="auto"/>
              </w:rPr>
              <w:t>1999</w:t>
            </w:r>
          </w:p>
        </w:tc>
        <w:tc>
          <w:tcPr>
            <w:tcW w:w="5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December 2007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2,207</w:t>
            </w:r>
          </w:p>
        </w:tc>
        <w:tc>
          <w:tcPr>
            <w:tcW w:w="600" w:type="dxa"/>
            <w:vAlign w:val="bottom"/>
          </w:tcPr>
          <w:p>
            <w:pPr>
              <w:jc w:val="right"/>
              <w:spacing w:after="0"/>
              <w:rPr>
                <w:sz w:val="20"/>
                <w:szCs w:val="20"/>
                <w:color w:val="auto"/>
              </w:rPr>
            </w:pPr>
            <w:r>
              <w:rPr>
                <w:rFonts w:ascii="Arial" w:cs="Arial" w:eastAsia="Arial" w:hAnsi="Arial"/>
                <w:sz w:val="18"/>
                <w:szCs w:val="18"/>
                <w:color w:val="auto"/>
              </w:rPr>
              <w:t>2002</w:t>
            </w:r>
          </w:p>
        </w:tc>
        <w:tc>
          <w:tcPr>
            <w:tcW w:w="5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December 2007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2,207</w:t>
            </w:r>
          </w:p>
        </w:tc>
        <w:tc>
          <w:tcPr>
            <w:tcW w:w="600" w:type="dxa"/>
            <w:vAlign w:val="bottom"/>
          </w:tcPr>
          <w:p>
            <w:pPr>
              <w:jc w:val="right"/>
              <w:spacing w:after="0"/>
              <w:rPr>
                <w:sz w:val="20"/>
                <w:szCs w:val="20"/>
                <w:color w:val="auto"/>
              </w:rPr>
            </w:pPr>
            <w:r>
              <w:rPr>
                <w:rFonts w:ascii="Arial" w:cs="Arial" w:eastAsia="Arial" w:hAnsi="Arial"/>
                <w:sz w:val="18"/>
                <w:szCs w:val="18"/>
                <w:color w:val="auto"/>
              </w:rPr>
              <w:t>2002</w:t>
            </w:r>
          </w:p>
        </w:tc>
        <w:tc>
          <w:tcPr>
            <w:tcW w:w="5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December 2007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2,272</w:t>
            </w:r>
          </w:p>
        </w:tc>
        <w:tc>
          <w:tcPr>
            <w:tcW w:w="600" w:type="dxa"/>
            <w:vAlign w:val="bottom"/>
          </w:tcPr>
          <w:p>
            <w:pPr>
              <w:jc w:val="right"/>
              <w:spacing w:after="0"/>
              <w:rPr>
                <w:sz w:val="20"/>
                <w:szCs w:val="20"/>
                <w:color w:val="auto"/>
              </w:rPr>
            </w:pPr>
            <w:r>
              <w:rPr>
                <w:rFonts w:ascii="Arial" w:cs="Arial" w:eastAsia="Arial" w:hAnsi="Arial"/>
                <w:sz w:val="18"/>
                <w:szCs w:val="18"/>
                <w:color w:val="auto"/>
              </w:rPr>
              <w:t>2001</w:t>
            </w:r>
          </w:p>
        </w:tc>
        <w:tc>
          <w:tcPr>
            <w:tcW w:w="5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5,089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January 2008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5,089</w:t>
            </w:r>
          </w:p>
        </w:tc>
        <w:tc>
          <w:tcPr>
            <w:tcW w:w="600" w:type="dxa"/>
            <w:vAlign w:val="bottom"/>
          </w:tcPr>
          <w:p>
            <w:pPr>
              <w:jc w:val="right"/>
              <w:spacing w:after="0"/>
              <w:rPr>
                <w:sz w:val="20"/>
                <w:szCs w:val="20"/>
                <w:color w:val="auto"/>
              </w:rPr>
            </w:pPr>
            <w:r>
              <w:rPr>
                <w:rFonts w:ascii="Arial" w:cs="Arial" w:eastAsia="Arial" w:hAnsi="Arial"/>
                <w:sz w:val="18"/>
                <w:szCs w:val="18"/>
                <w:color w:val="auto"/>
              </w:rPr>
              <w:t>2007</w:t>
            </w:r>
          </w:p>
        </w:tc>
        <w:tc>
          <w:tcPr>
            <w:tcW w:w="5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January 2008</w:t>
            </w: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December 2008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4,298</w:t>
            </w:r>
          </w:p>
        </w:tc>
        <w:tc>
          <w:tcPr>
            <w:tcW w:w="600" w:type="dxa"/>
            <w:vAlign w:val="bottom"/>
          </w:tcPr>
          <w:p>
            <w:pPr>
              <w:jc w:val="right"/>
              <w:spacing w:after="0"/>
              <w:rPr>
                <w:sz w:val="20"/>
                <w:szCs w:val="20"/>
                <w:color w:val="auto"/>
              </w:rPr>
            </w:pPr>
            <w:r>
              <w:rPr>
                <w:rFonts w:ascii="Arial" w:cs="Arial" w:eastAsia="Arial" w:hAnsi="Arial"/>
                <w:sz w:val="18"/>
                <w:szCs w:val="18"/>
                <w:color w:val="auto"/>
              </w:rPr>
              <w:t>2006</w:t>
            </w:r>
          </w:p>
        </w:tc>
        <w:tc>
          <w:tcPr>
            <w:tcW w:w="5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December 2008</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4,045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December 2008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4,045</w:t>
            </w:r>
          </w:p>
        </w:tc>
        <w:tc>
          <w:tcPr>
            <w:tcW w:w="600" w:type="dxa"/>
            <w:vAlign w:val="bottom"/>
          </w:tcPr>
          <w:p>
            <w:pPr>
              <w:jc w:val="right"/>
              <w:spacing w:after="0"/>
              <w:rPr>
                <w:sz w:val="20"/>
                <w:szCs w:val="20"/>
                <w:color w:val="auto"/>
              </w:rPr>
            </w:pPr>
            <w:r>
              <w:rPr>
                <w:rFonts w:ascii="Arial" w:cs="Arial" w:eastAsia="Arial" w:hAnsi="Arial"/>
                <w:sz w:val="18"/>
                <w:szCs w:val="18"/>
                <w:color w:val="auto"/>
              </w:rPr>
              <w:t>2006</w:t>
            </w:r>
          </w:p>
        </w:tc>
        <w:tc>
          <w:tcPr>
            <w:tcW w:w="5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December 2008</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August 2009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7200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900" w:hanging="446"/>
        <w:spacing w:after="0"/>
        <w:tabs>
          <w:tab w:leader="none" w:pos="90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900" w:hanging="446"/>
        <w:spacing w:after="0"/>
        <w:tabs>
          <w:tab w:leader="none" w:pos="90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2011. Plus or minus 90 days at charterer’s option.</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activity of the Company currently consists solely of the ownership and provision of vessels for container shipping under time charters.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Nature of Operations and Basis of Preparation (continued)</w:t>
      </w:r>
    </w:p>
    <w:p>
      <w:pPr>
        <w:spacing w:after="0" w:line="158"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18"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Counterparty risk</w:t>
      </w:r>
    </w:p>
    <w:p>
      <w:pPr>
        <w:spacing w:after="0" w:line="90"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are reporting losses.</w:t>
      </w:r>
    </w:p>
    <w:p>
      <w:pPr>
        <w:spacing w:after="0" w:line="26"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CMA CGM is discussing with its lenders the rescheduling of certain repayments and the adjustment of certain covenants to take account of the cyclical nature of the container shipping industry.</w:t>
      </w:r>
    </w:p>
    <w:p>
      <w:pPr>
        <w:spacing w:after="0" w:line="51"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color w:val="auto"/>
        </w:rPr>
        <w:t>The Company has experienced continued and from time to time, increased delays in receiving charterhire from CMA CGM, where between one and four instalments have been outstanding. Under the charter contracts, charterhire is due to be paid every 15 days in advance on the 1st and 16th of each month. As at December 31, 2011, two periods of charterhire, due on December 1 and December 16, 2011, were outstanding amounting to $13,314. This was received in January 2012. As at close of business on April 12, 2012, the latest practicable date prior to the issuance of these consolidated financial statements, two periods of charterhire, due on March 16 and April 1, 2012, were outstanding amounting to $13,314.</w:t>
      </w:r>
    </w:p>
    <w:p>
      <w:pPr>
        <w:spacing w:after="0" w:line="35"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62"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If CMA CGM is unable to reach agreements with its lenders and ceases doing business or otherwise fails to perform its obligations under the Company’s charters, Global Ship Lease’s business, financial position and results of operations would be materially adversely affected as it is probable that, should the Company be able to find replacement charters, these would be at significantly lower daily rates and for shorter durations than currently in place. In this situation there would be significant uncertainty about the Company’s ability to continue as a going concern.</w:t>
      </w:r>
    </w:p>
    <w:p>
      <w:pPr>
        <w:spacing w:after="0" w:line="234"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which are under charter, cannot exceed 75%. On November 30, 2011, due to the downturn in market values, the Company announced a waiver from its lenders of the requirement to perform the Leverage Ratio test until November 30, 2012. Should charter free market values not improve, a further waiver or other relief may be required in respect of the test as at November 30, 2012.</w:t>
      </w:r>
    </w:p>
    <w:p>
      <w:pPr>
        <w:spacing w:after="0" w:line="35" w:lineRule="exact"/>
        <w:rPr>
          <w:sz w:val="20"/>
          <w:szCs w:val="20"/>
          <w:color w:val="auto"/>
        </w:rPr>
      </w:pPr>
    </w:p>
    <w:p>
      <w:pPr>
        <w:jc w:val="both"/>
        <w:ind w:left="460" w:right="60"/>
        <w:spacing w:after="0" w:line="256" w:lineRule="auto"/>
        <w:rPr>
          <w:sz w:val="20"/>
          <w:szCs w:val="20"/>
          <w:color w:val="auto"/>
        </w:rPr>
      </w:pPr>
      <w:r>
        <w:rPr>
          <w:rFonts w:ascii="Arial" w:cs="Arial" w:eastAsia="Arial" w:hAnsi="Arial"/>
          <w:sz w:val="18"/>
          <w:szCs w:val="18"/>
          <w:color w:val="auto"/>
        </w:rPr>
        <w:t>If relief in respect of the test due as at November 30, 2012 is required and is not obtained and the Leverage Ratio is above 75%, the lenders may declare an event of default and accelerate some or all of the debt or require the Company to provide additional security which would raise substantial doubt about the Company’s ability to continue as a going concern. The Company was compliant with all of its financial covenants at December 30, 2011 and at the date of issuance of these financial statements.</w:t>
      </w:r>
    </w:p>
    <w:p>
      <w:pPr>
        <w:spacing w:after="0" w:line="6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As a result of the waiver, the relevant debt is classified as non-current in the consolidated balance sheet and the consolidated financial statements have been prepared assuming that the Company will continue as a going concern. Accordingly, the consolidated financial statements do not include any adjustments relating to the recoverability and classification of recorded asset amounts and classification of liabilities, or any other adjustments that might result should the Company be unable to continue as a going concern.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18"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9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United States Generally Accepted Accounting Principles (“U.S. GAAP”) and include the financial statements of the Company and its wholly-owned subsidiaries. All inter-company transactions and accounts have been eliminated on consolidation.</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accounting policies have been consistently applied throughout the periods presented.</w:t>
      </w:r>
    </w:p>
    <w:p>
      <w:pPr>
        <w:spacing w:after="0" w:line="21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90" w:lineRule="exact"/>
        <w:rPr>
          <w:sz w:val="20"/>
          <w:szCs w:val="20"/>
          <w:color w:val="auto"/>
        </w:rPr>
      </w:pPr>
    </w:p>
    <w:p>
      <w:pPr>
        <w:ind w:left="920" w:right="220"/>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90" w:lineRule="exact"/>
        <w:rPr>
          <w:sz w:val="20"/>
          <w:szCs w:val="20"/>
          <w:color w:val="auto"/>
        </w:rPr>
      </w:pPr>
    </w:p>
    <w:p>
      <w:pPr>
        <w:ind w:left="920" w:right="620"/>
        <w:spacing w:after="0" w:line="268" w:lineRule="auto"/>
        <w:rPr>
          <w:sz w:val="20"/>
          <w:szCs w:val="20"/>
          <w:color w:val="auto"/>
        </w:rPr>
      </w:pPr>
      <w:r>
        <w:rPr>
          <w:rFonts w:ascii="Arial" w:cs="Arial" w:eastAsia="Arial" w:hAnsi="Arial"/>
          <w:sz w:val="18"/>
          <w:szCs w:val="18"/>
          <w:color w:val="auto"/>
        </w:rPr>
        <w:t>Cash and cash equivalents include cash in hand, deposits held at call with banks and other short-term highly liquid investments with original maturities of three months or less.</w:t>
      </w:r>
    </w:p>
    <w:p>
      <w:pPr>
        <w:spacing w:after="0" w:line="172"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90"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Cash and cash equivalents subject to restrictions are excluded from cash and cash equivalents in the consolidated balance sheet and are presented as restricted cash.</w:t>
      </w:r>
    </w:p>
    <w:p>
      <w:pPr>
        <w:spacing w:after="0" w:line="17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credit conditions. The Company does not generally charge interest on past-due accounts unless the accounts are subject to legal action, and accounts are written off as uncollectible when all reasonable collection efforts have failed. Accounts are deemed as past-due based on contractual terms. Allowances for doubtful accounts amount to $ nil as of December 31, 2011 (2010: $ nil).</w:t>
      </w:r>
    </w:p>
    <w:p>
      <w:pPr>
        <w:spacing w:after="0" w:line="15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Vessels</w:t>
      </w:r>
    </w:p>
    <w:p>
      <w:pPr>
        <w:spacing w:after="0" w:line="90" w:lineRule="exact"/>
        <w:rPr>
          <w:sz w:val="20"/>
          <w:szCs w:val="20"/>
          <w:color w:val="auto"/>
        </w:rPr>
      </w:pPr>
    </w:p>
    <w:p>
      <w:pPr>
        <w:ind w:left="920" w:right="20"/>
        <w:spacing w:after="0" w:line="335" w:lineRule="auto"/>
        <w:rPr>
          <w:sz w:val="20"/>
          <w:szCs w:val="20"/>
          <w:color w:val="auto"/>
        </w:rPr>
      </w:pPr>
      <w:r>
        <w:rPr>
          <w:rFonts w:ascii="Arial" w:cs="Arial" w:eastAsia="Arial" w:hAnsi="Arial"/>
          <w:sz w:val="15"/>
          <w:szCs w:val="15"/>
          <w:color w:val="auto"/>
        </w:rPr>
        <w:t>Up to the date of the merger described in note 1, vessels were recorded at their acquisition cost, less an amount allocated to dry dock component, less accumulated depreciation. From the date of the merger, the vessels have been recorded at their fair value at the date of the merger, less a proportion of the negative goodwill arising at the time of the merger allocated to these vessels, less accumulated depreciation and impairment loss, if any.</w:t>
      </w:r>
    </w:p>
    <w:p>
      <w:pPr>
        <w:spacing w:after="0" w:line="7"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In connection with the merger, the Company recognised an intangible asset arising from the comparison of the acquisition prices in the asset purchase agreement between the Company as buyer and CMA CGM as seller and the estimated fair values at the merger date of the vessels yet to be purchased. This intangible asset was transferred to the cost of the appropriate vessel on delivery and as all such vessels have now been delivered, no intangible asset remains in respect of these vessels.</w:t>
      </w:r>
    </w:p>
    <w:p>
      <w:pPr>
        <w:spacing w:after="0" w:line="62"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51" w:lineRule="exact"/>
        <w:rPr>
          <w:sz w:val="20"/>
          <w:szCs w:val="20"/>
          <w:color w:val="auto"/>
        </w:rPr>
      </w:pPr>
    </w:p>
    <w:p>
      <w:pPr>
        <w:ind w:left="920" w:right="560"/>
        <w:spacing w:after="0" w:line="370" w:lineRule="auto"/>
        <w:rPr>
          <w:sz w:val="20"/>
          <w:szCs w:val="20"/>
          <w:color w:val="auto"/>
        </w:rPr>
      </w:pPr>
      <w:r>
        <w:rPr>
          <w:rFonts w:ascii="Arial" w:cs="Arial" w:eastAsia="Arial" w:hAnsi="Arial"/>
          <w:sz w:val="15"/>
          <w:szCs w:val="15"/>
          <w:color w:val="auto"/>
        </w:rPr>
        <w:t>Borrowing costs incurred during the construction of vessels or as part of the prefinancing of the acquisition of vessels are capitalized. Interest capitalized in the year ended December 31, 2011 was $ nil (2010: $525 and 2009: $523). Other borrowing costs are expensed as incurred.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b w:val="1"/>
          <w:bCs w:val="1"/>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Vessels (continued)</w:t>
      </w:r>
    </w:p>
    <w:p>
      <w:pPr>
        <w:spacing w:after="0" w:line="158"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first delivery from the shipyard.</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Prepayments and costs directly related to the future acquisition of vessels are presented in the consolidated balance sheet as vessel deposits.</w:t>
      </w:r>
    </w:p>
    <w:p>
      <w:pPr>
        <w:spacing w:after="0" w:line="235"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90" w:lineRule="exact"/>
        <w:rPr>
          <w:sz w:val="20"/>
          <w:szCs w:val="20"/>
          <w:color w:val="auto"/>
        </w:rPr>
      </w:pPr>
    </w:p>
    <w:p>
      <w:pPr>
        <w:jc w:val="both"/>
        <w:ind w:left="920" w:right="80"/>
        <w:spacing w:after="0" w:line="323" w:lineRule="auto"/>
        <w:rPr>
          <w:sz w:val="20"/>
          <w:szCs w:val="20"/>
          <w:color w:val="auto"/>
        </w:rPr>
      </w:pPr>
      <w:r>
        <w:rPr>
          <w:rFonts w:ascii="Arial" w:cs="Arial" w:eastAsia="Arial" w:hAnsi="Arial"/>
          <w:sz w:val="15"/>
          <w:szCs w:val="15"/>
          <w:color w:val="auto"/>
        </w:rPr>
        <w:t>Vessels are drydocked approximately every five years for major repairs and maintenance that cannot be performed while the vessels are operating. Costs directly associated with the required regulatory inspection of the vessel, its hull and its machinery and for the defouling and repainting of the hull are capitalized as they are incurred and depreciated on a straight line basis over the period between drydocks. Upon initial purchase, an element of the cost of a vessel is allocated to a drydock component which is amortized on a straight line basis to the anticipated next dry docking date.</w:t>
      </w:r>
    </w:p>
    <w:p>
      <w:pPr>
        <w:spacing w:after="0" w:line="138"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Vessel purchase options</w:t>
      </w:r>
    </w:p>
    <w:p>
      <w:pPr>
        <w:spacing w:after="0" w:line="9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Cash consideration paid or transferred for the acquisition of purchase options to acquire vessels at a fixed purchase price are recognized as intangible assets in an amount up to the difference, as at the transaction date, between (i) the amount paid for the options plus the purchase price of the vessels and (ii) the fair value of the vessels plus the fair value of attached charters. The fair value of the vessel is assessed based on independent broker valuations. The fair value of a charter attached to the vessel is assessed based on market rates compared to the contracted attached charter rates for the life of the charter.</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Vessel purchase agreements</w:t>
      </w:r>
    </w:p>
    <w:p>
      <w:pPr>
        <w:spacing w:after="0" w:line="90" w:lineRule="exact"/>
        <w:rPr>
          <w:sz w:val="20"/>
          <w:szCs w:val="20"/>
          <w:color w:val="auto"/>
        </w:rPr>
      </w:pPr>
    </w:p>
    <w:p>
      <w:pPr>
        <w:ind w:left="920" w:right="260"/>
        <w:spacing w:after="0" w:line="259" w:lineRule="auto"/>
        <w:rPr>
          <w:sz w:val="20"/>
          <w:szCs w:val="20"/>
          <w:color w:val="auto"/>
        </w:rPr>
      </w:pPr>
      <w:r>
        <w:rPr>
          <w:rFonts w:ascii="Arial" w:cs="Arial" w:eastAsia="Arial" w:hAnsi="Arial"/>
          <w:sz w:val="18"/>
          <w:szCs w:val="18"/>
          <w:color w:val="auto"/>
        </w:rPr>
        <w:t>In connection with the merger (see note 1), the Company recognised an intangible asset arising from the comparison of the contracted acquisition prices and the estimated fair value at the date of the merger of the vessels to be purchased. This intangible asset was not amortized and was transferred to the cost of each appropriate vessel on its purchase.</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Impairment</w:t>
      </w:r>
    </w:p>
    <w:p>
      <w:pPr>
        <w:spacing w:after="0" w:line="90" w:lineRule="exact"/>
        <w:rPr>
          <w:sz w:val="20"/>
          <w:szCs w:val="20"/>
          <w:color w:val="auto"/>
        </w:rPr>
      </w:pPr>
    </w:p>
    <w:p>
      <w:pPr>
        <w:jc w:val="both"/>
        <w:ind w:left="920" w:right="160"/>
        <w:spacing w:after="0" w:line="259" w:lineRule="auto"/>
        <w:rPr>
          <w:sz w:val="20"/>
          <w:szCs w:val="20"/>
          <w:color w:val="auto"/>
        </w:rPr>
      </w:pPr>
      <w:r>
        <w:rPr>
          <w:rFonts w:ascii="Arial" w:cs="Arial" w:eastAsia="Arial" w:hAnsi="Arial"/>
          <w:sz w:val="18"/>
          <w:szCs w:val="18"/>
          <w:color w:val="auto"/>
        </w:rPr>
        <w:t>Intangible assets are reviewed individually for impairment annually or more frequently due to events or changes in circumstances that indicate that the asset might be impaired. If the estimated cash flows from the use of the asset and its eventual disposition are below the asset’s net book value, then the asset is deemed to be impaired and written down to its fair value.</w:t>
      </w:r>
    </w:p>
    <w:p>
      <w:pPr>
        <w:spacing w:after="0" w:line="18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90"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In connection with the merger (see note 1), the Company recognised an intangible liability using the market approach wherein the Company’s actual charter rates were compared to market rates at the merger date. These intangible liabilities, recognizing the below market rates as at the date of merger, are amortized as an increase of time charter revenue over the remaining term of the relevant charters.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90" w:lineRule="exact"/>
        <w:rPr>
          <w:sz w:val="20"/>
          <w:szCs w:val="20"/>
          <w:color w:val="auto"/>
        </w:rPr>
      </w:pPr>
    </w:p>
    <w:p>
      <w:pPr>
        <w:ind w:left="920" w:right="80"/>
        <w:spacing w:after="0" w:line="298" w:lineRule="auto"/>
        <w:rPr>
          <w:sz w:val="20"/>
          <w:szCs w:val="20"/>
          <w:color w:val="auto"/>
        </w:rPr>
      </w:pPr>
      <w:r>
        <w:rPr>
          <w:rFonts w:ascii="Arial" w:cs="Arial" w:eastAsia="Arial" w:hAnsi="Arial"/>
          <w:sz w:val="16"/>
          <w:szCs w:val="16"/>
          <w:color w:val="auto"/>
        </w:rPr>
        <w:t>Fixed assets such as vessels are reviewed individually for impairment when events or changes in circumstances indicate that their carrying amounts may not be recoverable. An impairment charge is recognized when the sum of the expected undiscounted future cash flows from the asset over its estimated remaining useful life is less than its carrying amount. An impairment charge is recorded equal to the amount by which the asset’s carrying amount exceeds its fair value. Fair value is the net present value of future cash flows discounted by an appropriate discount rate.</w:t>
      </w:r>
    </w:p>
    <w:p>
      <w:pPr>
        <w:spacing w:after="0" w:line="32"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The decline in charter free vessel values referred to in note 2(b)(ii) was seen as an indicator of potential impairment of the carrying value of the Company’s vessels. Accordingly, an impairment test, based on expected undiscounted cash flows by vessel, was performed as at September 30, 2011 and a further review as at December 31, 2011. A test of impairment was also undertaken as at December 31, 2010.</w:t>
      </w:r>
    </w:p>
    <w:p>
      <w:pPr>
        <w:spacing w:after="0" w:line="26" w:lineRule="exact"/>
        <w:rPr>
          <w:sz w:val="20"/>
          <w:szCs w:val="20"/>
          <w:color w:val="auto"/>
        </w:rPr>
      </w:pPr>
    </w:p>
    <w:p>
      <w:pPr>
        <w:ind w:left="920" w:right="100"/>
        <w:spacing w:after="0" w:line="302" w:lineRule="auto"/>
        <w:rPr>
          <w:sz w:val="20"/>
          <w:szCs w:val="20"/>
          <w:color w:val="auto"/>
        </w:rPr>
      </w:pPr>
      <w:r>
        <w:rPr>
          <w:rFonts w:ascii="Arial" w:cs="Arial" w:eastAsia="Arial" w:hAnsi="Arial"/>
          <w:sz w:val="15"/>
          <w:szCs w:val="15"/>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w:t>
      </w:r>
    </w:p>
    <w:p>
      <w:pPr>
        <w:spacing w:after="0" w:line="2" w:lineRule="exact"/>
        <w:rPr>
          <w:sz w:val="20"/>
          <w:szCs w:val="20"/>
          <w:color w:val="auto"/>
        </w:rPr>
      </w:pPr>
    </w:p>
    <w:p>
      <w:pPr>
        <w:ind w:left="920" w:right="560" w:firstLine="1"/>
        <w:spacing w:after="0" w:line="352" w:lineRule="auto"/>
        <w:tabs>
          <w:tab w:leader="none" w:pos="1217" w:val="left"/>
        </w:tabs>
        <w:numPr>
          <w:ilvl w:val="0"/>
          <w:numId w:val="69"/>
        </w:numPr>
        <w:rPr>
          <w:rFonts w:ascii="Arial" w:cs="Arial" w:eastAsia="Arial" w:hAnsi="Arial"/>
          <w:sz w:val="15"/>
          <w:szCs w:val="15"/>
          <w:color w:val="auto"/>
        </w:rPr>
      </w:pPr>
      <w:r>
        <w:rPr>
          <w:rFonts w:ascii="Arial" w:cs="Arial" w:eastAsia="Arial" w:hAnsi="Arial"/>
          <w:sz w:val="15"/>
          <w:szCs w:val="15"/>
          <w:color w:val="auto"/>
        </w:rPr>
        <w:t>dry docking frequency, duration and cost and (v) estimated useful life which is assessed as a total of 30 years from first delivery from the shipyard. In the case of an indication of impairment, the results of a recoverability test would also be sensitive to the discount rate applied.</w:t>
      </w:r>
    </w:p>
    <w:p>
      <w:pPr>
        <w:spacing w:after="0" w:line="1" w:lineRule="exact"/>
        <w:rPr>
          <w:sz w:val="20"/>
          <w:szCs w:val="20"/>
          <w:color w:val="auto"/>
        </w:rPr>
      </w:pPr>
    </w:p>
    <w:p>
      <w:pPr>
        <w:ind w:left="920" w:right="940"/>
        <w:spacing w:after="0" w:line="332" w:lineRule="auto"/>
        <w:rPr>
          <w:sz w:val="20"/>
          <w:szCs w:val="20"/>
          <w:color w:val="auto"/>
        </w:rPr>
      </w:pPr>
      <w:r>
        <w:rPr>
          <w:rFonts w:ascii="Arial" w:cs="Arial" w:eastAsia="Arial" w:hAnsi="Arial"/>
          <w:sz w:val="16"/>
          <w:szCs w:val="16"/>
          <w:color w:val="auto"/>
        </w:rPr>
        <w:t>Based on the assumptions made, the expected undiscounted future cash flows exceed the vessels’ carrying amounts as of September 30, 2011, December 31, 2011 and December 31, 2010 and accordingly no impairment has been recognised.</w:t>
      </w:r>
    </w:p>
    <w:p>
      <w:pPr>
        <w:spacing w:after="0" w:line="126"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Derivative instruments</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rate hedges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entered into certain hedging agreements in connection with its borrowings.</w:t>
      </w:r>
    </w:p>
    <w:p>
      <w:pPr>
        <w:spacing w:after="0" w:line="9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59" w:lineRule="exact"/>
        <w:rPr>
          <w:sz w:val="20"/>
          <w:szCs w:val="20"/>
          <w:color w:val="auto"/>
        </w:rPr>
      </w:pPr>
    </w:p>
    <w:p>
      <w:pPr>
        <w:ind w:left="920" w:right="60"/>
        <w:spacing w:after="0" w:line="298" w:lineRule="auto"/>
        <w:rPr>
          <w:sz w:val="20"/>
          <w:szCs w:val="20"/>
          <w:color w:val="auto"/>
        </w:rPr>
      </w:pPr>
      <w:r>
        <w:rPr>
          <w:rFonts w:ascii="Arial" w:cs="Arial" w:eastAsia="Arial" w:hAnsi="Arial"/>
          <w:sz w:val="16"/>
          <w:szCs w:val="16"/>
          <w:color w:val="auto"/>
        </w:rPr>
        <w:t>The Company’s interest rate derivative instruments do not qualify for hedge accounting. Changes in the fair value are recognized immediately in the Consolidated Statement of Income within “Unrealized (loss) gain on interest rate derivatives”. Cash settlements of interest rate derivative instruments are recognized immediately in the Consolidated Statement of Income within “Realized loss on interest rate derivatives”. Cash flows related to interest rate derivatives (including payments and periodic cash settlements) are included within “Net cash (used in) investing activities”.</w:t>
      </w:r>
    </w:p>
    <w:p>
      <w:pPr>
        <w:spacing w:after="0" w:line="32"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The fair value of derivatives is presented on the face of the consolidated balance sheet under the line item “Derivative instruments” and is split into current and non-current portions based on the net cash flows expected within one year.</w:t>
      </w:r>
    </w:p>
    <w:p>
      <w:pPr>
        <w:spacing w:after="0" w:line="172"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Deferred finance costs</w:t>
      </w:r>
    </w:p>
    <w:p>
      <w:pPr>
        <w:spacing w:after="0" w:line="90"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Costs incurred in connection with obtaining long 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90" w:lineRule="exact"/>
        <w:rPr>
          <w:sz w:val="20"/>
          <w:szCs w:val="20"/>
          <w:color w:val="auto"/>
        </w:rPr>
      </w:pPr>
    </w:p>
    <w:p>
      <w:pPr>
        <w:ind w:left="920" w:right="60"/>
        <w:spacing w:after="0" w:line="323" w:lineRule="auto"/>
        <w:rPr>
          <w:sz w:val="20"/>
          <w:szCs w:val="20"/>
          <w:color w:val="auto"/>
        </w:rPr>
      </w:pPr>
      <w:r>
        <w:rPr>
          <w:rFonts w:ascii="Arial" w:cs="Arial" w:eastAsia="Arial" w:hAnsi="Arial"/>
          <w:sz w:val="15"/>
          <w:szCs w:val="15"/>
          <w:color w:val="auto"/>
        </w:rPr>
        <w:t>Preferred shares have been included within liabilities in the consolidated balance sheet and preferred share dividends included within interest expense in the consolidated statement of income as their nature is similar to that of a liability rather than equity. Holders of these mandatorily redeemable preferred shares are entitled to receive a dividend equal to 3-month U.S. dollar Libor plus 2% on the original issue price and rank senior to the Class A and Class B common shares with respect to dividend rights and rights upon liquidation, dissolution or winding up of the Company.</w:t>
      </w:r>
    </w:p>
    <w:p>
      <w:pPr>
        <w:spacing w:after="0" w:line="138"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Classification of long term debt</w:t>
      </w:r>
    </w:p>
    <w:p>
      <w:pPr>
        <w:spacing w:after="0" w:line="90"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Long term debt is classified within current liabilities unless the Company has an unconditional right to defer settlement of the liability for at least 12 months after the balance sheet date.</w:t>
      </w:r>
    </w:p>
    <w:p>
      <w:pPr>
        <w:spacing w:after="0" w:line="172"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90"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Other comprehensive income (loss), which is reported in the consolidated statement of equity, consists of net income (loss) and other gains and losses affecting equity that, under U.S. GAAP, are excluded from net income (loss).</w:t>
      </w:r>
    </w:p>
    <w:p>
      <w:pPr>
        <w:spacing w:after="0" w:line="172"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90"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The Company charters out its vessels on time charters which involves placing a vessel at a charterer’s disposal for a period of time during which the charterer uses the vessel in return for the payment of a specified daily hire rate. Such charters are accounted for as operating leases and therefore revenue is recognized on a straight line basis as the average revenues over the rental periods of such charter agreements, as service is performed, except for loss generating time charters, in which case the loss is recognized in the period when such accumulated loss is determined. The Company has no loss generating time charters.</w:t>
      </w:r>
    </w:p>
    <w:p>
      <w:pPr>
        <w:spacing w:after="0" w:line="62"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17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90" w:lineRule="exact"/>
        <w:rPr>
          <w:sz w:val="20"/>
          <w:szCs w:val="20"/>
          <w:color w:val="auto"/>
        </w:rPr>
      </w:pPr>
    </w:p>
    <w:p>
      <w:pPr>
        <w:ind w:left="920" w:right="160"/>
        <w:spacing w:after="0" w:line="256"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(loss) income.</w:t>
      </w:r>
    </w:p>
    <w:p>
      <w:pPr>
        <w:spacing w:after="0" w:line="184"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212"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expensed over the period covered by the insurance contract.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Company awards restricted stock units to its management and Directors which vest, based on service conditions only, over a period of time up to three years from the award date.</w:t>
      </w:r>
    </w:p>
    <w:p>
      <w:pPr>
        <w:spacing w:after="0" w:line="51" w:lineRule="exact"/>
        <w:rPr>
          <w:sz w:val="20"/>
          <w:szCs w:val="20"/>
          <w:color w:val="auto"/>
        </w:rPr>
      </w:pPr>
    </w:p>
    <w:p>
      <w:pPr>
        <w:ind w:left="920" w:right="540"/>
        <w:spacing w:after="0" w:line="259"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vesting period.</w:t>
      </w:r>
    </w:p>
    <w:p>
      <w:pPr>
        <w:spacing w:after="0" w:line="181"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Company and its Marshall Island subsidiaries are exempt from taxation in the Marshall Islands. The Company’s vessels are flagged in Bahamas,</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Cyprus and Panama and are liable for tax based on the tonnage of the vessel. The cost, which is included within operating expenses, amounted to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$124, $130 and $109 for the years ended December 31, 2011, 2010 and 2009, respectively. The Cyprus subsidiaries are liable for income tax payable</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any interest income earned from non-shipping activity.</w:t>
      </w:r>
    </w:p>
    <w:p>
      <w:pPr>
        <w:spacing w:after="0" w:line="84"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Company has one subsidiary in the United Kingdom, where the principal rate of corporate income tax is 26% (2010: 28%, 2009: 28%). This subsidiary earns management and other fees from fellow group companies.</w:t>
      </w:r>
    </w:p>
    <w:p>
      <w:pPr>
        <w:spacing w:after="0" w:line="51"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The Company accounts for deferred income taxes using the liability method which requires the determination of deferred tax assets and liabilities, based upon temporary timing differences that arise between the financial statement and tax bases of recording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At December 31, 2011 a deferred tax asset of $29 (2010: $265) was recognized relating to stock based compensation costs charged to the consolidated statement of income in respect of unvested shares.</w:t>
      </w:r>
    </w:p>
    <w:p>
      <w:pPr>
        <w:spacing w:after="0" w:line="39"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The Company recognizes uncertain tax positions only if it is more likely than not that the tax position will be sustained on examination by the taxing authorities, based solely on the technical merits of the position.</w:t>
      </w:r>
    </w:p>
    <w:p>
      <w:pPr>
        <w:spacing w:after="0" w:line="172"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Dividends</w:t>
      </w:r>
    </w:p>
    <w:p>
      <w:pPr>
        <w:spacing w:after="0" w:line="90"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consolidated balance sheet in the line item “Dividends payable”.</w:t>
      </w:r>
    </w:p>
    <w:p>
      <w:pPr>
        <w:spacing w:after="0" w:line="172"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sz w:val="20"/>
          <w:szCs w:val="20"/>
          <w:color w:val="auto"/>
        </w:rPr>
      </w:pPr>
    </w:p>
    <w:p>
      <w:pPr>
        <w:ind w:left="920" w:right="100"/>
        <w:spacing w:after="0" w:line="323" w:lineRule="auto"/>
        <w:rPr>
          <w:sz w:val="20"/>
          <w:szCs w:val="20"/>
          <w:color w:val="auto"/>
        </w:rPr>
      </w:pPr>
      <w:r>
        <w:rPr>
          <w:rFonts w:ascii="Arial" w:cs="Arial" w:eastAsia="Arial" w:hAnsi="Arial"/>
          <w:sz w:val="15"/>
          <w:szCs w:val="15"/>
          <w:color w:val="auto"/>
        </w:rPr>
        <w:t>Basic earnings per common share are based on income available to common shareholders divided by the weighted-average number of common shares outstanding during the period, excluding non-vested restricted stock units. Diluted earnings per common share are calculated by applying the treasury stock method. All outstanding warrants and non-vested restricted stock units that have a dilutive effect are included in the calculation. The basic and diluted earnings per share for the period are presented for each category of participating common shares under the two-class method.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354"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245"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90"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In May 2011, the Financial Accounting Standards Board (“FASB”) issued an accounting pronouncement that amended fair value measurement and disclosure requirements (Topic 820). This amendment does not affect valuation practices used by the Company. The amendment is effective for interim and annual periods beginning after December 15, 2011. The adoption of this pronouncement is not expected to have an effect on the audited consolidated financial statements of the Company other than minor disclosure amendments.</w:t>
      </w:r>
    </w:p>
    <w:p>
      <w:pPr>
        <w:spacing w:after="0" w:line="32"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In June 2011, FASB issued an amendment on the presentation and disclosure of comprehensive income (Topic 220). An entity will have the option to present the total of comprehensive income, the components of net income, and the components of other comprehensive income either in a continuous statement of comprehensive income or in two separate but consecutive statements. The pronouncement eliminates the option to present the components of other comprehensive income as part of the statement of changes in stockholders’ equity. The amendment is effective for annual periods, and interim periods beginning after December 15, 2011. The adoption of this pronouncement is not expected to have an effect on the audited consolidated financial statements of the Company.</w:t>
      </w:r>
    </w:p>
    <w:p>
      <w:pPr>
        <w:spacing w:after="0" w:line="39"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consolidated financial statements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4</w:t>
            </w:r>
            <w:r>
              <w:rPr>
                <w:rFonts w:ascii="Arial" w:cs="Arial" w:eastAsia="Arial" w:hAnsi="Arial"/>
                <w:sz w:val="18"/>
                <w:szCs w:val="18"/>
                <w:color w:val="auto"/>
                <w:w w:val="79"/>
              </w:rPr>
              <w:t>.</w:t>
            </w:r>
          </w:p>
        </w:tc>
        <w:tc>
          <w:tcPr>
            <w:tcW w:w="840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4"/>
          </w:tcPr>
          <w:p>
            <w:pPr>
              <w:ind w:left="2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$1,012,051</w:t>
            </w:r>
          </w:p>
        </w:tc>
        <w:tc>
          <w:tcPr>
            <w:tcW w:w="5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$1,008,330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right"/>
              <w:ind w:right="460"/>
              <w:spacing w:after="0"/>
              <w:rPr>
                <w:sz w:val="20"/>
                <w:szCs w:val="20"/>
                <w:color w:val="auto"/>
              </w:rPr>
            </w:pPr>
            <w:r>
              <w:rPr>
                <w:rFonts w:ascii="Arial" w:cs="Arial" w:eastAsia="Arial" w:hAnsi="Arial"/>
                <w:sz w:val="18"/>
                <w:szCs w:val="18"/>
                <w:color w:val="auto"/>
                <w:w w:val="90"/>
              </w:rPr>
              <w:t>(122,325)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(85,832)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840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book value</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890,249</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922,498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0" w:type="dxa"/>
            <w:vAlign w:val="bottom"/>
            <w:gridSpan w:val="2"/>
            <w:vMerge w:val="restart"/>
          </w:tcPr>
          <w:p>
            <w:pPr>
              <w:ind w:left="160"/>
              <w:spacing w:after="0"/>
              <w:rPr>
                <w:sz w:val="20"/>
                <w:szCs w:val="20"/>
                <w:color w:val="auto"/>
              </w:rPr>
            </w:pPr>
            <w:r>
              <w:rPr>
                <w:rFonts w:ascii="Arial" w:cs="Arial" w:eastAsia="Arial" w:hAnsi="Arial"/>
                <w:sz w:val="18"/>
                <w:szCs w:val="18"/>
                <w:color w:val="auto"/>
              </w:rPr>
              <w:t>Variations in net book value of vessels including drydocking, are presented below:</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00" w:type="dxa"/>
            <w:vAlign w:val="bottom"/>
          </w:tcPr>
          <w:p>
            <w:pPr>
              <w:spacing w:after="0"/>
              <w:rPr>
                <w:sz w:val="24"/>
                <w:szCs w:val="24"/>
                <w:color w:val="auto"/>
              </w:rPr>
            </w:pPr>
          </w:p>
        </w:tc>
        <w:tc>
          <w:tcPr>
            <w:tcW w:w="84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Opening balance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922,498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Additions in the period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7,863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5"/>
              </w:rPr>
              <w:t>(40,112)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(40,040)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400" w:type="dxa"/>
            <w:vAlign w:val="bottom"/>
            <w:gridSpan w:val="2"/>
          </w:tcPr>
          <w:p>
            <w:pPr>
              <w:ind w:left="160"/>
              <w:spacing w:after="0"/>
              <w:rPr>
                <w:sz w:val="20"/>
                <w:szCs w:val="20"/>
                <w:color w:val="auto"/>
              </w:rPr>
            </w:pPr>
            <w:r>
              <w:rPr>
                <w:rFonts w:ascii="Arial" w:cs="Arial" w:eastAsia="Arial" w:hAnsi="Arial"/>
                <w:sz w:val="18"/>
                <w:szCs w:val="18"/>
                <w:b w:val="1"/>
                <w:bCs w:val="1"/>
                <w:color w:val="auto"/>
              </w:rPr>
              <w:t>Closing balance</w:t>
            </w: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890,249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922,498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interest capitalized during the years ended December 31, 2011 and December 31, 2010 in respect of vessels in operation.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all 17 vessels were pledged as collateral under the credit facility agreement (see note 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540" w:type="dxa"/>
            <w:vAlign w:val="bottom"/>
            <w:gridSpan w:val="2"/>
          </w:tcPr>
          <w:p>
            <w:pPr>
              <w:jc w:val="center"/>
              <w:ind w:right="359"/>
              <w:spacing w:after="0"/>
              <w:rPr>
                <w:sz w:val="20"/>
                <w:szCs w:val="20"/>
                <w:color w:val="auto"/>
              </w:rPr>
            </w:pPr>
            <w:r>
              <w:rPr>
                <w:rFonts w:ascii="Arial" w:cs="Arial" w:eastAsia="Arial" w:hAnsi="Arial"/>
                <w:sz w:val="18"/>
                <w:szCs w:val="18"/>
                <w:b w:val="1"/>
                <w:bCs w:val="1"/>
                <w:color w:val="auto"/>
                <w:w w:val="88"/>
              </w:rPr>
              <w:t>Global Ship Lease, Inc.</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540" w:type="dxa"/>
            <w:vAlign w:val="bottom"/>
            <w:gridSpan w:val="2"/>
          </w:tcPr>
          <w:p>
            <w:pPr>
              <w:jc w:val="center"/>
              <w:ind w:right="339"/>
              <w:spacing w:after="0"/>
              <w:rPr>
                <w:sz w:val="20"/>
                <w:szCs w:val="20"/>
                <w:color w:val="auto"/>
              </w:rPr>
            </w:pPr>
            <w:r>
              <w:rPr>
                <w:rFonts w:ascii="Arial" w:cs="Arial" w:eastAsia="Arial" w:hAnsi="Arial"/>
                <w:sz w:val="18"/>
                <w:szCs w:val="18"/>
                <w:b w:val="1"/>
                <w:bCs w:val="1"/>
                <w:color w:val="auto"/>
                <w:w w:val="86"/>
              </w:rPr>
              <w:t>Notes to the Consolidated Financial Statements (continued)</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540" w:type="dxa"/>
            <w:vAlign w:val="bottom"/>
            <w:gridSpan w:val="2"/>
          </w:tcPr>
          <w:p>
            <w:pPr>
              <w:jc w:val="center"/>
              <w:ind w:right="339"/>
              <w:spacing w:after="0"/>
              <w:rPr>
                <w:sz w:val="20"/>
                <w:szCs w:val="20"/>
                <w:color w:val="auto"/>
              </w:rPr>
            </w:pPr>
            <w:r>
              <w:rPr>
                <w:rFonts w:ascii="Arial" w:cs="Arial" w:eastAsia="Arial" w:hAnsi="Arial"/>
                <w:sz w:val="18"/>
                <w:szCs w:val="18"/>
                <w:color w:val="auto"/>
                <w:w w:val="88"/>
              </w:rPr>
              <w:t>(Expressed in thousands of U.S. dollars)</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286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 Deposits</w:t>
            </w: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7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Opening balance</w:t>
            </w: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Capitalized interest</w:t>
            </w: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Release of original deposit</w:t>
            </w: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(15,477)</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Impairment of capitalized interest</w:t>
            </w:r>
          </w:p>
        </w:tc>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53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Company agreed in September 2008 to purchase two 4,250 TEU newbuildings from German interests in the fourth quarter of 2010 for approximately $77,400 each. A deposit of 10% was paid.</w:t>
      </w:r>
    </w:p>
    <w:p>
      <w:pPr>
        <w:spacing w:after="0" w:line="51" w:lineRule="exact"/>
        <w:rPr>
          <w:sz w:val="20"/>
          <w:szCs w:val="20"/>
          <w:color w:val="auto"/>
        </w:rPr>
      </w:pPr>
    </w:p>
    <w:p>
      <w:pPr>
        <w:ind w:left="460" w:right="60"/>
        <w:spacing w:after="0" w:line="370" w:lineRule="auto"/>
        <w:rPr>
          <w:sz w:val="20"/>
          <w:szCs w:val="20"/>
          <w:color w:val="auto"/>
        </w:rPr>
      </w:pPr>
      <w:r>
        <w:rPr>
          <w:rFonts w:ascii="Arial" w:cs="Arial" w:eastAsia="Arial" w:hAnsi="Arial"/>
          <w:sz w:val="15"/>
          <w:szCs w:val="15"/>
          <w:color w:val="auto"/>
        </w:rPr>
        <w:t>On November 8, 2010 the Company signed agreements with the sellers of the vessels which terminated the Company’s purchase obligations and granted the Company purchase options to acquire the vessels one year later (see notes 7 and 14). Under the agreements, the Company released the vessel deposits.</w:t>
      </w:r>
    </w:p>
    <w:p>
      <w:pPr>
        <w:spacing w:after="0" w:line="178"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w:t>
      </w:r>
    </w:p>
    <w:p>
      <w:pPr>
        <w:spacing w:after="0" w:line="96" w:lineRule="exact"/>
        <w:rPr>
          <w:rFonts w:ascii="Arial" w:cs="Arial" w:eastAsia="Arial" w:hAnsi="Arial"/>
          <w:sz w:val="18"/>
          <w:szCs w:val="18"/>
          <w:b w:val="1"/>
          <w:bCs w:val="1"/>
          <w:color w:val="auto"/>
        </w:rPr>
      </w:pPr>
    </w:p>
    <w:p>
      <w:pPr>
        <w:ind w:left="4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Following the agreement of the Company with German interests on November 8, 2010 to terminate the Company’s obligations to purchase the two 4,250 TEU newbuildings, an impairment charge of $17,082 was recognized during the year ended December 31, 2010 which was comprised of $15,477 released deposits, $1,291 capitalized interest and $314 other predelivery capital expenditure for the newbuildings (see notes 5 and 14).</w:t>
      </w:r>
    </w:p>
    <w:p>
      <w:pPr>
        <w:spacing w:after="0" w:line="25"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vessel purchase options (see note 7) with a carrying value at December 31, 2010 of $13,645 were impaired, and subsequently allowed to lapse without being exercised, during the year ended December 31, 2011.</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Intangible Assets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1"/>
        </w:trPr>
        <w:tc>
          <w:tcPr>
            <w:tcW w:w="8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Opening balance—purchase agreement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Addition – vessel purchase options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Impairment – vessel purchase options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(13,645)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Addition – software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 software development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b w:val="1"/>
                <w:bCs w:val="1"/>
                <w:color w:val="auto"/>
              </w:rPr>
              <w:t>Closing balance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On November 8, 2010, the Company signed agreements with the sellers of two 4,250 TEU newbuildings to terminate the purchase obligations under contracts entered into in September 2008 and grant the Company options to purchase the vessels one year later. Intangible assets relating to these purchase options were recognised at the fair value of the purchase options on the date of the agreement.</w:t>
      </w:r>
    </w:p>
    <w:p>
      <w:pPr>
        <w:spacing w:after="0" w:line="26" w:lineRule="exact"/>
        <w:rPr>
          <w:sz w:val="20"/>
          <w:szCs w:val="20"/>
          <w:color w:val="auto"/>
        </w:rPr>
      </w:pPr>
    </w:p>
    <w:p>
      <w:pPr>
        <w:ind w:left="460" w:right="20"/>
        <w:spacing w:after="0" w:line="323" w:lineRule="auto"/>
        <w:rPr>
          <w:sz w:val="20"/>
          <w:szCs w:val="20"/>
          <w:color w:val="auto"/>
        </w:rPr>
      </w:pPr>
      <w:r>
        <w:rPr>
          <w:rFonts w:ascii="Arial" w:cs="Arial" w:eastAsia="Arial" w:hAnsi="Arial"/>
          <w:sz w:val="15"/>
          <w:szCs w:val="15"/>
          <w:color w:val="auto"/>
        </w:rPr>
        <w:t>The purchase options were to be declared by September 16, 2011 for one vessel and October 4, 2011 for the other. The purchase of these vessels was always predicated on achieving a strong return for shareholders by acquiring the vessels, which had time charters attached, at an attractive price and securing financing on favorable terms. As the Company was unable to obtain committed finance on acceptable terms, the intangible assets relating to these purchase options were impaired during the year ended December 31, 2011 and the purchase options have subsequently lapsed (see notes 6 and 14).</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5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fair value of derivative financial instruments contracted by the Company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auto"/>
                <w:w w:val="95"/>
              </w:rPr>
              <w:t>December 31,</w:t>
            </w:r>
          </w:p>
        </w:tc>
      </w:tr>
      <w:tr>
        <w:trPr>
          <w:trHeight w:val="161"/>
        </w:trPr>
        <w:tc>
          <w:tcPr>
            <w:tcW w:w="81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1100" w:type="dxa"/>
            <w:vAlign w:val="bottom"/>
            <w:gridSpan w:val="2"/>
          </w:tcPr>
          <w:p>
            <w:pPr>
              <w:jc w:val="right"/>
              <w:ind w:right="16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8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interest rate swap hedging instruments - current and non current portions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45,315</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44,435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December 31, 2011 and December 31, 2010, none of the Company’s derivative instruments qualified for hedge accounting.</w:t>
      </w:r>
    </w:p>
    <w:p>
      <w:pPr>
        <w:spacing w:after="0" w:line="90" w:lineRule="exact"/>
        <w:rPr>
          <w:sz w:val="20"/>
          <w:szCs w:val="20"/>
          <w:color w:val="auto"/>
        </w:rPr>
      </w:pPr>
    </w:p>
    <w:p>
      <w:pPr>
        <w:ind w:left="460" w:right="520"/>
        <w:spacing w:after="0" w:line="332" w:lineRule="auto"/>
        <w:rPr>
          <w:sz w:val="20"/>
          <w:szCs w:val="20"/>
          <w:color w:val="auto"/>
        </w:rPr>
      </w:pPr>
      <w:r>
        <w:rPr>
          <w:rFonts w:ascii="Arial" w:cs="Arial" w:eastAsia="Arial" w:hAnsi="Arial"/>
          <w:sz w:val="16"/>
          <w:szCs w:val="16"/>
          <w:color w:val="auto"/>
        </w:rPr>
        <w:t>The Company entered into certain derivative interest rate agreements to fix the interest rate on debt drawn or anticipated to be drawn under its credit facility. A total of $580,000 has been swapped into fixed rate debt at a weighted average rate of 3.59%, with details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Start Date</w:t>
            </w:r>
          </w:p>
        </w:tc>
        <w:tc>
          <w:tcPr>
            <w:tcW w:w="3360" w:type="dxa"/>
            <w:vAlign w:val="bottom"/>
            <w:gridSpan w:val="2"/>
          </w:tcPr>
          <w:p>
            <w:pPr>
              <w:spacing w:after="0"/>
              <w:rPr>
                <w:sz w:val="15"/>
                <w:szCs w:val="15"/>
                <w:color w:val="auto"/>
              </w:rPr>
            </w:pPr>
          </w:p>
        </w:tc>
        <w:tc>
          <w:tcPr>
            <w:tcW w:w="3860" w:type="dxa"/>
            <w:vAlign w:val="bottom"/>
            <w:gridSpan w:val="2"/>
          </w:tcPr>
          <w:p>
            <w:pPr>
              <w:ind w:left="1260"/>
              <w:spacing w:after="0"/>
              <w:rPr>
                <w:sz w:val="20"/>
                <w:szCs w:val="20"/>
                <w:color w:val="auto"/>
              </w:rPr>
            </w:pPr>
            <w:r>
              <w:rPr>
                <w:rFonts w:ascii="Arial" w:cs="Arial" w:eastAsia="Arial" w:hAnsi="Arial"/>
                <w:sz w:val="14"/>
                <w:szCs w:val="14"/>
                <w:b w:val="1"/>
                <w:bCs w:val="1"/>
                <w:color w:val="auto"/>
              </w:rPr>
              <w:t>Maturity Date</w:t>
            </w:r>
          </w:p>
        </w:tc>
        <w:tc>
          <w:tcPr>
            <w:tcW w:w="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Notional Amount</w:t>
            </w:r>
          </w:p>
        </w:tc>
        <w:tc>
          <w:tcPr>
            <w:tcW w:w="6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Fixed Rate %</w:t>
            </w:r>
          </w:p>
        </w:tc>
      </w:tr>
      <w:tr>
        <w:trPr>
          <w:trHeight w:val="203"/>
        </w:trPr>
        <w:tc>
          <w:tcPr>
            <w:tcW w:w="40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May 12, 2008</w:t>
            </w:r>
          </w:p>
        </w:tc>
        <w:tc>
          <w:tcPr>
            <w:tcW w:w="3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17, 2013</w:t>
            </w: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6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5"/>
              </w:rPr>
              <w:t>3.40</w:t>
            </w: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May 19, 2008</w:t>
            </w:r>
          </w:p>
        </w:tc>
        <w:tc>
          <w:tcPr>
            <w:tcW w:w="3860" w:type="dxa"/>
            <w:vAlign w:val="bottom"/>
            <w:gridSpan w:val="2"/>
          </w:tcPr>
          <w:p>
            <w:pPr>
              <w:spacing w:after="0"/>
              <w:rPr>
                <w:sz w:val="20"/>
                <w:szCs w:val="20"/>
                <w:color w:val="auto"/>
              </w:rPr>
            </w:pPr>
            <w:r>
              <w:rPr>
                <w:rFonts w:ascii="Arial" w:cs="Arial" w:eastAsia="Arial" w:hAnsi="Arial"/>
                <w:sz w:val="18"/>
                <w:szCs w:val="18"/>
                <w:color w:val="auto"/>
              </w:rPr>
              <w:t>March 17, 2013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60,000</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3.40</w:t>
            </w: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20, 2008</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3.40</w:t>
            </w: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November 19, 2008</w:t>
            </w:r>
          </w:p>
        </w:tc>
        <w:tc>
          <w:tcPr>
            <w:tcW w:w="3860" w:type="dxa"/>
            <w:vAlign w:val="bottom"/>
            <w:gridSpan w:val="2"/>
          </w:tcPr>
          <w:p>
            <w:pPr>
              <w:spacing w:after="0"/>
              <w:rPr>
                <w:sz w:val="20"/>
                <w:szCs w:val="20"/>
                <w:color w:val="auto"/>
              </w:rPr>
            </w:pPr>
            <w:r>
              <w:rPr>
                <w:rFonts w:ascii="Arial" w:cs="Arial" w:eastAsia="Arial" w:hAnsi="Arial"/>
                <w:sz w:val="18"/>
                <w:szCs w:val="18"/>
                <w:color w:val="auto"/>
              </w:rPr>
              <w:t>November 29, 2013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3.30</w:t>
            </w: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3.40</w:t>
            </w: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December 17, 2008</w:t>
            </w:r>
          </w:p>
        </w:tc>
        <w:tc>
          <w:tcPr>
            <w:tcW w:w="3860" w:type="dxa"/>
            <w:vAlign w:val="bottom"/>
            <w:gridSpan w:val="2"/>
          </w:tcPr>
          <w:p>
            <w:pPr>
              <w:spacing w:after="0"/>
              <w:rPr>
                <w:sz w:val="20"/>
                <w:szCs w:val="20"/>
                <w:color w:val="auto"/>
              </w:rPr>
            </w:pPr>
            <w:r>
              <w:rPr>
                <w:rFonts w:ascii="Arial" w:cs="Arial" w:eastAsia="Arial" w:hAnsi="Arial"/>
                <w:sz w:val="18"/>
                <w:szCs w:val="18"/>
                <w:color w:val="auto"/>
              </w:rPr>
              <w:t>December 17, 2016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60,000</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3.69</w:t>
            </w: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3.81</w:t>
            </w: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December 17, 2008</w:t>
            </w:r>
          </w:p>
        </w:tc>
        <w:tc>
          <w:tcPr>
            <w:tcW w:w="3860" w:type="dxa"/>
            <w:vAlign w:val="bottom"/>
            <w:gridSpan w:val="2"/>
          </w:tcPr>
          <w:p>
            <w:pPr>
              <w:spacing w:after="0"/>
              <w:rPr>
                <w:sz w:val="20"/>
                <w:szCs w:val="20"/>
                <w:color w:val="auto"/>
              </w:rPr>
            </w:pPr>
            <w:r>
              <w:rPr>
                <w:rFonts w:ascii="Arial" w:cs="Arial" w:eastAsia="Arial" w:hAnsi="Arial"/>
                <w:sz w:val="18"/>
                <w:szCs w:val="18"/>
                <w:color w:val="auto"/>
              </w:rPr>
              <w:t>March 17, 2013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45,000</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3.40</w:t>
            </w: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3.71</w:t>
            </w: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July 15, 2009</w:t>
            </w:r>
          </w:p>
        </w:tc>
        <w:tc>
          <w:tcPr>
            <w:tcW w:w="3860" w:type="dxa"/>
            <w:vAlign w:val="bottom"/>
            <w:gridSpan w:val="2"/>
          </w:tcPr>
          <w:p>
            <w:pPr>
              <w:spacing w:after="0"/>
              <w:rPr>
                <w:sz w:val="20"/>
                <w:szCs w:val="20"/>
                <w:color w:val="auto"/>
              </w:rPr>
            </w:pPr>
            <w:r>
              <w:rPr>
                <w:rFonts w:ascii="Arial" w:cs="Arial" w:eastAsia="Arial" w:hAnsi="Arial"/>
                <w:sz w:val="18"/>
                <w:szCs w:val="18"/>
                <w:color w:val="auto"/>
              </w:rPr>
              <w:t>August 29, 2014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41,000</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3.78</w:t>
            </w: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29, 2010</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29, 2015</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5"/>
              </w:rPr>
              <w:t>4.25</w:t>
            </w:r>
          </w:p>
        </w:tc>
        <w:tc>
          <w:tcPr>
            <w:tcW w:w="220" w:type="dxa"/>
            <w:vAlign w:val="bottom"/>
            <w:shd w:val="clear" w:color="auto" w:fill="CCEEFF"/>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6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 Weighted average rate</w:t>
            </w:r>
          </w:p>
        </w:tc>
        <w:tc>
          <w:tcPr>
            <w:tcW w:w="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580,000</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3.59%</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3"/>
        </w:trPr>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9"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counterparty has a one time option to cancel the swaps in February 2013</w:t>
      </w:r>
    </w:p>
    <w:p>
      <w:pPr>
        <w:spacing w:after="0" w:line="15" w:lineRule="exact"/>
        <w:rPr>
          <w:rFonts w:ascii="Arial" w:cs="Arial" w:eastAsia="Arial" w:hAnsi="Arial"/>
          <w:sz w:val="18"/>
          <w:szCs w:val="18"/>
          <w:i w:val="1"/>
          <w:iCs w:val="1"/>
          <w:color w:val="auto"/>
        </w:rPr>
      </w:pPr>
    </w:p>
    <w:p>
      <w:pPr>
        <w:ind w:left="900" w:hanging="446"/>
        <w:spacing w:after="0"/>
        <w:tabs>
          <w:tab w:leader="none" w:pos="900" w:val="left"/>
        </w:tabs>
        <w:numPr>
          <w:ilvl w:val="0"/>
          <w:numId w:val="89"/>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counterparties have a one time option to cancel the swaps in March 2013</w:t>
      </w:r>
    </w:p>
    <w:p>
      <w:pPr>
        <w:spacing w:after="0" w:line="84"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As of December 31, 2011 the maximum length of time over which the Company has hedged its interest rate exposure is approximately five years (2010: six years).</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Deferred Financing Costs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1"/>
        </w:trPr>
        <w:tc>
          <w:tcPr>
            <w:tcW w:w="8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Expenditure in the period</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1,021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within interest expense</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w:t>
            </w: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Closing balance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4,794</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Company’s borrowing capacity under its credit facility was reduced under amendments agreed on February 10, 2009 and August 20, 2009. A portion of the unamortized deferred financing costs at the date of each amendment was written off, in proportion to the decrease in the borrowing capacity for $176 and $2,015 respectively. These amounts were included within interest expense.</w:t>
      </w:r>
    </w:p>
    <w:p>
      <w:pPr>
        <w:spacing w:after="0" w:line="59"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color w:val="auto"/>
        </w:rPr>
        <w:t>On November, 30, 2011 the Company obtained a waiver until November 30, 2012 from the Leverage Ratio test required under its credit facility (see note 11). The fees and related costs paid ($1,021; 2010: $nil) have been deferred and are amortized over the remaining term of the credit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Intangible Liability – Charter Agreements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1"/>
        </w:trPr>
        <w:tc>
          <w:tcPr>
            <w:tcW w:w="20" w:type="dxa"/>
            <w:vAlign w:val="bottom"/>
          </w:tcPr>
          <w:p>
            <w:pPr>
              <w:spacing w:after="0"/>
              <w:rPr>
                <w:sz w:val="14"/>
                <w:szCs w:val="14"/>
                <w:color w:val="auto"/>
              </w:rPr>
            </w:pPr>
          </w:p>
        </w:tc>
        <w:tc>
          <w:tcPr>
            <w:tcW w:w="8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Amortization in period</w:t>
            </w:r>
          </w:p>
        </w:tc>
        <w:tc>
          <w:tcPr>
            <w:tcW w:w="18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22,169</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Intangible liabilities relate to management’s estimate of the fair value of below-market charters at the date of the merger (see note 1), on August 14, 2008. The intangible liabilities are being amortized for each vessel over the remaining life of the associated charter. The fair value was estimated by management based on its experience with regard to availability of similar vessels, costs to build new vessels and current market demand. The contracted lease rates were compared to the estimated market lease rates for similar vessels. The intangible liabilities were determined by discounting the difference in the projected lease cash flows using a discount rate of 8.0% and the length of the charter as the relevant time period.</w:t>
      </w:r>
    </w:p>
    <w:p>
      <w:pPr>
        <w:spacing w:after="0" w:line="35"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Amortization of the intangible liabilities for the 12 initial vessels began on the date following the merger and for the remaining five vessels delivered to the Company after the merger, amortization commenced upon delivery. These intangible liabilities are amortized as an increase of time charter revenue over the remaining term of the relevant charter.</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Long Term Debt</w:t>
      </w:r>
    </w:p>
    <w:p>
      <w:pPr>
        <w:spacing w:after="0" w:line="96"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w:t>
      </w:r>
    </w:p>
    <w:p>
      <w:pPr>
        <w:spacing w:after="0" w:line="59"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Leverage Ratio is not permitted to exceed 75%.</w:t>
      </w:r>
    </w:p>
    <w:p>
      <w:pPr>
        <w:spacing w:after="0" w:line="90"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repayments of the credit facility were made in the year ended December 31, 2010 amounting to $51,330. A further repayment of $13,816 was made on March 31, 2011.</w:t>
      </w:r>
    </w:p>
    <w:p>
      <w:pPr>
        <w:spacing w:after="0" w:line="62" w:lineRule="exact"/>
        <w:rPr>
          <w:sz w:val="20"/>
          <w:szCs w:val="20"/>
          <w:color w:val="auto"/>
        </w:rPr>
      </w:pPr>
    </w:p>
    <w:p>
      <w:pPr>
        <w:ind w:left="460" w:right="360"/>
        <w:spacing w:after="0" w:line="306" w:lineRule="auto"/>
        <w:rPr>
          <w:sz w:val="20"/>
          <w:szCs w:val="20"/>
          <w:color w:val="auto"/>
        </w:rPr>
      </w:pPr>
      <w:r>
        <w:rPr>
          <w:rFonts w:ascii="Arial" w:cs="Arial" w:eastAsia="Arial" w:hAnsi="Arial"/>
          <w:sz w:val="16"/>
          <w:szCs w:val="16"/>
          <w:color w:val="auto"/>
        </w:rPr>
        <w:t>At April 30, 2011 the Leverage Ratio was less than 75% and greater than 65%. Accordingly, from that date (i) interest margin paid on borrowings was 3.00% (ii) prepayments of borrowings were fixed at $10,000 per quarter, and (iii) the Company was able to make dividend payments to common shareholders. On this basis, further repayments of $10,000 were made on both June 30, 2011 and September 30, 2011.</w:t>
      </w:r>
    </w:p>
    <w:p>
      <w:pPr>
        <w:spacing w:after="0" w:line="26"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Due to the downturn after April 2011 in charter free market values for containerships, on November 30, 2011, the Company obtained a waiver from its lenders of the requirement to perform the Leverage Ratio test until November 30, 2012. Accordingly from November 30, 2011 (i) the interest margin on borrowings reverted to 3.50% (ii) prepayments of borrowings are to be made quarterly in an amount equal to free cash in excess of $20,000 determined as at the previous month end subject to a minimum of $40,000 repayment a year on a rolling 12 month trailing basis, and (iii) the Company is unable to make dividend payments to common shareholders. On this basis, a repayment of $15,341 was made on December 30, 2011.</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next Leverage Ratio test is scheduled for November 30,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 (continued)</w:t>
      </w:r>
    </w:p>
    <w:p>
      <w:pPr>
        <w:spacing w:after="0" w:line="2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90" w:lineRule="exact"/>
        <w:rPr>
          <w:rFonts w:ascii="Arial" w:cs="Arial" w:eastAsia="Arial" w:hAnsi="Arial"/>
          <w:sz w:val="18"/>
          <w:szCs w:val="18"/>
          <w:b w:val="1"/>
          <w:bCs w:val="1"/>
          <w:color w:val="auto"/>
        </w:rPr>
      </w:pPr>
    </w:p>
    <w:p>
      <w:pPr>
        <w:ind w:left="4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 term debt is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1"/>
        </w:trPr>
        <w:tc>
          <w:tcPr>
            <w:tcW w:w="8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facility, at Libor USD + 2.50% to 3.50%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483,612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532,769</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(46,000)</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(44,500)</w:t>
            </w:r>
          </w:p>
        </w:tc>
      </w:tr>
      <w:tr>
        <w:trPr>
          <w:trHeight w:val="27"/>
        </w:trPr>
        <w:tc>
          <w:tcPr>
            <w:tcW w:w="8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437,612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488,269</w:t>
            </w:r>
          </w:p>
        </w:tc>
      </w:tr>
      <w:tr>
        <w:trPr>
          <w:trHeight w:val="20"/>
        </w:trPr>
        <w:tc>
          <w:tcPr>
            <w:tcW w:w="8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Based on (i) management’s reasonable estimate of cash flows from January 1, 2012 and (ii) the Leverage Ratio being at or below 75% at the next scheduled test date of November 30, 2012, the estimated repayments in each of the relevant periods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80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317,612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483,612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spacing w:after="0" w:line="335" w:lineRule="auto"/>
        <w:rPr>
          <w:sz w:val="20"/>
          <w:szCs w:val="20"/>
          <w:color w:val="auto"/>
        </w:rPr>
      </w:pPr>
      <w:r>
        <w:rPr>
          <w:rFonts w:ascii="Arial" w:cs="Arial" w:eastAsia="Arial" w:hAnsi="Arial"/>
          <w:sz w:val="15"/>
          <w:szCs w:val="15"/>
          <w:color w:val="auto"/>
        </w:rPr>
        <w:t>The amount of excess cash generated may vary significantly from management’s estimates and consequently the repayment profile of outstanding debt may be significantly different from that presented. Further, the Leverage Ratio may not be at or below 75% as at November 30, 2012 in which case, assuming a continuation of the current waiver, quarterly prepayments will continue to be based on free cash in excess of $20,000 at the measurement dates.</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Other operating (income)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operating (income) expense is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3"/>
          </w:tcPr>
          <w:p>
            <w:pPr>
              <w:ind w:left="80"/>
              <w:spacing w:after="0"/>
              <w:rPr>
                <w:sz w:val="20"/>
                <w:szCs w:val="20"/>
                <w:color w:val="auto"/>
              </w:rPr>
            </w:pPr>
            <w:r>
              <w:rPr>
                <w:rFonts w:ascii="Arial" w:cs="Arial" w:eastAsia="Arial" w:hAnsi="Arial"/>
                <w:sz w:val="14"/>
                <w:szCs w:val="14"/>
                <w:color w:val="auto"/>
              </w:rPr>
              <w:t>Year ended</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Year ended</w:t>
            </w:r>
          </w:p>
        </w:tc>
      </w:tr>
      <w:tr>
        <w:trPr>
          <w:trHeight w:val="149"/>
        </w:trPr>
        <w:tc>
          <w:tcPr>
            <w:tcW w:w="34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w w:val="97"/>
              </w:rPr>
              <w:t>December 31,</w:t>
            </w:r>
          </w:p>
        </w:tc>
      </w:tr>
      <w:tr>
        <w:trPr>
          <w:trHeight w:val="161"/>
        </w:trPr>
        <w:tc>
          <w:tcPr>
            <w:tcW w:w="340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2010</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Sundry shipping income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1"/>
              </w:rPr>
              <w:t>(288)</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Other sundry income</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w w:val="95"/>
              </w:rPr>
              <w:t>(144)</w:t>
            </w:r>
          </w:p>
        </w:tc>
      </w:tr>
      <w:tr>
        <w:trPr>
          <w:trHeight w:val="27"/>
        </w:trPr>
        <w:tc>
          <w:tcPr>
            <w:tcW w:w="3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(432)</w:t>
            </w:r>
          </w:p>
        </w:tc>
      </w:tr>
      <w:tr>
        <w:trPr>
          <w:trHeight w:val="20"/>
        </w:trPr>
        <w:tc>
          <w:tcPr>
            <w:tcW w:w="3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400" w:type="dxa"/>
            <w:vAlign w:val="bottom"/>
          </w:tcPr>
          <w:p>
            <w:pPr>
              <w:spacing w:after="0"/>
              <w:rPr>
                <w:sz w:val="24"/>
                <w:szCs w:val="24"/>
                <w:color w:val="auto"/>
              </w:rPr>
            </w:pPr>
          </w:p>
        </w:tc>
        <w:tc>
          <w:tcPr>
            <w:tcW w:w="3240" w:type="dxa"/>
            <w:vAlign w:val="bottom"/>
            <w:gridSpan w:val="2"/>
          </w:tcPr>
          <w:p>
            <w:pPr>
              <w:ind w:left="1680"/>
              <w:spacing w:after="0"/>
              <w:rPr>
                <w:sz w:val="20"/>
                <w:szCs w:val="20"/>
                <w:color w:val="auto"/>
              </w:rPr>
            </w:pPr>
            <w:r>
              <w:rPr>
                <w:rFonts w:ascii="Arial" w:cs="Arial" w:eastAsia="Arial" w:hAnsi="Arial"/>
                <w:sz w:val="18"/>
                <w:szCs w:val="18"/>
                <w:color w:val="auto"/>
              </w:rPr>
              <w:t>F-18</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Related Party Transactions</w:t>
      </w:r>
    </w:p>
    <w:p>
      <w:pPr>
        <w:spacing w:after="0" w:line="96"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CMA CGM is presented as a related party as it was, until the merger referred to in note 1, the parent company of Global Ship Lease, Inc. and at December 31, 2011 is a significant shareholder of the Company, owning Class A and Class B common shares representing a 45% voting interest in the Company.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31,</w:t>
            </w:r>
          </w:p>
        </w:tc>
        <w:tc>
          <w:tcPr>
            <w:tcW w:w="7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account (below)</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2,597</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13,911</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December 31, 2011 and December 31, 2010 relate to amounts payable to or recoverable from CMA CGM group companies.</w:t>
      </w:r>
    </w:p>
    <w:p>
      <w:pPr>
        <w:spacing w:after="0" w:line="4"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Company has experienced continued and, from time to time, increased delays in receiving charterhire from CMA CGM, where between one and four instalments have been outstanding up to the date of these financial statements. Under the charter contracts charterhire is due to be paid every 15 days in advance on the 1st and 16th of each month.</w:t>
      </w:r>
    </w:p>
    <w:p>
      <w:pPr>
        <w:spacing w:after="0" w:line="59" w:lineRule="exact"/>
        <w:rPr>
          <w:sz w:val="20"/>
          <w:szCs w:val="20"/>
          <w:color w:val="auto"/>
        </w:rPr>
      </w:pPr>
    </w:p>
    <w:p>
      <w:pPr>
        <w:ind w:left="460" w:right="460"/>
        <w:spacing w:after="0" w:line="306" w:lineRule="auto"/>
        <w:rPr>
          <w:sz w:val="20"/>
          <w:szCs w:val="20"/>
          <w:color w:val="auto"/>
        </w:rPr>
      </w:pPr>
      <w:r>
        <w:rPr>
          <w:rFonts w:ascii="Arial" w:cs="Arial" w:eastAsia="Arial" w:hAnsi="Arial"/>
          <w:sz w:val="16"/>
          <w:szCs w:val="16"/>
          <w:color w:val="auto"/>
        </w:rPr>
        <w:t>As at December 31, 2011, two periods of charterhire, due on December 1 and December 16, 2011, were outstanding amounting to $13,314. This was received in January 2012. As at close of business on April 12, 2012, the latest practicable date prior to the issuance of these consolidated financial statements, two periods of charterhire, due on March 16 and April 1, 2012, were outstanding amounting to $13,314.</w:t>
      </w:r>
    </w:p>
    <w:p>
      <w:pPr>
        <w:spacing w:after="0" w:line="2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CMA CGM holds all of the Series A preferred shares of the Company. During the year to December 31, 2011, the Company paid CMA CGM dividends on the preferred shares of $1,125 (2010: $1,136, 2009: $2,279 of which $848 related to the year ended December 31, 2008). Dividends on preferred shares are included within interest expense.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 the duration of the charter. The charters are for remaining periods as at December 31, 2011 of between one and 14 years (see note 2(a)). All the $1,202,913 future charter hire receivable for the fleet set out in note 14 relates to the 17 ships currently chartered to CMA CGM.</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 Management Agreement</w:t>
      </w:r>
    </w:p>
    <w:p>
      <w:pPr>
        <w:spacing w:after="0" w:line="96"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The Company outsources day to day technical management of its 17 vessels to a ship manager, CMA Ships Limited, a wholly owned subsidiary of CMA CGM. The Company pays CMA Ships Limited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year ended December 31, 2011 amounted to $1,938 (2010: $1,943, 2009: $1,864).</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Commitments and Contingencies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Charter Hire Receivable</w:t>
      </w:r>
    </w:p>
    <w:p>
      <w:pPr>
        <w:spacing w:after="0" w:line="9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Company has entered into long term charters for its vessels. The charter hire is fixed for the duration of the charter. The charters were originally for periods of between five and 17 years and the maximum future annual charter hire receivable for the fleet of 17 vessels as at December 31, 2011 before allowance for any off-hire periods, is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Fleet as at</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79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8780" w:type="dxa"/>
            <w:vAlign w:val="bottom"/>
            <w:gridSpan w:val="2"/>
          </w:tcPr>
          <w:p>
            <w:pPr>
              <w:jc w:val="center"/>
              <w:ind w:left="7916"/>
              <w:spacing w:after="0" w:line="148"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79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156,502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8780" w:type="dxa"/>
            <w:vAlign w:val="bottom"/>
            <w:gridSpan w:val="2"/>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8780" w:type="dxa"/>
            <w:vAlign w:val="bottom"/>
            <w:gridSpan w:val="2"/>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79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8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1,202,913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 Capital</w:t>
      </w:r>
    </w:p>
    <w:p>
      <w:pPr>
        <w:spacing w:after="0" w:line="96"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At December 31, 2011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certain financial conditions, mainly relating to the record of dividend payments, have been met when the Class B common shares would convert to Class A common shares on a one-for-one basis. The financial conditions have not yet been met and accordingly the conversion has not taken place.</w:t>
      </w:r>
    </w:p>
    <w:p>
      <w:pPr>
        <w:spacing w:after="0" w:line="62"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Until January 1, 2009 the Company had three classes of common shares but on that date the 12,375,000 Class C common shares were converted into Class A common shares on a one-for-one basis.</w:t>
      </w:r>
    </w:p>
    <w:p>
      <w:pPr>
        <w:spacing w:after="0" w:line="51"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17).</w:t>
      </w:r>
    </w:p>
    <w:p>
      <w:pPr>
        <w:spacing w:after="0" w:line="51" w:lineRule="exact"/>
        <w:rPr>
          <w:sz w:val="20"/>
          <w:szCs w:val="20"/>
          <w:color w:val="auto"/>
        </w:rPr>
      </w:pPr>
    </w:p>
    <w:p>
      <w:pPr>
        <w:jc w:val="both"/>
        <w:ind w:left="460" w:right="220"/>
        <w:spacing w:after="0" w:line="357" w:lineRule="auto"/>
        <w:rPr>
          <w:sz w:val="20"/>
          <w:szCs w:val="20"/>
          <w:color w:val="auto"/>
        </w:rPr>
      </w:pPr>
      <w:r>
        <w:rPr>
          <w:rFonts w:ascii="Arial" w:cs="Arial" w:eastAsia="Arial" w:hAnsi="Arial"/>
          <w:sz w:val="15"/>
          <w:szCs w:val="15"/>
          <w:color w:val="auto"/>
        </w:rPr>
        <w:t>The Series A preferred shares rank senior to the common shares and are mandatorily redeemable in 12 quarterly instalments commencing on August 31, 2016. They are classified as a long-term liability. The dividend that preferred shareholders are entitled to be paid is presented as part of interest expense.</w:t>
      </w:r>
    </w:p>
    <w:p>
      <w:pPr>
        <w:ind w:left="460" w:right="180"/>
        <w:spacing w:after="0" w:line="306" w:lineRule="auto"/>
        <w:rPr>
          <w:sz w:val="20"/>
          <w:szCs w:val="20"/>
          <w:color w:val="auto"/>
        </w:rPr>
      </w:pPr>
      <w:r>
        <w:rPr>
          <w:rFonts w:ascii="Arial" w:cs="Arial" w:eastAsia="Arial" w:hAnsi="Arial"/>
          <w:sz w:val="16"/>
          <w:szCs w:val="16"/>
          <w:color w:val="auto"/>
        </w:rPr>
        <w:t>On August 24, 2010, 39,531,348 Public Warrants, which gave the holder the right to purchase one Class A common share at a price of $6, and 5,500,000 Sponsor Warrants, which had similar terms except that the exercise had to be on a cashless basis, expired. There are 6,188,088 Class A Warrants outstanding which expire on September 1, 2013 and give the holders the right to purchase one Class A common share at a price of $9.25.</w:t>
      </w:r>
    </w:p>
    <w:p>
      <w:pPr>
        <w:spacing w:after="0" w:line="26" w:lineRule="exact"/>
        <w:rPr>
          <w:sz w:val="20"/>
          <w:szCs w:val="20"/>
          <w:color w:val="auto"/>
        </w:rPr>
      </w:pPr>
    </w:p>
    <w:p>
      <w:pPr>
        <w:jc w:val="both"/>
        <w:ind w:left="460" w:right="260"/>
        <w:spacing w:after="0" w:line="335" w:lineRule="auto"/>
        <w:rPr>
          <w:sz w:val="20"/>
          <w:szCs w:val="20"/>
          <w:color w:val="auto"/>
        </w:rPr>
      </w:pPr>
      <w:r>
        <w:rPr>
          <w:rFonts w:ascii="Arial" w:cs="Arial" w:eastAsia="Arial" w:hAnsi="Arial"/>
          <w:sz w:val="15"/>
          <w:szCs w:val="15"/>
          <w:color w:val="auto"/>
        </w:rPr>
        <w:t>As at December 31, 2011, total proceeds received in 2008 from the exercise of Public Warrants, prior to their expiry, were $3,027 (December 31, 2010: $3,027). Such funds are to be used to redeem the Series A preferred shares, with a minimum redemption instalment of $5,000. As this threshold has not been reached, none of the preferred shares have been redeemed and the funds are classified as restricted cash in the consolidated balance sheet.</w:t>
      </w:r>
    </w:p>
    <w:p>
      <w:pPr>
        <w:spacing w:after="0" w:line="7"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On February 10, 2009, the Company announced a fourth quarter 2008 dividend of $0.23 per Class A common share, unit and Class B share which was paid on March 5, 2009 to Class A common shareholders and unit holders and Class B shareholders of record as of February 20, 2009.</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Interest Rate Derivatives and Fair Value Measurements</w:t>
      </w:r>
    </w:p>
    <w:p>
      <w:pPr>
        <w:spacing w:after="0" w:line="9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Company is exposed to the impact of interest rate changes on its variable rate debt. Accordingly, the Company has entered into interest rate swap agreements to manage the exposure to interest rate variability and details of existing interest rate derivatives are set out in note 8.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consolidated statement of cash flows. There were no initial payments on derivatives made in the year ended December 31, 2011 (2010: $nil).</w:t>
      </w:r>
    </w:p>
    <w:p>
      <w:pPr>
        <w:spacing w:after="0" w:line="39" w:lineRule="exact"/>
        <w:rPr>
          <w:sz w:val="20"/>
          <w:szCs w:val="20"/>
          <w:color w:val="auto"/>
        </w:rPr>
      </w:pPr>
    </w:p>
    <w:p>
      <w:pPr>
        <w:ind w:left="460" w:right="220"/>
        <w:spacing w:after="0" w:line="306" w:lineRule="auto"/>
        <w:rPr>
          <w:sz w:val="20"/>
          <w:szCs w:val="20"/>
          <w:color w:val="auto"/>
        </w:rPr>
      </w:pPr>
      <w:r>
        <w:rPr>
          <w:rFonts w:ascii="Arial" w:cs="Arial" w:eastAsia="Arial" w:hAnsi="Arial"/>
          <w:sz w:val="16"/>
          <w:szCs w:val="16"/>
          <w:color w:val="auto"/>
        </w:rPr>
        <w:t>Realized gains or losses from interest rate derivatives are recognized in the consolidated statement of income together with cash settlements. In addition, the interest rate derivatives are “marked to market” at each reporting period end and are recorded at fair values. The unrealized loss on interest rate derivatives for the year ended December 31, 2011 was $881 (2010: $15,322 loss, 2009: $17,928 gain).</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has three levels based on the reliability of the inputs used to determine fair value as follows:</w:t>
      </w:r>
    </w:p>
    <w:p>
      <w:pPr>
        <w:spacing w:after="0" w:line="90"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in active markets;</w:t>
      </w:r>
    </w:p>
    <w:p>
      <w:pPr>
        <w:spacing w:after="0" w:line="117"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Inputs, other than the quoted prices in active markets, that are observable either directly or indirectly; and</w:t>
      </w:r>
    </w:p>
    <w:p>
      <w:pPr>
        <w:spacing w:after="0" w:line="117"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 the reporting entity to develop its own assumptions.</w:t>
      </w:r>
    </w:p>
    <w:p>
      <w:pPr>
        <w:spacing w:after="0" w:line="90"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The Company has determined that the only derivative instruments that are measured at fair value on a recurring basis and are categorized using the fair value hierarchy are its interest rate swap agreements. These are all categorized as Level 2 and at December 31, 2011 there was a liability of $45,316 (2010: $44,435). The fair value of the Company’s derivative instruments is the estimated amount that the Company would receive or pay to terminate the agreements at the reporting date, taking into account interest rates at that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In August 2008, the Company’s Board adopted the 2008 Equity Incentive Plan (the “Plan”), which enables management, consultants and Directors of the Company and its subsidiaries to receive options, stock appreciation rights, stock grants, stock units and dividend equivalents.</w:t>
      </w:r>
    </w:p>
    <w:p>
      <w:pPr>
        <w:spacing w:after="0" w:line="4"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Plan is administered by the Board or a committee of the Board.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w:t>
      </w:r>
    </w:p>
    <w:p>
      <w:pPr>
        <w:spacing w:after="0" w:line="59"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The holder of a stock grant awarded under the Plan shall have the same voting, dividend and other rights as the Company’s other Class A common shareholders when the grant vests and the shares are issued.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plan, the Company has issued the following share based awards: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w w:val="92"/>
              </w:rPr>
              <w:t>Restricted Stock Units</w:t>
            </w: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180" w:type="dxa"/>
            <w:vAlign w:val="bottom"/>
            <w:gridSpan w:val="4"/>
          </w:tcPr>
          <w:p>
            <w:pPr>
              <w:jc w:val="right"/>
              <w:ind w:right="760"/>
              <w:spacing w:after="0" w:line="142" w:lineRule="exact"/>
              <w:rPr>
                <w:sz w:val="20"/>
                <w:szCs w:val="20"/>
                <w:color w:val="auto"/>
              </w:rPr>
            </w:pPr>
            <w:r>
              <w:rPr>
                <w:rFonts w:ascii="Arial" w:cs="Arial" w:eastAsia="Arial" w:hAnsi="Arial"/>
                <w:sz w:val="14"/>
                <w:szCs w:val="14"/>
                <w:color w:val="auto"/>
              </w:rPr>
              <w:t>Number of Units</w:t>
            </w:r>
          </w:p>
        </w:tc>
        <w:tc>
          <w:tcPr>
            <w:tcW w:w="200" w:type="dxa"/>
            <w:vAlign w:val="bottom"/>
          </w:tcPr>
          <w:p>
            <w:pPr>
              <w:spacing w:after="0"/>
              <w:rPr>
                <w:sz w:val="12"/>
                <w:szCs w:val="12"/>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color w:val="auto"/>
                <w:w w:val="84"/>
              </w:rPr>
              <w:t>Weighted</w:t>
            </w:r>
          </w:p>
        </w:tc>
        <w:tc>
          <w:tcPr>
            <w:tcW w:w="480" w:type="dxa"/>
            <w:vAlign w:val="bottom"/>
          </w:tcPr>
          <w:p>
            <w:pPr>
              <w:spacing w:after="0"/>
              <w:rPr>
                <w:sz w:val="12"/>
                <w:szCs w:val="12"/>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Actual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4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4"/>
              </w:rPr>
              <w:t>Fair Value</w:t>
            </w:r>
          </w:p>
        </w:tc>
        <w:tc>
          <w:tcPr>
            <w:tcW w:w="4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3"/>
              </w:rPr>
              <w:t>Value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on Grant</w:t>
            </w:r>
          </w:p>
        </w:tc>
        <w:tc>
          <w:tcPr>
            <w:tcW w:w="4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Vesting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w w:val="85"/>
              </w:rPr>
              <w:t>Management</w:t>
            </w:r>
          </w:p>
        </w:tc>
        <w:tc>
          <w:tcPr>
            <w:tcW w:w="9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9"/>
              </w:rPr>
              <w:t>Directors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center"/>
              <w:ind w:right="53"/>
              <w:spacing w:after="0" w:line="159" w:lineRule="exact"/>
              <w:rPr>
                <w:sz w:val="20"/>
                <w:szCs w:val="20"/>
                <w:color w:val="auto"/>
              </w:rPr>
            </w:pPr>
            <w:r>
              <w:rPr>
                <w:rFonts w:ascii="Arial" w:cs="Arial" w:eastAsia="Arial" w:hAnsi="Arial"/>
                <w:sz w:val="14"/>
                <w:szCs w:val="14"/>
                <w:color w:val="auto"/>
                <w:w w:val="80"/>
              </w:rPr>
              <w:t>date</w:t>
            </w:r>
          </w:p>
        </w:tc>
        <w:tc>
          <w:tcPr>
            <w:tcW w:w="480" w:type="dxa"/>
            <w:vAlign w:val="bottom"/>
          </w:tcPr>
          <w:p>
            <w:pPr>
              <w:spacing w:after="0"/>
              <w:rPr>
                <w:sz w:val="13"/>
                <w:szCs w:val="13"/>
                <w:color w:val="auto"/>
              </w:rPr>
            </w:pPr>
          </w:p>
        </w:tc>
        <w:tc>
          <w:tcPr>
            <w:tcW w:w="58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0"/>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2009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860,000</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37,671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January 2009</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(37,671)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Granted on May 18, 2009</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September 2009</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(195,000)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2009</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(105,000)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2009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560,000</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150,273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c>
          <w:tcPr>
            <w:tcW w:w="4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2010</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(150,273)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 on March 1, 2010</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1.88</w:t>
            </w: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September 2010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(210,000)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October 2010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(90,000)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2010</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260,000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58,511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January 2011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(58,511)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17, 2011</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September 2011</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(206,250)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Granted on September 2, 2011</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150,000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October 2011</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(68,750)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2011</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150,000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0"/>
        <w:spacing w:after="0" w:line="256" w:lineRule="auto"/>
        <w:rPr>
          <w:sz w:val="20"/>
          <w:szCs w:val="20"/>
          <w:color w:val="auto"/>
        </w:rPr>
      </w:pPr>
      <w:r>
        <w:rPr>
          <w:rFonts w:ascii="Arial" w:cs="Arial" w:eastAsia="Arial" w:hAnsi="Arial"/>
          <w:sz w:val="18"/>
          <w:szCs w:val="18"/>
          <w:color w:val="auto"/>
        </w:rPr>
        <w:t>The restricted stock units granted to three members of management on August 14, 2008 were to vest over a period of three years; one third on the first anniversary of the merger, one third on the second anniversary and one third on the third anniversary. The vesting dates were amended and a total of 260,000 vested in September and October 2009, a further 260,000 vested in September and October 2010 and the final tranche of 260,000 vested in September and October 2011.</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restricted stock units granted to one member of management on November 12, 2008 were to vest over a period of two years; half on the first anniversary of the merger and half on the second anniversary. The vesting date of both tranches was amended and a total of 40,000 vested in September and October 2009 and the remaining 40,000 vested in September and October 2010.</w:t>
      </w:r>
    </w:p>
    <w:p>
      <w:pPr>
        <w:spacing w:after="0" w:line="59"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restricted stock units granted to Directors on November 12, 2008, May 18, 2009, March 1, 2010 and March 17, 2011 vested in January 2009, January 2010, January 2011 and January 2012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 (continued)</w:t>
      </w:r>
    </w:p>
    <w:p>
      <w:pPr>
        <w:spacing w:after="0" w:line="164"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Restricted stock units totalling 15,000 were granted to one member of management on March 17, 2011. 11,250 units vested during September 2011 and the balance of 3,750 units vested during October 2011. The restricted stock units granted to four members of management on September 2, 2011 are to vest over two years; half during September and October 2012 and the remaining half during September and October 2013. In March 2012, the grants made in September 2011 were amended and restated to provide that vesting would occur only when the individual leaves employment, for whatever reason, provided that this is after September 30, 2012 in respect of half of the grant and September 30, 2013 for the other half of the grant.</w:t>
      </w:r>
    </w:p>
    <w:p>
      <w:pPr>
        <w:spacing w:after="0" w:line="35"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stock units is recognized as compensation costs in the consolidated statement of income over the vesting period. The fair value of the restricted stock units for this purpose is calculated by multiplying the number of stock units by the fair value of the shares at the grant date, which is discounted for dividends forfeited over the vesting period. The Company has not factored any anticipated forfeiture into these calculations based on the limited number of participants.</w:t>
      </w:r>
    </w:p>
    <w:p>
      <w:pPr>
        <w:spacing w:after="0" w:line="32"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For the grants issued on August 14, 2008 and November 12, 2008, the share value at the grant date was $7.37 and $2.80 respectively, both of which were the average closing prices for the common stock surrounding those dates. These share values were then discounted by 10.75% (the same rate used to discount the Class C shares in the purchase price allocation) and for the estimated $0.23 quarterly dividend over the relevant vesting periods, to give a fair value at the grant date of $5.50 and $1.76 respectively.</w:t>
      </w:r>
    </w:p>
    <w:p>
      <w:pPr>
        <w:spacing w:after="0" w:line="62"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For the grant issued on May 18, 2009, the fair value at the grant date was $1.83, which was the closing price for the common stock on that date. The share value has not been discounted.</w:t>
      </w:r>
    </w:p>
    <w:p>
      <w:pPr>
        <w:spacing w:after="0" w:line="5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For the grant issued on March 1, 2010, the fair value at the grant date was $1.88, which was the closing price for the common stock on that date. The share value has not been discounted.</w:t>
      </w:r>
    </w:p>
    <w:p>
      <w:pPr>
        <w:spacing w:after="0" w:line="51"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For the grants issued on March 17, 2011, the fair value at the grant date was $6.15, which was the closing price for the common stock on that date. The share value has not been discounted.</w:t>
      </w:r>
    </w:p>
    <w:p>
      <w:pPr>
        <w:spacing w:after="0" w:line="51" w:lineRule="exact"/>
        <w:rPr>
          <w:sz w:val="20"/>
          <w:szCs w:val="20"/>
          <w:color w:val="auto"/>
        </w:rPr>
      </w:pPr>
    </w:p>
    <w:p>
      <w:pPr>
        <w:ind w:left="460" w:right="320"/>
        <w:spacing w:after="0" w:line="332" w:lineRule="auto"/>
        <w:rPr>
          <w:sz w:val="20"/>
          <w:szCs w:val="20"/>
          <w:color w:val="auto"/>
        </w:rPr>
      </w:pPr>
      <w:r>
        <w:rPr>
          <w:rFonts w:ascii="Arial" w:cs="Arial" w:eastAsia="Arial" w:hAnsi="Arial"/>
          <w:sz w:val="16"/>
          <w:szCs w:val="16"/>
          <w:color w:val="auto"/>
        </w:rPr>
        <w:t>For the grants issued on September 2, 2011, the share value at the grant date $3.07, which was the closing price for the common stock on that date. The share value has not been discounted as no dividends were expected to be paid on the common stock at that time.</w:t>
      </w:r>
    </w:p>
    <w:p>
      <w:pPr>
        <w:spacing w:after="0" w:line="4" w:lineRule="exact"/>
        <w:rPr>
          <w:sz w:val="20"/>
          <w:szCs w:val="20"/>
          <w:color w:val="auto"/>
        </w:rPr>
      </w:pPr>
    </w:p>
    <w:p>
      <w:pPr>
        <w:jc w:val="both"/>
        <w:ind w:left="460" w:right="320"/>
        <w:spacing w:after="0" w:line="259" w:lineRule="auto"/>
        <w:rPr>
          <w:sz w:val="20"/>
          <w:szCs w:val="20"/>
          <w:color w:val="auto"/>
        </w:rPr>
      </w:pPr>
      <w:r>
        <w:rPr>
          <w:rFonts w:ascii="Arial" w:cs="Arial" w:eastAsia="Arial" w:hAnsi="Arial"/>
          <w:sz w:val="18"/>
          <w:szCs w:val="18"/>
          <w:color w:val="auto"/>
        </w:rPr>
        <w:t>During the year ended December 31, 2011 the Company recognized a total of $565 (2010: $980, 2009: $2,513) in respect of share based compensation costs. As at December 31, 2011, there was a total of $352 (2010: $255) unrecognized compensation costs relating to the above share based awards. The remaining costs are expected to be recognized over a period of 22 months.</w:t>
      </w:r>
    </w:p>
    <w:p>
      <w:pPr>
        <w:spacing w:after="0" w:line="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Risks Associated with Concentration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9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derives 100% of its revenue from CMA CGM which is exposed to the cyclicality of the container shipping industry.</w:t>
      </w:r>
    </w:p>
    <w:p>
      <w:pPr>
        <w:spacing w:after="0" w:line="90"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is a concentration of credit risk with respect to cash and cash equivalents at December 31, 2011 to the extent that substantially all of the amounts are deposited with four banks (2010; four banks). However, the Company believes this risk is remote as the banks are high credit quality financial institutions.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Earnings per Share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51"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years ended December 31, 2011, December 31, 2010 and December 31, 2009 no dividend was declared on income for those years. The dividends paid in the year ended December 31, 2009 related to 2008 net income.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6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any losses would only be allocated to the Class A common shareholders.</w:t>
      </w:r>
    </w:p>
    <w:p>
      <w:pPr>
        <w:spacing w:after="0" w:line="59"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On August 24, 2010 39,531,348 Public Warrants exercisable at $6.00 to purchase Class A common shares and 5,500,000 Sponsor Warrants, exercisable on a cashless basis, expired. At December 31, 2011, there were 6,188,088 Class A Warrants to purchase Class A common shares at an exercise price of $9.25 outstanding which are due to expire on September 1, 2013. In addition, there were 167,886 restricted stock units granted and unvested as part of management’s equity incentive plan and as part of the Directors’ compensation for 2011. As of December 31, 2011 only Class A and B common shares are participating securities.</w:t>
      </w:r>
    </w:p>
    <w:p>
      <w:pPr>
        <w:spacing w:after="0" w:line="62"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For the year ended December 31, 2010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an antidilutive effect. For the years ended December 31, 2011 and December 31, 2009, the diluted weighted average number of shares includes the incremental effect of outstanding stock based incentive awards but excludes the effect of outstanding warrants as these were antidilutive.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Earnings per Share (continued)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Year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Year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634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share data)</w:t>
            </w: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8"/>
        </w:trPr>
        <w:tc>
          <w:tcPr>
            <w:tcW w:w="6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auto"/>
                <w:w w:val="83"/>
              </w:rPr>
              <w:t>2010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Class A common shares</w:t>
            </w:r>
          </w:p>
        </w:tc>
        <w:tc>
          <w:tcPr>
            <w:tcW w:w="4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47,262,549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46,910,604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46,459,509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185,463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3"/>
          </w:tcPr>
          <w:p>
            <w:pPr>
              <w:spacing w:after="0"/>
              <w:rPr>
                <w:sz w:val="20"/>
                <w:szCs w:val="20"/>
                <w:color w:val="auto"/>
              </w:rPr>
            </w:pPr>
            <w:r>
              <w:rPr>
                <w:rFonts w:ascii="Arial" w:cs="Arial" w:eastAsia="Arial" w:hAnsi="Arial"/>
                <w:sz w:val="18"/>
                <w:szCs w:val="18"/>
                <w:color w:val="auto"/>
              </w:rPr>
              <w:t>Common shares and common share equivalents (H)</w:t>
            </w: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47,448,012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46,910,604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46,754,858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7,405,956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3"/>
          </w:tcPr>
          <w:p>
            <w:pPr>
              <w:spacing w:after="0"/>
              <w:rPr>
                <w:sz w:val="20"/>
                <w:szCs w:val="20"/>
                <w:color w:val="auto"/>
              </w:rPr>
            </w:pPr>
            <w:r>
              <w:rPr>
                <w:rFonts w:ascii="Arial" w:cs="Arial" w:eastAsia="Arial" w:hAnsi="Arial"/>
                <w:sz w:val="18"/>
                <w:szCs w:val="18"/>
                <w:color w:val="auto"/>
              </w:rPr>
              <w:t>Common shares (J)</w:t>
            </w: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7,405,956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income (loss) available to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9,071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(3,971)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9,071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(3,971)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income (loss) available for Common shares (E)</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available for Class A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income (loss) available for Class B (C)</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Class A (A/B)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(0.08)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B (C/D)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available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40" w:type="dxa"/>
            <w:vAlign w:val="bottom"/>
            <w:gridSpan w:val="3"/>
          </w:tcPr>
          <w:p>
            <w:pPr>
              <w:spacing w:after="0"/>
              <w:rPr>
                <w:sz w:val="20"/>
                <w:szCs w:val="20"/>
                <w:color w:val="auto"/>
              </w:rPr>
            </w:pPr>
            <w:r>
              <w:rPr>
                <w:rFonts w:ascii="Arial" w:cs="Arial" w:eastAsia="Arial" w:hAnsi="Arial"/>
                <w:sz w:val="18"/>
                <w:szCs w:val="18"/>
                <w:color w:val="auto"/>
              </w:rPr>
              <w:t>Available to:</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available for Class A (G)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income (loss) available for Class B (I)</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Common shares (K/F)</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A (G/H)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Class B (I/J)</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Comparatives</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classification of costs in previous years relating to drydockings in the consolidated statement of cash flows have been reclassified from operating activities to investing activities.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are no subsequent events other than those disclosed elsewhere in these consolidated financial statements.</w:t>
      </w:r>
    </w:p>
    <w:p>
      <w:pPr>
        <w:spacing w:after="0" w:line="36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960"/>
          </w:cols>
          <w:pgMar w:left="240" w:top="459" w:right="6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90"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Susan J. Cook, Chief Financial Officer of the Company, certify that:</w:t>
      </w:r>
    </w:p>
    <w:p>
      <w:pPr>
        <w:spacing w:after="0" w:line="90"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2011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Ian J. Webber, Chief Executive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Ian J. Webber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2011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Susan J. Cook, Chief Financial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333-156454) and Form F-3 (No. 333-172096) of Global Ship Lease, Inc. of our report dated April 13, 2012 relating to the consolidated financial statements and the effectiveness of internal control over financial reporting, which appear in this Form 20-F.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13,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1)"/>
      <w:numFmt w:val="lowerLetter"/>
      <w:start w:val="2"/>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1)"/>
      <w:numFmt w:val="decimal"/>
      <w:start w:val="2"/>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1"/>
      <w:numFmt w:val="upperLetter"/>
      <w:start w:val="1"/>
    </w:lvl>
    <w:lvl w:ilvl="1">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1)"/>
      <w:numFmt w:val="decimal"/>
      <w:start w:val="2"/>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1)"/>
      <w:numFmt w:val="lowerLetter"/>
      <w:start w:val="2"/>
    </w:lvl>
  </w:abstractNum>
  <w:abstractNum w:abstractNumId="53">
    <w:nsid w:val="7BD3EE7B"/>
    <w:multiLevelType w:val="hybridMultilevel"/>
    <w:lvl w:ilvl="0">
      <w:lvlJc w:val="left"/>
      <w:lvlText w:val="(%1)"/>
      <w:numFmt w:val="lowerRoman"/>
      <w:start w:val="1"/>
    </w:lvl>
  </w:abstractNum>
  <w:abstractNum w:abstractNumId="54">
    <w:nsid w:val="51D9C564"/>
    <w:multiLevelType w:val="hybridMultilevel"/>
    <w:lvl w:ilvl="0">
      <w:lvlJc w:val="left"/>
      <w:lvlText w:val="(%1)"/>
      <w:numFmt w:val="lowerRoman"/>
      <w:start w:val="2"/>
    </w:lvl>
  </w:abstractNum>
  <w:abstractNum w:abstractNumId="55">
    <w:nsid w:val="613EFDC5"/>
    <w:multiLevelType w:val="hybridMultilevel"/>
    <w:lvl w:ilvl="0">
      <w:lvlJc w:val="left"/>
      <w:lvlText w:val="%1."/>
      <w:numFmt w:val="decimal"/>
      <w:start w:val="3"/>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lowerLetter"/>
      <w:start w:val="2"/>
    </w:lvl>
  </w:abstractNum>
  <w:abstractNum w:abstractNumId="58">
    <w:nsid w:val="42963E5A"/>
    <w:multiLevelType w:val="hybridMultilevel"/>
    <w:lvl w:ilvl="0">
      <w:lvlJc w:val="left"/>
      <w:lvlText w:val="(%1)"/>
      <w:numFmt w:val="lowerLetter"/>
      <w:start w:val="3"/>
    </w:lvl>
  </w:abstractNum>
  <w:abstractNum w:abstractNumId="59">
    <w:nsid w:val="A0382C5"/>
    <w:multiLevelType w:val="hybridMultilevel"/>
    <w:lvl w:ilvl="0">
      <w:lvlJc w:val="left"/>
      <w:lvlText w:val="(%1)"/>
      <w:numFmt w:val="lowerLetter"/>
      <w:start w:val="4"/>
    </w:lvl>
  </w:abstractNum>
  <w:abstractNum w:abstractNumId="60">
    <w:nsid w:val="8F2B15E"/>
    <w:multiLevelType w:val="hybridMultilevel"/>
    <w:lvl w:ilvl="0">
      <w:lvlJc w:val="left"/>
      <w:lvlText w:val="(%1)"/>
      <w:numFmt w:val="lowerLetter"/>
      <w:start w:val="5"/>
    </w:lvl>
  </w:abstractNum>
  <w:abstractNum w:abstractNumId="61">
    <w:nsid w:val="1A32234B"/>
    <w:multiLevelType w:val="hybridMultilevel"/>
    <w:lvl w:ilvl="0">
      <w:lvlJc w:val="left"/>
      <w:lvlText w:val="(%1)"/>
      <w:numFmt w:val="lowerLetter"/>
      <w:start w:val="6"/>
    </w:lvl>
  </w:abstractNum>
  <w:abstractNum w:abstractNumId="62">
    <w:nsid w:val="3B0FD379"/>
    <w:multiLevelType w:val="hybridMultilevel"/>
    <w:lvl w:ilvl="0">
      <w:lvlJc w:val="left"/>
      <w:lvlText w:val="%1."/>
      <w:numFmt w:val="decimal"/>
      <w:start w:val="3"/>
    </w:lvl>
    <w:lvl w:ilvl="1">
      <w:lvlJc w:val="left"/>
      <w:lvlText w:val="(%2)"/>
      <w:numFmt w:val="lowerLetter"/>
      <w:start w:val="6"/>
    </w:lvl>
  </w:abstractNum>
  <w:abstractNum w:abstractNumId="63">
    <w:nsid w:val="68EB2F63"/>
    <w:multiLevelType w:val="hybridMultilevel"/>
    <w:lvl w:ilvl="0">
      <w:lvlJc w:val="left"/>
      <w:lvlText w:val="(%1)"/>
      <w:numFmt w:val="lowerLetter"/>
      <w:start w:val="7"/>
    </w:lvl>
  </w:abstractNum>
  <w:abstractNum w:abstractNumId="64">
    <w:nsid w:val="4962813B"/>
    <w:multiLevelType w:val="hybridMultilevel"/>
    <w:lvl w:ilvl="0">
      <w:lvlJc w:val="left"/>
      <w:lvlText w:val="(%1)"/>
      <w:numFmt w:val="lowerLetter"/>
      <w:start w:val="8"/>
    </w:lvl>
  </w:abstractNum>
  <w:abstractNum w:abstractNumId="65">
    <w:nsid w:val="60B6DF70"/>
    <w:multiLevelType w:val="hybridMultilevel"/>
    <w:lvl w:ilvl="0">
      <w:lvlJc w:val="left"/>
      <w:lvlText w:val="(%1)"/>
      <w:numFmt w:val="lowerRoman"/>
      <w:start w:val="1"/>
    </w:lvl>
  </w:abstractNum>
  <w:abstractNum w:abstractNumId="66">
    <w:nsid w:val="6A5EE64"/>
    <w:multiLevelType w:val="hybridMultilevel"/>
    <w:lvl w:ilvl="0">
      <w:lvlJc w:val="left"/>
      <w:lvlText w:val="%1."/>
      <w:numFmt w:val="decimal"/>
      <w:start w:val="3"/>
    </w:lvl>
  </w:abstractNum>
  <w:abstractNum w:abstractNumId="67">
    <w:nsid w:val="14330624"/>
    <w:multiLevelType w:val="hybridMultilevel"/>
    <w:lvl w:ilvl="0">
      <w:lvlJc w:val="left"/>
      <w:lvlText w:val="(%1)"/>
      <w:numFmt w:val="lowerLetter"/>
      <w:start w:val="10"/>
    </w:lvl>
  </w:abstractNum>
  <w:abstractNum w:abstractNumId="68">
    <w:nsid w:val="7FFFCA11"/>
    <w:multiLevelType w:val="hybridMultilevel"/>
    <w:lvl w:ilvl="0">
      <w:lvlJc w:val="left"/>
      <w:lvlText w:val="(%1)"/>
      <w:numFmt w:val="lowerRoman"/>
      <w:start w:val="4"/>
    </w:lvl>
  </w:abstractNum>
  <w:abstractNum w:abstractNumId="69">
    <w:nsid w:val="1A27709E"/>
    <w:multiLevelType w:val="hybridMultilevel"/>
    <w:lvl w:ilvl="0">
      <w:lvlJc w:val="left"/>
      <w:lvlText w:val="(%1)"/>
      <w:numFmt w:val="lowerLetter"/>
      <w:start w:val="11"/>
    </w:lvl>
  </w:abstractNum>
  <w:abstractNum w:abstractNumId="70">
    <w:nsid w:val="71EA1109"/>
    <w:multiLevelType w:val="hybridMultilevel"/>
    <w:lvl w:ilvl="0">
      <w:lvlJc w:val="left"/>
      <w:lvlText w:val="(%1)"/>
      <w:numFmt w:val="lowerLetter"/>
      <w:start w:val="12"/>
    </w:lvl>
  </w:abstractNum>
  <w:abstractNum w:abstractNumId="71">
    <w:nsid w:val="100F59DC"/>
    <w:multiLevelType w:val="hybridMultilevel"/>
    <w:lvl w:ilvl="0">
      <w:lvlJc w:val="left"/>
      <w:lvlText w:val="%1."/>
      <w:numFmt w:val="decimal"/>
      <w:start w:val="3"/>
    </w:lvl>
  </w:abstractNum>
  <w:abstractNum w:abstractNumId="72">
    <w:nsid w:val="7FB7E0AA"/>
    <w:multiLevelType w:val="hybridMultilevel"/>
    <w:lvl w:ilvl="0">
      <w:lvlJc w:val="left"/>
      <w:lvlText w:val="(%1)"/>
      <w:numFmt w:val="lowerLetter"/>
      <w:start w:val="13"/>
    </w:lvl>
  </w:abstractNum>
  <w:abstractNum w:abstractNumId="73">
    <w:nsid w:val="6EB5BD4"/>
    <w:multiLevelType w:val="hybridMultilevel"/>
    <w:lvl w:ilvl="0">
      <w:lvlJc w:val="left"/>
      <w:lvlText w:val="(%1)"/>
      <w:numFmt w:val="lowerLetter"/>
      <w:start w:val="14"/>
    </w:lvl>
  </w:abstractNum>
  <w:abstractNum w:abstractNumId="74">
    <w:nsid w:val="6F6DD9AC"/>
    <w:multiLevelType w:val="hybridMultilevel"/>
    <w:lvl w:ilvl="0">
      <w:lvlJc w:val="left"/>
      <w:lvlText w:val="(%1)"/>
      <w:numFmt w:val="lowerLetter"/>
      <w:start w:val="15"/>
    </w:lvl>
  </w:abstractNum>
  <w:abstractNum w:abstractNumId="75">
    <w:nsid w:val="94211F2"/>
    <w:multiLevelType w:val="hybridMultilevel"/>
    <w:lvl w:ilvl="0">
      <w:lvlJc w:val="left"/>
      <w:lvlText w:val="(%1)"/>
      <w:numFmt w:val="lowerLetter"/>
      <w:start w:val="16"/>
    </w:lvl>
  </w:abstractNum>
  <w:abstractNum w:abstractNumId="76">
    <w:nsid w:val="885E1B"/>
    <w:multiLevelType w:val="hybridMultilevel"/>
    <w:lvl w:ilvl="0">
      <w:lvlJc w:val="left"/>
      <w:lvlText w:val="(%1)"/>
      <w:numFmt w:val="lowerLetter"/>
      <w:start w:val="17"/>
    </w:lvl>
  </w:abstractNum>
  <w:abstractNum w:abstractNumId="77">
    <w:nsid w:val="76272110"/>
    <w:multiLevelType w:val="hybridMultilevel"/>
    <w:lvl w:ilvl="0">
      <w:lvlJc w:val="left"/>
      <w:lvlText w:val="(%1)"/>
      <w:numFmt w:val="lowerLetter"/>
      <w:start w:val="18"/>
    </w:lvl>
  </w:abstractNum>
  <w:abstractNum w:abstractNumId="78">
    <w:nsid w:val="4C04A8AF"/>
    <w:multiLevelType w:val="hybridMultilevel"/>
    <w:lvl w:ilvl="0">
      <w:lvlJc w:val="left"/>
      <w:lvlText w:val="(%1)"/>
      <w:numFmt w:val="lowerLetter"/>
      <w:start w:val="19"/>
    </w:lvl>
  </w:abstractNum>
  <w:abstractNum w:abstractNumId="79">
    <w:nsid w:val="1716703B"/>
    <w:multiLevelType w:val="hybridMultilevel"/>
    <w:lvl w:ilvl="0">
      <w:lvlJc w:val="left"/>
      <w:lvlText w:val="%1."/>
      <w:numFmt w:val="decimal"/>
      <w:start w:val="3"/>
    </w:lvl>
  </w:abstractNum>
  <w:abstractNum w:abstractNumId="80">
    <w:nsid w:val="14E17E33"/>
    <w:multiLevelType w:val="hybridMultilevel"/>
    <w:lvl w:ilvl="0">
      <w:lvlJc w:val="left"/>
      <w:lvlText w:val="(%1)"/>
      <w:numFmt w:val="lowerLetter"/>
      <w:start w:val="20"/>
    </w:lvl>
  </w:abstractNum>
  <w:abstractNum w:abstractNumId="81">
    <w:nsid w:val="3222E7CD"/>
    <w:multiLevelType w:val="hybridMultilevel"/>
    <w:lvl w:ilvl="0">
      <w:lvlJc w:val="left"/>
      <w:lvlText w:val="(%1)"/>
      <w:numFmt w:val="lowerLetter"/>
      <w:start w:val="21"/>
    </w:lvl>
  </w:abstractNum>
  <w:abstractNum w:abstractNumId="82">
    <w:nsid w:val="74DE0EE3"/>
    <w:multiLevelType w:val="hybridMultilevel"/>
    <w:lvl w:ilvl="0">
      <w:lvlJc w:val="left"/>
      <w:lvlText w:val="(%1)"/>
      <w:numFmt w:val="lowerRoman"/>
      <w:start w:val="5"/>
    </w:lvl>
  </w:abstractNum>
  <w:abstractNum w:abstractNumId="83">
    <w:nsid w:val="68EBC550"/>
    <w:multiLevelType w:val="hybridMultilevel"/>
    <w:lvl w:ilvl="0">
      <w:lvlJc w:val="left"/>
      <w:lvlText w:val="(%1)"/>
      <w:numFmt w:val="lowerLetter"/>
      <w:start w:val="23"/>
    </w:lvl>
  </w:abstractNum>
  <w:abstractNum w:abstractNumId="84">
    <w:nsid w:val="2DF6D648"/>
    <w:multiLevelType w:val="hybridMultilevel"/>
    <w:lvl w:ilvl="0">
      <w:lvlJc w:val="left"/>
      <w:lvlText w:val="%1."/>
      <w:numFmt w:val="decimal"/>
      <w:start w:val="3"/>
    </w:lvl>
  </w:abstractNum>
  <w:abstractNum w:abstractNumId="85">
    <w:nsid w:val="46B7D447"/>
    <w:multiLevelType w:val="hybridMultilevel"/>
    <w:lvl w:ilvl="0">
      <w:lvlJc w:val="left"/>
      <w:lvlText w:val="(%1)"/>
      <w:numFmt w:val="lowerRoman"/>
      <w:start w:val="10"/>
    </w:lvl>
  </w:abstractNum>
  <w:abstractNum w:abstractNumId="86">
    <w:nsid w:val="4A2AC315"/>
    <w:multiLevelType w:val="hybridMultilevel"/>
    <w:lvl w:ilvl="0">
      <w:lvlJc w:val="left"/>
      <w:lvlText w:val="%1."/>
      <w:numFmt w:val="decimal"/>
      <w:start w:val="6"/>
    </w:lvl>
  </w:abstractNum>
  <w:abstractNum w:abstractNumId="87">
    <w:nsid w:val="39EE015C"/>
    <w:multiLevelType w:val="hybridMultilevel"/>
    <w:lvl w:ilvl="0">
      <w:lvlJc w:val="left"/>
      <w:lvlText w:val="%1."/>
      <w:numFmt w:val="decimal"/>
      <w:start w:val="8"/>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1."/>
      <w:numFmt w:val="decimal"/>
      <w:start w:val="11"/>
    </w:lvl>
  </w:abstractNum>
  <w:abstractNum w:abstractNumId="90">
    <w:nsid w:val="43F18422"/>
    <w:multiLevelType w:val="hybridMultilevel"/>
    <w:lvl w:ilvl="0">
      <w:lvlJc w:val="left"/>
      <w:lvlText w:val="(%1)"/>
      <w:numFmt w:val="lowerRoman"/>
      <w:start w:val="1"/>
    </w:lvl>
  </w:abstractNum>
  <w:abstractNum w:abstractNumId="91">
    <w:nsid w:val="60EF0119"/>
    <w:multiLevelType w:val="hybridMultilevel"/>
    <w:lvl w:ilvl="0">
      <w:lvlJc w:val="left"/>
      <w:lvlText w:val="%1."/>
      <w:numFmt w:val="decimal"/>
      <w:start w:val="20"/>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2019-12-09T19:25:18Z</dcterms:created>
  <dcterms:modified xsi:type="dcterms:W3CDTF">2019-12-09T19:25:18Z</dcterms:modified>
</cp:coreProperties>
</file>