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May 10, 2013</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3840"/>
        <w:spacing w:after="0" w:line="229"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37" w:lineRule="exact"/>
        <w:rPr>
          <w:sz w:val="24"/>
          <w:szCs w:val="24"/>
          <w:color w:val="auto"/>
        </w:rPr>
      </w:pPr>
    </w:p>
    <w:p>
      <w:pPr>
        <w:ind w:right="376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S-I Rule 101 (b)(1).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72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 (b)(7).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Attached hereto as Exhibit I is a press release dated May 10, 2013 of Global Ship Lease, Inc. (the “Company”) reporting the Company’s financial results for the first quarter of 2013. Attached hereto as Exhibit II are the Company’s interim unaudited consolidated financial statements for the three months ended March 31, 2013.</w:t>
      </w: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980" w:val="left"/>
          <w:tab w:leader="none" w:pos="8000" w:val="left"/>
          <w:tab w:leader="none" w:pos="8340" w:val="left"/>
        </w:tabs>
        <w:rPr>
          <w:sz w:val="20"/>
          <w:szCs w:val="20"/>
          <w:color w:val="auto"/>
        </w:rPr>
      </w:pPr>
      <w:r>
        <w:rPr>
          <w:rFonts w:ascii="Arial" w:cs="Arial" w:eastAsia="Arial" w:hAnsi="Arial"/>
          <w:sz w:val="18"/>
          <w:szCs w:val="18"/>
          <w:color w:val="auto"/>
        </w:rPr>
        <w:t>Date: May 10,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10795</wp:posOffset>
            </wp:positionV>
            <wp:extent cx="3275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jc w:val="center"/>
        <w:ind w:left="6380"/>
        <w:spacing w:after="0"/>
        <w:rPr>
          <w:sz w:val="20"/>
          <w:szCs w:val="20"/>
          <w:color w:val="auto"/>
        </w:rPr>
      </w:pPr>
      <w:r>
        <w:rPr>
          <w:rFonts w:ascii="Arial" w:cs="Arial" w:eastAsia="Arial" w:hAnsi="Arial"/>
          <w:sz w:val="14"/>
          <w:szCs w:val="14"/>
          <w:b w:val="1"/>
          <w:bCs w:val="1"/>
          <w:color w:val="auto"/>
        </w:rPr>
        <w:t>Ian J. Webber</w:t>
      </w:r>
    </w:p>
    <w:p>
      <w:pPr>
        <w:spacing w:after="0" w:line="1"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00"/>
          </w:cols>
          <w:pgMar w:left="240" w:top="274"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Burke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First Quarter of 2013</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LONDON, ENGLAND - May 10, 2013 </w:t>
      </w:r>
      <w:r>
        <w:rPr>
          <w:rFonts w:ascii="Arial" w:cs="Arial" w:eastAsia="Arial" w:hAnsi="Arial"/>
          <w:sz w:val="18"/>
          <w:szCs w:val="18"/>
          <w:color w:val="auto"/>
        </w:rPr>
        <w:t>- Global Ship Lease, Inc. (NYSE:GSL), a containership charter owner,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March 31,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Year To Date Highlights</w:t>
      </w:r>
    </w:p>
    <w:p>
      <w:pPr>
        <w:spacing w:after="0" w:line="96"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$35.2 million for the first quarter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net income for the first quarter 2013 of $7.2 million, including a $5.5 million non-cash mark-to-market gain from interest rate derivatives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$22.2 million of Adjusted EBITDA</w:t>
      </w:r>
      <w:r>
        <w:rPr>
          <w:rFonts w:ascii="Arial" w:cs="Arial" w:eastAsia="Arial" w:hAnsi="Arial"/>
          <w:sz w:val="11"/>
          <w:szCs w:val="11"/>
          <w:color w:val="auto"/>
        </w:rPr>
        <w:t>(1)</w:t>
      </w:r>
      <w:r>
        <w:rPr>
          <w:rFonts w:ascii="Arial" w:cs="Arial" w:eastAsia="Arial" w:hAnsi="Arial"/>
          <w:sz w:val="18"/>
          <w:szCs w:val="18"/>
          <w:color w:val="auto"/>
        </w:rPr>
        <w:t xml:space="preserve"> for the first quarter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Excluding the non-cash mark-to-market item, normalized net income</w:t>
      </w:r>
      <w:r>
        <w:rPr>
          <w:rFonts w:ascii="Arial" w:cs="Arial" w:eastAsia="Arial" w:hAnsi="Arial"/>
          <w:sz w:val="11"/>
          <w:szCs w:val="11"/>
          <w:color w:val="auto"/>
        </w:rPr>
        <w:t>(1)</w:t>
      </w:r>
      <w:r>
        <w:rPr>
          <w:rFonts w:ascii="Arial" w:cs="Arial" w:eastAsia="Arial" w:hAnsi="Arial"/>
          <w:sz w:val="18"/>
          <w:szCs w:val="18"/>
          <w:color w:val="auto"/>
        </w:rPr>
        <w:t xml:space="preserve"> was $1.8 million for the first quarter 2013</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new one-year charters for two 4,113 TEU vessels which commenced on May 1, 2013 at $7,000 per vessel per day. The new charters expire on April 30, 2014 plus/minus 30 days at charterer’s option</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$14.8 million of debt in the first quarter 2013 for a total debt repayment of $188.2 million since August 2009, when we commenced amortization of our credit facility balance</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Ian Webber, Chief Executive Officer of Global Ship Lease, stated, “With all 17 of our vessels on time charters and fewer offhire days from reduced numbers of drydockings, as planned, we achieved utilization of 98.3% for the quarter. As a result, we generated Adjusted EBITDA of $22.2 million, using our cash to continue to de-lever our balance sheet, amortizing an additional $14.8 million of debt.”</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Mr. Webber continued, “We recently successfully re-chartered the two vessels whose contracts were due to expire this month, agreeing to new one-year charters with CMA CGM, underlining the strength of our relationship. Notwithstanding ongoing volatility in the industry and many vessels of a similar specification currently being idle, we have secured employment for these two vessels until April 2014, thereby maintaining a fully chartered fleet for at least one more year. Other than for these two vessels, we have no other charter expirations until late 2016. Importantly, by continuing the charters with CMA CGM, we will not experience any offhire days, incur any costs associated with repositioning the vessels or pay any third party brokerage fees.”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Webber concluded, “We remain well positioned to continue to de-lever our balance sheet, owing to our high level of contracted charter coverage which allows us to generate consistent revenue and strong, stable cash flow. We also continue to actively explore opportunities to enhance our financial flexibility and create incremental value for our shareholders.”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 UNAUDITED</w:t>
      </w:r>
    </w:p>
    <w:p>
      <w:pPr>
        <w:spacing w:after="0" w:line="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920" w:type="dxa"/>
            <w:vAlign w:val="bottom"/>
            <w:gridSpan w:val="2"/>
          </w:tcPr>
          <w:p>
            <w:pPr>
              <w:jc w:val="center"/>
              <w:ind w:left="1659"/>
              <w:spacing w:after="0"/>
              <w:rPr>
                <w:sz w:val="20"/>
                <w:szCs w:val="20"/>
                <w:color w:val="auto"/>
              </w:rPr>
            </w:pPr>
            <w:r>
              <w:rPr>
                <w:rFonts w:ascii="Arial" w:cs="Arial" w:eastAsia="Arial" w:hAnsi="Arial"/>
                <w:sz w:val="14"/>
                <w:szCs w:val="14"/>
                <w:b w:val="1"/>
                <w:bCs w:val="1"/>
                <w:color w:val="auto"/>
                <w:w w:val="85"/>
              </w:rPr>
              <w:t>Three months ended</w:t>
            </w:r>
          </w:p>
        </w:tc>
        <w:tc>
          <w:tcPr>
            <w:tcW w:w="2200" w:type="dxa"/>
            <w:vAlign w:val="bottom"/>
            <w:gridSpan w:val="3"/>
          </w:tcPr>
          <w:p>
            <w:pPr>
              <w:jc w:val="center"/>
              <w:ind w:left="799"/>
              <w:spacing w:after="0"/>
              <w:rPr>
                <w:sz w:val="20"/>
                <w:szCs w:val="20"/>
                <w:color w:val="auto"/>
              </w:rPr>
            </w:pPr>
            <w:r>
              <w:rPr>
                <w:rFonts w:ascii="Arial" w:cs="Arial" w:eastAsia="Arial" w:hAnsi="Arial"/>
                <w:sz w:val="14"/>
                <w:szCs w:val="14"/>
                <w:color w:val="auto"/>
                <w:w w:val="86"/>
              </w:rPr>
              <w:t>Three months ended</w:t>
            </w:r>
          </w:p>
        </w:tc>
      </w:tr>
      <w:tr>
        <w:trPr>
          <w:trHeight w:val="149"/>
        </w:trPr>
        <w:tc>
          <w:tcPr>
            <w:tcW w:w="3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10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March 31,</w:t>
            </w:r>
          </w:p>
        </w:tc>
      </w:tr>
      <w:tr>
        <w:trPr>
          <w:trHeight w:val="161"/>
        </w:trPr>
        <w:tc>
          <w:tcPr>
            <w:tcW w:w="356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2920" w:type="dxa"/>
            <w:vAlign w:val="bottom"/>
            <w:gridSpan w:val="2"/>
          </w:tcPr>
          <w:p>
            <w:pPr>
              <w:jc w:val="center"/>
              <w:ind w:left="1659"/>
              <w:spacing w:after="0"/>
              <w:rPr>
                <w:sz w:val="20"/>
                <w:szCs w:val="20"/>
                <w:color w:val="auto"/>
              </w:rPr>
            </w:pPr>
            <w:r>
              <w:rPr>
                <w:rFonts w:ascii="Arial" w:cs="Arial" w:eastAsia="Arial" w:hAnsi="Arial"/>
                <w:sz w:val="14"/>
                <w:szCs w:val="14"/>
                <w:b w:val="1"/>
                <w:bCs w:val="1"/>
                <w:color w:val="auto"/>
                <w:w w:val="83"/>
              </w:rPr>
              <w:t>2013</w:t>
            </w:r>
          </w:p>
        </w:tc>
        <w:tc>
          <w:tcPr>
            <w:tcW w:w="2100" w:type="dxa"/>
            <w:vAlign w:val="bottom"/>
            <w:gridSpan w:val="2"/>
          </w:tcPr>
          <w:p>
            <w:pPr>
              <w:jc w:val="center"/>
              <w:ind w:left="899"/>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35,209</w:t>
            </w:r>
          </w:p>
        </w:tc>
        <w:tc>
          <w:tcPr>
            <w:tcW w:w="10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Income</w:t>
            </w: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12,106</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7,234</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(1)</w:t>
            </w: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22,176</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25,168</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w:t>
            </w:r>
            <w:r>
              <w:rPr>
                <w:rFonts w:ascii="Arial" w:cs="Arial" w:eastAsia="Arial" w:hAnsi="Arial"/>
                <w:sz w:val="11"/>
                <w:szCs w:val="11"/>
                <w:color w:val="auto"/>
              </w:rPr>
              <w:t>(1)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20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17 vessel fleet generated revenue from long-term fixed rate time charters of $35.2 million in the three months ended March 31, 2013, down on revenue of</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$38.4 million for the comparative period in 2012. The decrease in revenue is mainly due to reduced revenue from two charters which were renewed in September 2012 at lower rates and 17 fewer ownerships days as 2012 was a leap year, offset by lower offhire at 26 days including two planned drydockings during the three months ended March 31, 2013 compared to 49 days, including three planned drydockings, in the three months ended March 31, 2012. There were 1,530 ownership days in the quarter. The 26 days offhire in the three months ended March 31, 2013 gives a utilization of 98.3%. In the comparable period of 2012, there were 49 days offhire, representing utilization of 96.8%.</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fleet utilization for the three months ended March 31, 2013 and 2012 and for the years ended December 31, 2012, 2011, 2010 and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color w:val="auto"/>
                <w:w w:val="91"/>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jc w:val="right"/>
              <w:ind w:right="740"/>
              <w:spacing w:after="0"/>
              <w:rPr>
                <w:sz w:val="20"/>
                <w:szCs w:val="20"/>
                <w:color w:val="auto"/>
              </w:rPr>
            </w:pPr>
            <w:r>
              <w:rPr>
                <w:rFonts w:ascii="Arial" w:cs="Arial" w:eastAsia="Arial" w:hAnsi="Arial"/>
                <w:sz w:val="14"/>
                <w:szCs w:val="14"/>
                <w:color w:val="auto"/>
              </w:rPr>
              <w:t>Year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 w:type="dxa"/>
            <w:vAlign w:val="bottom"/>
            <w:vMerge w:val="restart"/>
          </w:tcPr>
          <w:p>
            <w:pPr>
              <w:spacing w:after="0"/>
              <w:rPr>
                <w:sz w:val="20"/>
                <w:szCs w:val="20"/>
                <w:color w:val="auto"/>
              </w:rPr>
            </w:pPr>
            <w:r>
              <w:rPr>
                <w:rFonts w:ascii="Arial" w:cs="Arial" w:eastAsia="Arial" w:hAnsi="Arial"/>
                <w:sz w:val="14"/>
                <w:szCs w:val="14"/>
                <w:color w:val="auto"/>
                <w:w w:val="87"/>
              </w:rPr>
              <w:t>Days</w:t>
            </w:r>
          </w:p>
        </w:tc>
        <w:tc>
          <w:tcPr>
            <w:tcW w:w="6260" w:type="dxa"/>
            <w:vAlign w:val="bottom"/>
            <w:vMerge w:val="restart"/>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8"/>
              </w:rPr>
              <w:t>Mar 31,</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8"/>
              </w:rPr>
              <w:t>Mar 31,</w:t>
            </w:r>
          </w:p>
        </w:tc>
        <w:tc>
          <w:tcPr>
            <w:tcW w:w="3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6"/>
              </w:rPr>
              <w:t>Dec 31,</w:t>
            </w:r>
          </w:p>
        </w:tc>
        <w:tc>
          <w:tcPr>
            <w:tcW w:w="82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2"/>
              </w:rPr>
              <w:t>Dec 31,</w:t>
            </w:r>
          </w:p>
        </w:tc>
        <w:tc>
          <w:tcPr>
            <w:tcW w:w="860" w:type="dxa"/>
            <w:vAlign w:val="bottom"/>
            <w:tcBorders>
              <w:top w:val="single" w:sz="8" w:color="auto"/>
            </w:tcBorders>
            <w:gridSpan w:val="2"/>
          </w:tcPr>
          <w:p>
            <w:pPr>
              <w:jc w:val="right"/>
              <w:ind w:right="420"/>
              <w:spacing w:after="0" w:line="131" w:lineRule="exact"/>
              <w:rPr>
                <w:sz w:val="20"/>
                <w:szCs w:val="20"/>
                <w:color w:val="auto"/>
              </w:rPr>
            </w:pPr>
            <w:r>
              <w:rPr>
                <w:rFonts w:ascii="Arial" w:cs="Arial" w:eastAsia="Arial" w:hAnsi="Arial"/>
                <w:sz w:val="14"/>
                <w:szCs w:val="14"/>
                <w:color w:val="auto"/>
                <w:w w:val="86"/>
              </w:rPr>
              <w:t>Dec 31,</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Dec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00" w:type="dxa"/>
            <w:vAlign w:val="bottom"/>
            <w:tcBorders>
              <w:bottom w:val="single" w:sz="8" w:color="auto"/>
            </w:tcBorders>
            <w:vMerge w:val="continue"/>
          </w:tcPr>
          <w:p>
            <w:pPr>
              <w:spacing w:after="0"/>
              <w:rPr>
                <w:sz w:val="14"/>
                <w:szCs w:val="14"/>
                <w:color w:val="auto"/>
              </w:rPr>
            </w:pPr>
          </w:p>
        </w:tc>
        <w:tc>
          <w:tcPr>
            <w:tcW w:w="6260" w:type="dxa"/>
            <w:vAlign w:val="bottom"/>
            <w:vMerge w:val="continue"/>
          </w:tcPr>
          <w:p>
            <w:pPr>
              <w:spacing w:after="0"/>
              <w:rPr>
                <w:sz w:val="14"/>
                <w:szCs w:val="14"/>
                <w:color w:val="auto"/>
              </w:rPr>
            </w:pPr>
          </w:p>
        </w:tc>
        <w:tc>
          <w:tcPr>
            <w:tcW w:w="460" w:type="dxa"/>
            <w:vAlign w:val="bottom"/>
          </w:tcPr>
          <w:p>
            <w:pPr>
              <w:jc w:val="right"/>
              <w:ind w:right="20"/>
              <w:spacing w:after="0" w:line="146"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4"/>
                <w:szCs w:val="14"/>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rPr>
              <w:t>2010</w:t>
            </w:r>
          </w:p>
        </w:tc>
        <w:tc>
          <w:tcPr>
            <w:tcW w:w="40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Ownership days</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1,530</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1,547</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6,222</w:t>
            </w: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6,205</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6,205</w:t>
            </w: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5,968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Operating days</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1,498</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6,124</w:t>
            </w: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6,099</w:t>
            </w:r>
          </w:p>
        </w:tc>
        <w:tc>
          <w:tcPr>
            <w:tcW w:w="3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6,202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5,894</w:t>
            </w:r>
          </w:p>
        </w:tc>
        <w:tc>
          <w:tcPr>
            <w:tcW w:w="0" w:type="dxa"/>
            <w:vAlign w:val="bottom"/>
          </w:tcPr>
          <w:p>
            <w:pPr>
              <w:spacing w:after="0"/>
              <w:rPr>
                <w:sz w:val="1"/>
                <w:szCs w:val="1"/>
                <w:color w:val="auto"/>
              </w:rPr>
            </w:pPr>
          </w:p>
        </w:tc>
      </w:tr>
      <w:tr>
        <w:trPr>
          <w:trHeight w:val="218"/>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drydocking of two vessels was completed in the first quarter 2013. One further vessel is scheduled to be drydocked in 2013. Two drydockings are scheduled for 2014 and none in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Operating Expenses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Vessel operating expenses, which include costs of crew, lubricating oil, spares and insurance, were $11.5 million for the three months ended March 31, 2013. The average cost per ownership day was $7,546, up $219 or 3.0% on $7,327 for the rolling four quarters ended December 31, 2012. The increase is mainly due to increased costs of crew and maintenance. The first quarter 2013 average daily cost was up $11 per day or 0.1% from the average daily cost of $7,535 for the comparative period in 2012 mainly due to increased crew costs offset by positive exchange rate movements on the portion of crew costs denominated in euros and reduced cost for communications.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 continue to be at less than the capped amounts included in Global Ship Lease’s ship management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Depreciation for the three months ended March 31, 2013 was $10.1 million compared to $10.0 million in the three months ended March 31, 2012. There have been no changes to the fleet.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costs incurred were $1.6 million in the three months ended March 31, 2013, the same as for the three months ended March 31,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income in the three months ended March 31, 2013 was $69,000 compared to $68,000 for the three months ended March 31,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a result of the above, Adjusted EBITDA was $22.2 million the three months ended March 31, 2013 down from $25.2 million for the three months ended March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March 31, 2013 was $4.9 million. The Company’s borrowings under its credit facility averaged $425.7 million during the three months ended March 31, 2013. There were $45.0 million preferred shares throughout the period giving total average borrowings through the three months ended March 31, 2013 of $470.7 million. Interest expense in the three months ended March 31, 2012 was $5.5 million on average borrowings, including the preferred shares, of $531.6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ended March 31, 2013 and 2012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realized loss of $5.4 million in the three months ended March 31, 2013 for settlements of swaps in the period, as current LIBOR rates are lower than the average fixed rate. Further, there was a $5.5 million unrealized gain for revaluation of the balance sheet position given current LIBOR and movements in the forward curve for interest rates. This compares to a realized loss of $4.5 million in the three months ended March 31, 2012 and an unrealized gain of $2.7 million.</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March 31, 2013, the total mark-to-market unrealized loss on the outstanding swap portfolio of $327 million, recognized as a liability on the balance sheet, was $30.1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March 31, 2013 and 2012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Net income for the three months ended March 31, 2013 was $7.2 million including $5.5 million non-cash interest rate derivative mark-to-market gain. For the three months ended March 31, 2012 net income was $8.0 million, including $2.7 million non-cash interest rate derivative mark-to-market gain. Normalized net income was $1.8 million for the three months ended March 31, 2013 and $5.3 million for the three months ended March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container shipping industry has been experiencing a significant cyclical downturn. As a consequence, there has been a continued decline in charter free market values of containerships since mid 2012. 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flows are largely predictable under its business model.</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anticipation of the scheduled test of the Leverage Ratio as at November 30, 2012 when the Company expected that the Leverage Ratio would be between 75% and 90%, the Company agreed with its lenders to waive the requirement to perform the Leverage Ratio test until December 1, 2014. Under the terms of the waiver, the fixed interest margin to be paid over LIBOR increased to 3.75%, prepayments became based on cash flow rather than a fixed amount of $10 million per quarter, and dividends on common shares cannot be paid.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2013 a total of $14.8 million of debt was repaid leaving a balance outstanding of $410.9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is not currently able to pay a dividend on common shares under the terms of the credit facility waiver.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Remaining</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7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Charter</w:t>
            </w: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Earliest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Capacity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Purchase</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1"/>
                <w:szCs w:val="11"/>
                <w:b w:val="1"/>
                <w:bCs w:val="1"/>
                <w:color w:val="auto"/>
              </w:rPr>
              <w:t>Term</w:t>
            </w:r>
            <w:r>
              <w:rPr>
                <w:rFonts w:ascii="Arial" w:cs="Arial" w:eastAsia="Arial" w:hAnsi="Arial"/>
                <w:sz w:val="17"/>
                <w:szCs w:val="17"/>
                <w:b w:val="1"/>
                <w:bCs w:val="1"/>
                <w:color w:val="auto"/>
                <w:vertAlign w:val="superscript"/>
              </w:rPr>
              <w:t>(2)</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Charter Expiry</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Daily 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4580" w:type="dxa"/>
            <w:vAlign w:val="bottom"/>
          </w:tcPr>
          <w:p>
            <w:pPr>
              <w:spacing w:after="0"/>
              <w:rPr>
                <w:sz w:val="15"/>
                <w:szCs w:val="15"/>
                <w:color w:val="auto"/>
              </w:rPr>
            </w:pPr>
          </w:p>
        </w:tc>
        <w:tc>
          <w:tcPr>
            <w:tcW w:w="940" w:type="dxa"/>
            <w:vAlign w:val="bottom"/>
            <w:gridSpan w:val="2"/>
          </w:tcPr>
          <w:p>
            <w:pPr>
              <w:jc w:val="right"/>
              <w:ind w:right="300"/>
              <w:spacing w:after="0" w:line="162" w:lineRule="exact"/>
              <w:rPr>
                <w:sz w:val="20"/>
                <w:szCs w:val="20"/>
                <w:color w:val="auto"/>
              </w:rPr>
            </w:pPr>
            <w:r>
              <w:rPr>
                <w:rFonts w:ascii="Arial" w:cs="Arial" w:eastAsia="Arial" w:hAnsi="Arial"/>
                <w:sz w:val="12"/>
                <w:szCs w:val="12"/>
                <w:b w:val="1"/>
                <w:bCs w:val="1"/>
                <w:color w:val="auto"/>
              </w:rPr>
              <w:t>in TEUs</w:t>
            </w:r>
            <w:r>
              <w:rPr>
                <w:rFonts w:ascii="Arial" w:cs="Arial" w:eastAsia="Arial" w:hAnsi="Arial"/>
                <w:sz w:val="18"/>
                <w:szCs w:val="18"/>
                <w:b w:val="1"/>
                <w:bCs w:val="1"/>
                <w:color w:val="auto"/>
                <w:vertAlign w:val="superscript"/>
              </w:rPr>
              <w:t>(1)</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Year Built</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by GSL</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(years)</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Rate $</w:t>
            </w:r>
          </w:p>
        </w:tc>
      </w:tr>
      <w:tr>
        <w:trPr>
          <w:trHeight w:val="203"/>
        </w:trPr>
        <w:tc>
          <w:tcPr>
            <w:tcW w:w="5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r>
              <w:rPr>
                <w:rFonts w:ascii="Arial" w:cs="Arial" w:eastAsia="Arial" w:hAnsi="Arial"/>
                <w:sz w:val="11"/>
                <w:szCs w:val="11"/>
                <w:color w:val="auto"/>
              </w:rPr>
              <w:t>(3)</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1997</w:t>
            </w: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Dec 2007</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1, 2013</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Ville d’Aquarius</w:t>
            </w:r>
            <w:r>
              <w:rPr>
                <w:rFonts w:ascii="Arial" w:cs="Arial" w:eastAsia="Arial" w:hAnsi="Arial"/>
                <w:sz w:val="11"/>
                <w:szCs w:val="11"/>
                <w:color w:val="auto"/>
              </w:rPr>
              <w:t>(3)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1996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May 1, 2013</w:t>
            </w:r>
          </w:p>
        </w:tc>
        <w:tc>
          <w:tcPr>
            <w:tcW w:w="80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1999</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1999</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2016</w:t>
            </w:r>
          </w:p>
        </w:tc>
        <w:tc>
          <w:tcPr>
            <w:tcW w:w="800" w:type="dxa"/>
            <w:vAlign w:val="bottom"/>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2017</w:t>
            </w:r>
          </w:p>
        </w:tc>
        <w:tc>
          <w:tcPr>
            <w:tcW w:w="800" w:type="dxa"/>
            <w:vAlign w:val="bottom"/>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14, 2017</w:t>
            </w:r>
          </w:p>
        </w:tc>
        <w:tc>
          <w:tcPr>
            <w:tcW w:w="800" w:type="dxa"/>
            <w:vAlign w:val="bottom"/>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 2007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Sept 7, 2016</w:t>
            </w:r>
          </w:p>
        </w:tc>
        <w:tc>
          <w:tcPr>
            <w:tcW w:w="800" w:type="dxa"/>
            <w:vAlign w:val="bottom"/>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Jan 2008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Oct 18,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2007</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Jan 2008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Oct 11, 2020</w:t>
            </w:r>
          </w:p>
        </w:tc>
        <w:tc>
          <w:tcPr>
            <w:tcW w:w="800" w:type="dxa"/>
            <w:vAlign w:val="bottom"/>
          </w:tcPr>
          <w:p>
            <w:pPr>
              <w:jc w:val="right"/>
              <w:spacing w:after="0"/>
              <w:rPr>
                <w:sz w:val="20"/>
                <w:szCs w:val="20"/>
                <w:color w:val="auto"/>
              </w:rPr>
            </w:pPr>
            <w:r>
              <w:rPr>
                <w:rFonts w:ascii="Arial" w:cs="Arial" w:eastAsia="Arial" w:hAnsi="Arial"/>
                <w:sz w:val="18"/>
                <w:szCs w:val="18"/>
                <w:color w:val="auto"/>
              </w:rPr>
              <w:t>33,750</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 2008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 1, 2025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 2008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17, 2022</w:t>
            </w:r>
          </w:p>
        </w:tc>
        <w:tc>
          <w:tcPr>
            <w:tcW w:w="800" w:type="dxa"/>
            <w:vAlign w:val="bottom"/>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2006</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 2008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16, 2022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 2008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19, 2022</w:t>
            </w:r>
          </w:p>
        </w:tc>
        <w:tc>
          <w:tcPr>
            <w:tcW w:w="800" w:type="dxa"/>
            <w:vAlign w:val="bottom"/>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Aug 2009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May 28,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90" w:lineRule="exact"/>
        <w:rPr>
          <w:rFonts w:ascii="Arial" w:cs="Arial" w:eastAsia="Arial" w:hAnsi="Arial"/>
          <w:sz w:val="18"/>
          <w:szCs w:val="18"/>
          <w:i w:val="1"/>
          <w:iCs w:val="1"/>
          <w:color w:val="auto"/>
        </w:rPr>
      </w:pPr>
    </w:p>
    <w:p>
      <w:pPr>
        <w:ind w:left="460" w:right="64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As at March 31, 2013. Plus or minus 90 days at charterers’ option, except Ville d’Orion and Ville d’Aquarius, which were plus or minus 22 days at charterer’s option.</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New charters at $7,000 per day commenced May 1, 2013 to April 30, 2014 plus or minus 30 days at charterer’s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March 31, 2013 today, Thursday, May 9, 2013 at 10:30 a.m. Eastern Time. There are two ways to access the conference call:</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Dial-in: Dial-in: (866) 966-9439 or (631) 510-7498; Passcode: 42924807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unable to participate at this time, a replay of the call will be available through Thursday, May 23, 2013 at (866) 247-4222 or (631) 510-7499.</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Enter the code 42924807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Global Ship Lease, Inc has filed its Annual Report for 2012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xml:space="preserve">. Shareholders may request a hard copy of the audited financial statements free of charge by contacting the Company at </w:t>
      </w:r>
      <w:r>
        <w:rPr>
          <w:rFonts w:ascii="Arial" w:cs="Arial" w:eastAsia="Arial" w:hAnsi="Arial"/>
          <w:sz w:val="16"/>
          <w:szCs w:val="16"/>
          <w:u w:val="single" w:color="auto"/>
          <w:color w:val="auto"/>
        </w:rPr>
        <w:t>info@globalshiplease.com</w:t>
      </w:r>
      <w:r>
        <w:rPr>
          <w:rFonts w:ascii="Arial" w:cs="Arial" w:eastAsia="Arial" w:hAnsi="Arial"/>
          <w:sz w:val="16"/>
          <w:szCs w:val="16"/>
          <w:color w:val="auto"/>
        </w:rPr>
        <w:t xml:space="preserve"> or by writing to Global Ship Lease, Inc, care of Global Ship Lease Services Limited, Portland House, Stag Place, London SW1E 5RS or by telephoning +44 (0) 207 869 8806.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80"/>
          </w:cols>
          <w:pgMar w:left="240" w:top="274" w:right="279" w:bottom="1440" w:gutter="0" w:footer="0" w:header="0"/>
        </w:sectPr>
      </w:pPr>
    </w:p>
    <w:bookmarkStart w:id="7" w:name="page8"/>
    <w:bookmarkEnd w:id="7"/>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owns 17 vessels with a total capacity of 66,349 TEU with an average age, weighted by TEU capacity, at March 31, 2013 of 9.1 years. All of the current vessels are fixed on long-term charters to CMA CGM with an average remaining term of 6.0 years, or 7.2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Adjusted EBITDA represents net income before interest income and expense including amortization of deferred finance costs, realized and unrealized gain (loss) on derivatives, income taxes, depreciation and amortization. Adjusted EBITDA is a non-US GAAP quantitative measure used to assist in the assessment of the Company’s ability to generate cash from its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alternate to Net income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 UNAUDITED</w:t>
      </w:r>
    </w:p>
    <w:p>
      <w:pPr>
        <w:spacing w:after="0" w:line="2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800" w:type="dxa"/>
            <w:vAlign w:val="bottom"/>
            <w:gridSpan w:val="3"/>
          </w:tcPr>
          <w:p>
            <w:pPr>
              <w:jc w:val="right"/>
              <w:ind w:right="380"/>
              <w:spacing w:after="0"/>
              <w:rPr>
                <w:sz w:val="20"/>
                <w:szCs w:val="20"/>
                <w:color w:val="auto"/>
              </w:rPr>
            </w:pPr>
            <w:r>
              <w:rPr>
                <w:rFonts w:ascii="Arial" w:cs="Arial" w:eastAsia="Arial" w:hAnsi="Arial"/>
                <w:sz w:val="14"/>
                <w:szCs w:val="14"/>
                <w:color w:val="auto"/>
              </w:rPr>
              <w:t>Three months ended</w:t>
            </w:r>
          </w:p>
        </w:tc>
        <w:tc>
          <w:tcPr>
            <w:tcW w:w="1560" w:type="dxa"/>
            <w:vAlign w:val="bottom"/>
            <w:gridSpan w:val="3"/>
          </w:tcPr>
          <w:p>
            <w:pPr>
              <w:jc w:val="right"/>
              <w:ind w:right="120"/>
              <w:spacing w:after="0"/>
              <w:rPr>
                <w:sz w:val="20"/>
                <w:szCs w:val="20"/>
                <w:color w:val="auto"/>
              </w:rPr>
            </w:pPr>
            <w:r>
              <w:rPr>
                <w:rFonts w:ascii="Arial" w:cs="Arial" w:eastAsia="Arial" w:hAnsi="Arial"/>
                <w:sz w:val="14"/>
                <w:szCs w:val="14"/>
                <w:color w:val="auto"/>
              </w:rPr>
              <w:t>Three months ended</w:t>
            </w:r>
          </w:p>
        </w:tc>
      </w:tr>
      <w:tr>
        <w:trPr>
          <w:trHeight w:val="159"/>
        </w:trPr>
        <w:tc>
          <w:tcPr>
            <w:tcW w:w="4320" w:type="dxa"/>
            <w:vAlign w:val="bottom"/>
          </w:tcPr>
          <w:p>
            <w:pPr>
              <w:spacing w:after="0" w:line="159" w:lineRule="exact"/>
              <w:rPr>
                <w:sz w:val="20"/>
                <w:szCs w:val="20"/>
                <w:color w:val="auto"/>
              </w:rPr>
            </w:pPr>
            <w:r>
              <w:rPr>
                <w:rFonts w:ascii="Arial" w:cs="Arial" w:eastAsia="Arial" w:hAnsi="Arial"/>
                <w:sz w:val="14"/>
                <w:szCs w:val="14"/>
                <w:i w:val="1"/>
                <w:iCs w:val="1"/>
                <w:color w:val="auto"/>
              </w:rPr>
              <w:t>(thousands of U.S. dollars)</w:t>
            </w:r>
          </w:p>
        </w:tc>
        <w:tc>
          <w:tcPr>
            <w:tcW w:w="1320" w:type="dxa"/>
            <w:vAlign w:val="bottom"/>
          </w:tcPr>
          <w:p>
            <w:pPr>
              <w:spacing w:after="0"/>
              <w:rPr>
                <w:sz w:val="13"/>
                <w:szCs w:val="13"/>
                <w:color w:val="auto"/>
              </w:rPr>
            </w:pPr>
          </w:p>
        </w:tc>
        <w:tc>
          <w:tcPr>
            <w:tcW w:w="148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Mar 31, 2013</w:t>
            </w:r>
          </w:p>
        </w:tc>
        <w:tc>
          <w:tcPr>
            <w:tcW w:w="340" w:type="dxa"/>
            <w:vAlign w:val="bottom"/>
          </w:tcPr>
          <w:p>
            <w:pPr>
              <w:spacing w:after="0"/>
              <w:rPr>
                <w:sz w:val="13"/>
                <w:szCs w:val="13"/>
                <w:color w:val="auto"/>
              </w:rPr>
            </w:pPr>
          </w:p>
        </w:tc>
        <w:tc>
          <w:tcPr>
            <w:tcW w:w="12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Mar 31, 2012</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rPr>
              <w:t>Adjust:</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4320" w:type="dxa"/>
            <w:vAlign w:val="bottom"/>
          </w:tcPr>
          <w:p>
            <w:pPr>
              <w:spacing w:after="0"/>
              <w:rPr>
                <w:sz w:val="20"/>
                <w:szCs w:val="20"/>
                <w:color w:val="auto"/>
              </w:rPr>
            </w:pPr>
            <w:r>
              <w:rPr>
                <w:rFonts w:ascii="Arial" w:cs="Arial" w:eastAsia="Arial" w:hAnsi="Arial"/>
                <w:sz w:val="18"/>
                <w:szCs w:val="18"/>
                <w:color w:val="auto"/>
              </w:rPr>
              <w:t>Depreciation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10,070</w:t>
            </w:r>
          </w:p>
        </w:tc>
        <w:tc>
          <w:tcPr>
            <w:tcW w:w="3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9,969</w:t>
            </w:r>
          </w:p>
        </w:tc>
        <w:tc>
          <w:tcPr>
            <w:tcW w:w="120" w:type="dxa"/>
            <w:vAlign w:val="bottom"/>
          </w:tcPr>
          <w:p>
            <w:pPr>
              <w:spacing w:after="0"/>
              <w:rPr>
                <w:sz w:val="20"/>
                <w:szCs w:val="20"/>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4,900</w:t>
            </w:r>
          </w:p>
        </w:tc>
        <w:tc>
          <w:tcPr>
            <w:tcW w:w="3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5,466</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2800" w:type="dxa"/>
            <w:vAlign w:val="bottom"/>
            <w:gridSpan w:val="3"/>
          </w:tcPr>
          <w:p>
            <w:pPr>
              <w:jc w:val="right"/>
              <w:ind w:right="320"/>
              <w:spacing w:after="0"/>
              <w:rPr>
                <w:sz w:val="20"/>
                <w:szCs w:val="20"/>
                <w:color w:val="auto"/>
              </w:rPr>
            </w:pPr>
            <w:r>
              <w:rPr>
                <w:rFonts w:ascii="Arial" w:cs="Arial" w:eastAsia="Arial" w:hAnsi="Arial"/>
                <w:sz w:val="18"/>
                <w:szCs w:val="18"/>
                <w:color w:val="auto"/>
              </w:rPr>
              <w:t>(5,453)</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(2,676)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Adjusted EBITDA</w:t>
            </w:r>
          </w:p>
        </w:tc>
        <w:tc>
          <w:tcPr>
            <w:tcW w:w="1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w:t>
            </w:r>
          </w:p>
        </w:tc>
        <w:tc>
          <w:tcPr>
            <w:tcW w:w="1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Normalized net income represents net income adjusted for the unrealized gain on derivatives.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or any other financial metric required by such accounting principles.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INCOME - UNAUDITED</w:t>
      </w:r>
    </w:p>
    <w:p>
      <w:pPr>
        <w:spacing w:after="0" w:line="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40" w:type="dxa"/>
            <w:vAlign w:val="bottom"/>
            <w:gridSpan w:val="3"/>
          </w:tcPr>
          <w:p>
            <w:pPr>
              <w:jc w:val="right"/>
              <w:ind w:right="400"/>
              <w:spacing w:after="0"/>
              <w:rPr>
                <w:sz w:val="20"/>
                <w:szCs w:val="20"/>
                <w:color w:val="auto"/>
              </w:rPr>
            </w:pPr>
            <w:r>
              <w:rPr>
                <w:rFonts w:ascii="Arial" w:cs="Arial" w:eastAsia="Arial" w:hAnsi="Arial"/>
                <w:sz w:val="14"/>
                <w:szCs w:val="14"/>
                <w:color w:val="auto"/>
              </w:rPr>
              <w:t>Three months ended</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Three months ended</w:t>
            </w:r>
          </w:p>
        </w:tc>
      </w:tr>
      <w:tr>
        <w:trPr>
          <w:trHeight w:val="159"/>
        </w:trPr>
        <w:tc>
          <w:tcPr>
            <w:tcW w:w="390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(thousands of U.S. dollars)</w:t>
            </w:r>
          </w:p>
        </w:tc>
        <w:tc>
          <w:tcPr>
            <w:tcW w:w="1760" w:type="dxa"/>
            <w:vAlign w:val="bottom"/>
          </w:tcPr>
          <w:p>
            <w:pPr>
              <w:spacing w:after="0"/>
              <w:rPr>
                <w:sz w:val="13"/>
                <w:szCs w:val="13"/>
                <w:color w:val="auto"/>
              </w:rPr>
            </w:pPr>
          </w:p>
        </w:tc>
        <w:tc>
          <w:tcPr>
            <w:tcW w:w="14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Mar 31, 2013</w:t>
            </w:r>
          </w:p>
        </w:tc>
        <w:tc>
          <w:tcPr>
            <w:tcW w:w="320" w:type="dxa"/>
            <w:vAlign w:val="bottom"/>
          </w:tcPr>
          <w:p>
            <w:pPr>
              <w:spacing w:after="0"/>
              <w:rPr>
                <w:sz w:val="13"/>
                <w:szCs w:val="13"/>
                <w:color w:val="auto"/>
              </w:rPr>
            </w:pPr>
          </w:p>
        </w:tc>
        <w:tc>
          <w:tcPr>
            <w:tcW w:w="12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Mar 31, 2012</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7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Adjust:</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3900" w:type="dxa"/>
            <w:vAlign w:val="bottom"/>
            <w:gridSpan w:val="2"/>
          </w:tcPr>
          <w:p>
            <w:pPr>
              <w:spacing w:after="0"/>
              <w:rPr>
                <w:sz w:val="20"/>
                <w:szCs w:val="20"/>
                <w:color w:val="auto"/>
              </w:rPr>
            </w:pPr>
            <w:r>
              <w:rPr>
                <w:rFonts w:ascii="Arial" w:cs="Arial" w:eastAsia="Arial" w:hAnsi="Arial"/>
                <w:sz w:val="18"/>
                <w:szCs w:val="18"/>
                <w:color w:val="auto"/>
              </w:rPr>
              <w:t>Unrealized gain on derivatives</w:t>
            </w:r>
          </w:p>
        </w:tc>
        <w:tc>
          <w:tcPr>
            <w:tcW w:w="176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(5,453)</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(2,676)</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income</w:t>
            </w:r>
          </w:p>
        </w:tc>
        <w:tc>
          <w:tcPr>
            <w:tcW w:w="17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health and condition of the U.S. and global financial markets;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CMA CGM, Global Ship Lease’s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availability of key employees and crew, number of offhire days, drydocking and survey requirements, general and administrative costs and insurance costs;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Global Ship Lease’s capital base;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80"/>
          </w:cols>
          <w:pgMar w:left="240" w:top="274" w:right="279" w:bottom="1440" w:gutter="0" w:footer="0" w:header="0"/>
        </w:sectPr>
      </w:pPr>
    </w:p>
    <w:bookmarkStart w:id="9" w:name="page10"/>
    <w:bookmarkEnd w:id="9"/>
    <w:p>
      <w:pPr>
        <w:ind w:left="900" w:right="3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Lease’s continued ability to enter into or renew long-term fixed-rate charters including the re-charterering of vessels on the expiry of existing charters, or to secure profitable employment for its vessels in the spot market;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environmental and taxation;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00"/>
          </w:cols>
          <w:pgMar w:left="240"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2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Time charter revenue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35,209</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15,199</w:t>
            </w:r>
          </w:p>
        </w:tc>
        <w:tc>
          <w:tcPr>
            <w:tcW w:w="0" w:type="dxa"/>
            <w:vAlign w:val="bottom"/>
          </w:tcPr>
          <w:p>
            <w:pPr>
              <w:spacing w:after="0"/>
              <w:rPr>
                <w:sz w:val="1"/>
                <w:szCs w:val="1"/>
                <w:color w:val="auto"/>
              </w:rPr>
            </w:pPr>
          </w:p>
        </w:tc>
      </w:tr>
      <w:tr>
        <w:trPr>
          <w:trHeight w:val="322"/>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2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6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Basic</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47,513,578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47,481,471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47,622,651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47,481,471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A common share</w:t>
            </w:r>
          </w:p>
        </w:tc>
        <w:tc>
          <w:tcPr>
            <w:tcW w:w="2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income per Class B common share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4" w:right="239" w:bottom="1440" w:gutter="0" w:footer="0" w:header="0"/>
        </w:sectPr>
      </w:pPr>
    </w:p>
    <w:bookmarkStart w:id="11" w:name="page12"/>
    <w:bookmarkEnd w:id="11"/>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26,097</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37,952</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847,706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856,394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fixed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850,652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859,662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888,604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53,160</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shd w:val="clear" w:color="auto" w:fill="CCEEFF"/>
          </w:tcPr>
          <w:p>
            <w:pPr>
              <w:spacing w:after="0"/>
              <w:rPr>
                <w:sz w:val="18"/>
                <w:szCs w:val="18"/>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74,931</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357,716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375,104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Preferred shares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44,976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100" w:type="dxa"/>
            <w:vAlign w:val="bottom"/>
            <w:shd w:val="clear" w:color="auto" w:fill="CCEEFF"/>
          </w:tcPr>
          <w:p>
            <w:pPr>
              <w:spacing w:after="0"/>
              <w:rPr>
                <w:sz w:val="18"/>
                <w:szCs w:val="18"/>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439,768</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461,404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514,699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537,092</w:t>
            </w:r>
          </w:p>
        </w:tc>
        <w:tc>
          <w:tcPr>
            <w:tcW w:w="100" w:type="dxa"/>
            <w:vAlign w:val="bottom"/>
            <w:shd w:val="clear" w:color="auto" w:fill="CCEEFF"/>
          </w:tcPr>
          <w:p>
            <w:pPr>
              <w:spacing w:after="0"/>
              <w:rPr>
                <w:sz w:val="18"/>
                <w:szCs w:val="18"/>
                <w:color w:val="auto"/>
              </w:rPr>
            </w:pPr>
          </w:p>
        </w:tc>
      </w:tr>
      <w:tr>
        <w:trPr>
          <w:trHeight w:val="329"/>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A Common stock – authorized 214,000,000 shares with a $0.01 par value; 47,513,934 shares issued and outstanding (2012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47,481,864)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w w:val="90"/>
              </w:rPr>
              <w:t>Class B Common stock – authorized 20,000,000 shares with a $0.01 par value; 7,405,956 shares issued and outstanding (2012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420" w:type="dxa"/>
            <w:vAlign w:val="bottom"/>
            <w:gridSpan w:val="2"/>
          </w:tcPr>
          <w:p>
            <w:pPr>
              <w:ind w:left="220"/>
              <w:spacing w:after="0"/>
              <w:rPr>
                <w:sz w:val="20"/>
                <w:szCs w:val="20"/>
                <w:color w:val="auto"/>
              </w:rPr>
            </w:pPr>
            <w:r>
              <w:rPr>
                <w:rFonts w:ascii="Arial" w:cs="Arial" w:eastAsia="Arial" w:hAnsi="Arial"/>
                <w:sz w:val="18"/>
                <w:szCs w:val="18"/>
                <w:color w:val="auto"/>
              </w:rPr>
              <w:t>7,405,956)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352,399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352,316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373,905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366,588</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888,604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12" w:name="page13"/>
    <w:bookmarkEnd w:id="12"/>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7,234</w:t>
            </w: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Change in fair value of derivative instruments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(5,453)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Unrealized foreign exchange loss</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(6,007)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Repayment of debt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(14,800)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(14,800)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(11,787)</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18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Total interest paid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4,624</w:t>
            </w: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MONTHS ENDED MARCH 31, 2013</w:t>
      </w:r>
    </w:p>
    <w:p>
      <w:pPr>
        <w:sectPr>
          <w:pgSz w:w="11900" w:h="16838" w:orient="portrait"/>
          <w:cols w:equalWidth="0" w:num="1">
            <w:col w:w="10220"/>
          </w:cols>
          <w:pgMar w:left="1440" w:top="274" w:right="239" w:bottom="1440" w:gutter="0" w:footer="0" w:header="0"/>
        </w:sectPr>
      </w:pPr>
    </w:p>
    <w:bookmarkStart w:id="14" w:name="page15"/>
    <w:bookmarkEnd w:id="14"/>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Note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26,097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receivables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37,952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847,706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fixed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850,652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888,604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53,160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Accrued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74,931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357,716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Preferred shares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Total long term liabilities</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439,768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514,699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640" w:type="dxa"/>
            <w:vAlign w:val="bottom"/>
            <w:gridSpan w:val="2"/>
          </w:tcPr>
          <w:p>
            <w:pPr>
              <w:spacing w:after="0"/>
              <w:rPr>
                <w:sz w:val="20"/>
                <w:szCs w:val="20"/>
                <w:color w:val="auto"/>
              </w:rPr>
            </w:pPr>
            <w:r>
              <w:rPr>
                <w:rFonts w:ascii="Arial" w:cs="Arial" w:eastAsia="Arial" w:hAnsi="Arial"/>
                <w:sz w:val="18"/>
                <w:szCs w:val="18"/>
                <w:color w:val="auto"/>
                <w:w w:val="97"/>
              </w:rPr>
              <w:t>Class A Common stock – authorized 214,000,000 shares with a $0.01 par value; 47,513,934 shares issued and</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outstanding (2012 – 47,481,864)</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w w:val="89"/>
              </w:rPr>
              <w:t>Class B Common stock – authorized 20,000,000 shares with a $0.01 par value; 7,405,956 shares issued and outstanding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 – 7,405,956)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864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352,399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352,316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373,905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366,588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888,604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340" w:type="dxa"/>
            <w:vAlign w:val="bottom"/>
            <w:vMerge w:val="restart"/>
          </w:tcPr>
          <w:p>
            <w:pPr>
              <w:ind w:left="1860"/>
              <w:spacing w:after="0"/>
              <w:rPr>
                <w:sz w:val="20"/>
                <w:szCs w:val="20"/>
                <w:color w:val="auto"/>
              </w:rPr>
            </w:pPr>
            <w:r>
              <w:rPr>
                <w:rFonts w:ascii="Arial" w:cs="Arial" w:eastAsia="Arial" w:hAnsi="Arial"/>
                <w:sz w:val="14"/>
                <w:szCs w:val="14"/>
                <w:color w:val="auto"/>
              </w:rPr>
              <w:t>Note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2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Time charter revenue</w:t>
            </w:r>
          </w:p>
        </w:tc>
        <w:tc>
          <w:tcPr>
            <w:tcW w:w="23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35,209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11,545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40" w:type="dxa"/>
            <w:vAlign w:val="bottom"/>
            <w:shd w:val="clear" w:color="auto" w:fill="CCEEFF"/>
          </w:tcPr>
          <w:p>
            <w:pPr>
              <w:jc w:val="center"/>
              <w:ind w:left="1575"/>
              <w:spacing w:after="0"/>
              <w:rPr>
                <w:sz w:val="20"/>
                <w:szCs w:val="20"/>
                <w:color w:val="auto"/>
              </w:rPr>
            </w:pPr>
            <w:r>
              <w:rPr>
                <w:rFonts w:ascii="Arial" w:cs="Arial" w:eastAsia="Arial" w:hAnsi="Arial"/>
                <w:sz w:val="18"/>
                <w:szCs w:val="18"/>
                <w:color w:val="auto"/>
                <w:w w:val="79"/>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23,103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15,199</w:t>
            </w:r>
          </w:p>
        </w:tc>
        <w:tc>
          <w:tcPr>
            <w:tcW w:w="0" w:type="dxa"/>
            <w:vAlign w:val="bottom"/>
          </w:tcPr>
          <w:p>
            <w:pPr>
              <w:spacing w:after="0"/>
              <w:rPr>
                <w:sz w:val="1"/>
                <w:szCs w:val="1"/>
                <w:color w:val="auto"/>
              </w:rPr>
            </w:pPr>
          </w:p>
        </w:tc>
      </w:tr>
      <w:tr>
        <w:trPr>
          <w:trHeight w:val="322"/>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2340" w:type="dxa"/>
            <w:vAlign w:val="bottom"/>
          </w:tcPr>
          <w:p>
            <w:pPr>
              <w:jc w:val="center"/>
              <w:ind w:left="1555"/>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Income taxes</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48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tcPr>
          <w:p>
            <w:pPr>
              <w:jc w:val="center"/>
              <w:ind w:left="1555"/>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47,513,578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47,481,471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tcPr>
          <w:p>
            <w:pPr>
              <w:jc w:val="center"/>
              <w:ind w:left="1555"/>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47,622,651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47,481,471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A common share</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tcPr>
          <w:p>
            <w:pPr>
              <w:jc w:val="center"/>
              <w:ind w:left="1555"/>
              <w:spacing w:after="0"/>
              <w:rPr>
                <w:sz w:val="20"/>
                <w:szCs w:val="20"/>
                <w:color w:val="auto"/>
              </w:rPr>
            </w:pPr>
            <w:r>
              <w:rPr>
                <w:rFonts w:ascii="Arial" w:cs="Arial" w:eastAsia="Arial" w:hAnsi="Arial"/>
                <w:sz w:val="18"/>
                <w:szCs w:val="18"/>
                <w:color w:val="auto"/>
                <w:w w:val="89"/>
              </w:rPr>
              <w:t>12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shd w:val="clear" w:color="auto" w:fill="CCEEFF"/>
          </w:tcPr>
          <w:p>
            <w:pPr>
              <w:jc w:val="center"/>
              <w:ind w:left="1555"/>
              <w:spacing w:after="0"/>
              <w:rPr>
                <w:sz w:val="20"/>
                <w:szCs w:val="20"/>
                <w:color w:val="auto"/>
              </w:rPr>
            </w:pPr>
            <w:r>
              <w:rPr>
                <w:rFonts w:ascii="Arial" w:cs="Arial" w:eastAsia="Arial" w:hAnsi="Arial"/>
                <w:sz w:val="18"/>
                <w:szCs w:val="18"/>
                <w:color w:val="auto"/>
                <w:w w:val="89"/>
              </w:rPr>
              <w:t>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Net income per Class B common share</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340" w:type="dxa"/>
            <w:vAlign w:val="bottom"/>
            <w:shd w:val="clear" w:color="auto" w:fill="CCEEFF"/>
          </w:tcPr>
          <w:p>
            <w:pPr>
              <w:jc w:val="center"/>
              <w:ind w:left="1555"/>
              <w:spacing w:after="0"/>
              <w:rPr>
                <w:sz w:val="20"/>
                <w:szCs w:val="20"/>
                <w:color w:val="auto"/>
              </w:rPr>
            </w:pPr>
            <w:r>
              <w:rPr>
                <w:rFonts w:ascii="Arial" w:cs="Arial" w:eastAsia="Arial" w:hAnsi="Arial"/>
                <w:sz w:val="18"/>
                <w:szCs w:val="18"/>
                <w:color w:val="auto"/>
                <w:w w:val="89"/>
              </w:rPr>
              <w:t>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6" w:name="page17"/>
    <w:bookmarkEnd w:id="16"/>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780" w:type="dxa"/>
            <w:vAlign w:val="bottom"/>
            <w:vMerge w:val="restart"/>
          </w:tcPr>
          <w:p>
            <w:pPr>
              <w:ind w:left="1320"/>
              <w:spacing w:after="0"/>
              <w:rPr>
                <w:sz w:val="20"/>
                <w:szCs w:val="20"/>
                <w:color w:val="auto"/>
              </w:rPr>
            </w:pPr>
            <w:r>
              <w:rPr>
                <w:rFonts w:ascii="Arial" w:cs="Arial" w:eastAsia="Arial" w:hAnsi="Arial"/>
                <w:sz w:val="14"/>
                <w:szCs w:val="14"/>
                <w:color w:val="auto"/>
              </w:rPr>
              <w:t>Note</w:t>
            </w:r>
          </w:p>
        </w:tc>
        <w:tc>
          <w:tcPr>
            <w:tcW w:w="20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7,234</w:t>
            </w:r>
          </w:p>
        </w:tc>
        <w:tc>
          <w:tcPr>
            <w:tcW w:w="18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Depreciation</w:t>
            </w:r>
          </w:p>
        </w:tc>
        <w:tc>
          <w:tcPr>
            <w:tcW w:w="1780" w:type="dxa"/>
            <w:vAlign w:val="bottom"/>
          </w:tcPr>
          <w:p>
            <w:pPr>
              <w:jc w:val="center"/>
              <w:ind w:left="1016"/>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Change in fair value of derivative instruments</w:t>
            </w:r>
          </w:p>
        </w:tc>
        <w:tc>
          <w:tcPr>
            <w:tcW w:w="1780" w:type="dxa"/>
            <w:vAlign w:val="bottom"/>
          </w:tcPr>
          <w:p>
            <w:pPr>
              <w:jc w:val="center"/>
              <w:ind w:left="1036"/>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(5,453)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780" w:type="dxa"/>
            <w:vAlign w:val="bottom"/>
          </w:tcPr>
          <w:p>
            <w:pPr>
              <w:jc w:val="center"/>
              <w:ind w:left="1036"/>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780" w:type="dxa"/>
            <w:vAlign w:val="bottom"/>
            <w:shd w:val="clear" w:color="auto" w:fill="CCEEFF"/>
          </w:tcPr>
          <w:p>
            <w:pPr>
              <w:jc w:val="center"/>
              <w:ind w:left="1016"/>
              <w:spacing w:after="0"/>
              <w:rPr>
                <w:sz w:val="20"/>
                <w:szCs w:val="20"/>
                <w:color w:val="auto"/>
              </w:rPr>
            </w:pPr>
            <w:r>
              <w:rPr>
                <w:rFonts w:ascii="Arial" w:cs="Arial" w:eastAsia="Arial" w:hAnsi="Arial"/>
                <w:sz w:val="18"/>
                <w:szCs w:val="18"/>
                <w:color w:val="auto"/>
                <w:w w:val="79"/>
              </w:rPr>
              <w:t>11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Unrealized foreign exchange loss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7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780" w:type="dxa"/>
            <w:vAlign w:val="bottom"/>
            <w:shd w:val="clear" w:color="auto" w:fill="CCEEFF"/>
          </w:tcPr>
          <w:p>
            <w:pPr>
              <w:jc w:val="center"/>
              <w:ind w:left="1036"/>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6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(6,007)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Repayment of debt</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(14,800)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(14,800)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(11,787)</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60" w:type="dxa"/>
            <w:vAlign w:val="bottom"/>
            <w:gridSpan w:val="2"/>
            <w:vMerge w:val="continue"/>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7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18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Total interest paid</w:t>
            </w:r>
          </w:p>
        </w:tc>
        <w:tc>
          <w:tcPr>
            <w:tcW w:w="17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4,624</w:t>
            </w:r>
          </w:p>
        </w:tc>
        <w:tc>
          <w:tcPr>
            <w:tcW w:w="18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17" w:name="page18"/>
    <w:bookmarkEnd w:id="17"/>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color w:val="auto"/>
                <w:w w:val="85"/>
              </w:rPr>
              <w:t>Retained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7"/>
              </w:rPr>
              <w:t>Additional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Earnings /</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60" w:type="dxa"/>
            <w:vAlign w:val="bottom"/>
          </w:tcPr>
          <w:p>
            <w:pPr>
              <w:jc w:val="right"/>
              <w:ind w:right="56"/>
              <w:spacing w:after="0" w:line="149" w:lineRule="exact"/>
              <w:rPr>
                <w:sz w:val="20"/>
                <w:szCs w:val="20"/>
                <w:color w:val="auto"/>
              </w:rPr>
            </w:pPr>
            <w:r>
              <w:rPr>
                <w:rFonts w:ascii="Arial" w:cs="Arial" w:eastAsia="Arial" w:hAnsi="Arial"/>
                <w:sz w:val="14"/>
                <w:szCs w:val="14"/>
                <w:color w:val="auto"/>
              </w:rPr>
              <w:t>Number of</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660" w:type="dxa"/>
            <w:vAlign w:val="bottom"/>
          </w:tcPr>
          <w:p>
            <w:pPr>
              <w:jc w:val="right"/>
              <w:ind w:right="57"/>
              <w:spacing w:after="0" w:line="149" w:lineRule="exact"/>
              <w:rPr>
                <w:sz w:val="20"/>
                <w:szCs w:val="20"/>
                <w:color w:val="auto"/>
              </w:rPr>
            </w:pPr>
            <w:r>
              <w:rPr>
                <w:rFonts w:ascii="Arial" w:cs="Arial" w:eastAsia="Arial" w:hAnsi="Arial"/>
                <w:sz w:val="14"/>
                <w:szCs w:val="14"/>
                <w:color w:val="auto"/>
              </w:rPr>
              <w:t>Paid in</w:t>
            </w:r>
          </w:p>
        </w:tc>
        <w:tc>
          <w:tcPr>
            <w:tcW w:w="4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w w:val="85"/>
              </w:rPr>
              <w:t>Common Stock</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660" w:type="dxa"/>
            <w:vAlign w:val="bottom"/>
          </w:tcPr>
          <w:p>
            <w:pPr>
              <w:jc w:val="right"/>
              <w:ind w:right="57"/>
              <w:spacing w:after="0" w:line="159" w:lineRule="exact"/>
              <w:rPr>
                <w:sz w:val="20"/>
                <w:szCs w:val="20"/>
                <w:color w:val="auto"/>
              </w:rPr>
            </w:pPr>
            <w:r>
              <w:rPr>
                <w:rFonts w:ascii="Arial" w:cs="Arial" w:eastAsia="Arial" w:hAnsi="Arial"/>
                <w:sz w:val="14"/>
                <w:szCs w:val="14"/>
                <w:color w:val="auto"/>
              </w:rPr>
              <w:t>Capital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96"/>
              </w:rPr>
              <w:t>Deficit)</w:t>
            </w:r>
          </w:p>
        </w:tc>
        <w:tc>
          <w:tcPr>
            <w:tcW w:w="140" w:type="dxa"/>
            <w:vAlign w:val="bottom"/>
          </w:tcPr>
          <w:p>
            <w:pPr>
              <w:spacing w:after="0"/>
              <w:rPr>
                <w:sz w:val="13"/>
                <w:szCs w:val="13"/>
                <w:color w:val="auto"/>
              </w:rPr>
            </w:pPr>
          </w:p>
        </w:tc>
        <w:tc>
          <w:tcPr>
            <w:tcW w:w="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54,869,934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549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$351,856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(18,205)</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334,200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4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31,928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54,887,820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$352,316</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4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54,919,890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352,399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8" w:name="page19"/>
    <w:bookmarkEnd w:id="18"/>
    <w:p>
      <w:pPr>
        <w:ind w:left="48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3212"/>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99"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52" w:right="2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rFonts w:ascii="Arial" w:cs="Arial" w:eastAsia="Arial" w:hAnsi="Arial"/>
          <w:sz w:val="18"/>
          <w:szCs w:val="18"/>
          <w:b w:val="1"/>
          <w:bCs w:val="1"/>
          <w:color w:val="auto"/>
        </w:rPr>
      </w:pPr>
    </w:p>
    <w:p>
      <w:pPr>
        <w:ind w:left="712" w:hanging="256"/>
        <w:spacing w:after="0"/>
        <w:tabs>
          <w:tab w:leader="none" w:pos="712"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Company owns and charters out containerships. All vessels are time chartered to CMA CGM S.A. (“CMA CGM”) for remaining terms as at March 31, 2013 ranging from 0.10 to 12.75 years (see note 7).</w:t>
      </w:r>
    </w:p>
    <w:p>
      <w:pPr>
        <w:spacing w:after="0" w:line="132" w:lineRule="exact"/>
        <w:rPr>
          <w:sz w:val="20"/>
          <w:szCs w:val="20"/>
          <w:color w:val="auto"/>
        </w:rPr>
      </w:pPr>
    </w:p>
    <w:p>
      <w:pPr>
        <w:ind w:left="452" w:right="20"/>
        <w:spacing w:after="0" w:line="268" w:lineRule="auto"/>
        <w:rPr>
          <w:sz w:val="20"/>
          <w:szCs w:val="20"/>
          <w:color w:val="auto"/>
        </w:rPr>
      </w:pPr>
      <w:r>
        <w:rPr>
          <w:rFonts w:ascii="Arial" w:cs="Arial" w:eastAsia="Arial" w:hAnsi="Arial"/>
          <w:sz w:val="18"/>
          <w:szCs w:val="18"/>
          <w:color w:val="auto"/>
        </w:rPr>
        <w:t>New time charters for the Ville d’Aquarius and the Ville d’Orion were executed under an agreement entered into with CMA CGM to charter the vessels for one year at a fixed rate of $7.0 per day.</w:t>
      </w:r>
    </w:p>
    <w:p>
      <w:pPr>
        <w:spacing w:after="0" w:line="132" w:lineRule="exact"/>
        <w:rPr>
          <w:sz w:val="20"/>
          <w:szCs w:val="20"/>
          <w:color w:val="auto"/>
        </w:rPr>
      </w:pPr>
    </w:p>
    <w:p>
      <w:pPr>
        <w:ind w:left="452" w:right="320"/>
        <w:spacing w:after="0" w:line="268"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Charter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Purchase Date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Capacity</w:t>
            </w:r>
          </w:p>
        </w:tc>
        <w:tc>
          <w:tcPr>
            <w:tcW w:w="7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Year</w:t>
            </w:r>
          </w:p>
        </w:tc>
        <w:tc>
          <w:tcPr>
            <w:tcW w:w="1320" w:type="dxa"/>
            <w:vAlign w:val="bottom"/>
            <w:gridSpan w:val="2"/>
            <w:vMerge w:val="continue"/>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Duration</w:t>
            </w:r>
          </w:p>
        </w:tc>
        <w:tc>
          <w:tcPr>
            <w:tcW w:w="6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5220" w:type="dxa"/>
            <w:vAlign w:val="bottom"/>
          </w:tcPr>
          <w:p>
            <w:pPr>
              <w:spacing w:after="0"/>
              <w:rPr>
                <w:sz w:val="15"/>
                <w:szCs w:val="15"/>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in TEUs</w:t>
            </w:r>
            <w:r>
              <w:rPr>
                <w:rFonts w:ascii="Arial" w:cs="Arial" w:eastAsia="Arial" w:hAnsi="Arial"/>
                <w:sz w:val="18"/>
                <w:szCs w:val="18"/>
                <w:b w:val="1"/>
                <w:bCs w:val="1"/>
                <w:color w:val="auto"/>
                <w:vertAlign w:val="superscript"/>
              </w:rPr>
              <w:t>(1)</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32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by GSL</w:t>
            </w:r>
            <w:r>
              <w:rPr>
                <w:rFonts w:ascii="Arial" w:cs="Arial" w:eastAsia="Arial" w:hAnsi="Arial"/>
                <w:sz w:val="18"/>
                <w:szCs w:val="18"/>
                <w:b w:val="1"/>
                <w:bCs w:val="1"/>
                <w:color w:val="auto"/>
                <w:vertAlign w:val="superscript"/>
              </w:rPr>
              <w:t>(2)</w:t>
            </w: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w w:val="96"/>
              </w:rPr>
              <w:t>(years)</w:t>
            </w:r>
            <w:r>
              <w:rPr>
                <w:rFonts w:ascii="Arial" w:cs="Arial" w:eastAsia="Arial" w:hAnsi="Arial"/>
                <w:sz w:val="18"/>
                <w:szCs w:val="18"/>
                <w:b w:val="1"/>
                <w:bCs w:val="1"/>
                <w:color w:val="auto"/>
                <w:w w:val="96"/>
                <w:vertAlign w:val="superscript"/>
              </w:rPr>
              <w:t>(3)</w:t>
            </w:r>
          </w:p>
        </w:tc>
        <w:tc>
          <w:tcPr>
            <w:tcW w:w="10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1"/>
                <w:szCs w:val="11"/>
                <w:color w:val="auto"/>
              </w:rPr>
              <w:t>(4)</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1997</w:t>
            </w: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1"/>
                <w:szCs w:val="11"/>
                <w:color w:val="auto"/>
              </w:rPr>
              <w:t>(4)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4,113</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2,262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2,207</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2,272</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5,089</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January 2008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5,089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January 2008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11,040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4,298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4,045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December 2008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6,621</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August 2009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52" w:hanging="452"/>
        <w:spacing w:after="0"/>
        <w:tabs>
          <w:tab w:leader="none" w:pos="452"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52" w:hanging="452"/>
        <w:spacing w:after="0"/>
        <w:tabs>
          <w:tab w:leader="none" w:pos="452"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As at March 31, 2013. Plus or minus 90 days, other than Ville d’Orion and Ville d’Aquarius which are plus or minus 22 days, at charterer’s option.</w:t>
      </w:r>
    </w:p>
    <w:p>
      <w:pPr>
        <w:spacing w:after="0" w:line="32" w:lineRule="exact"/>
        <w:rPr>
          <w:rFonts w:ascii="Arial" w:cs="Arial" w:eastAsia="Arial" w:hAnsi="Arial"/>
          <w:sz w:val="16"/>
          <w:szCs w:val="16"/>
          <w:i w:val="1"/>
          <w:iCs w:val="1"/>
          <w:color w:val="auto"/>
        </w:rPr>
      </w:pPr>
    </w:p>
    <w:p>
      <w:pPr>
        <w:ind w:left="452" w:hanging="452"/>
        <w:spacing w:after="0"/>
        <w:tabs>
          <w:tab w:leader="none" w:pos="452"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New charters commenced on May 1, 2013 at $7.000 per day and expire on April 30, 2014 plus or minus 30 days at charterer’s option.</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92"/>
          </w:cols>
          <w:pgMar w:left="248" w:top="274" w:right="259" w:bottom="1440" w:gutter="0" w:footer="0" w:header="0"/>
        </w:sectPr>
      </w:pPr>
    </w:p>
    <w:bookmarkStart w:id="19" w:name="page20"/>
    <w:bookmarkEnd w:id="19"/>
    <w:p>
      <w:pPr>
        <w:ind w:left="48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45"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7" w:lineRule="exact"/>
        <w:rPr>
          <w:rFonts w:ascii="Arial" w:cs="Arial" w:eastAsia="Arial" w:hAnsi="Arial"/>
          <w:sz w:val="18"/>
          <w:szCs w:val="18"/>
          <w:b w:val="1"/>
          <w:bCs w:val="1"/>
          <w:color w:val="auto"/>
        </w:rPr>
      </w:pPr>
    </w:p>
    <w:p>
      <w:pPr>
        <w:ind w:left="712" w:hanging="256"/>
        <w:spacing w:after="0"/>
        <w:tabs>
          <w:tab w:leader="none" w:pos="71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0"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risk</w:t>
      </w:r>
    </w:p>
    <w:p>
      <w:pPr>
        <w:spacing w:after="0" w:line="96" w:lineRule="exact"/>
        <w:rPr>
          <w:sz w:val="20"/>
          <w:szCs w:val="20"/>
          <w:color w:val="auto"/>
        </w:rPr>
      </w:pPr>
    </w:p>
    <w:p>
      <w:pPr>
        <w:ind w:left="452" w:right="12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have reported losses.</w:t>
      </w:r>
    </w:p>
    <w:p>
      <w:pPr>
        <w:spacing w:after="0" w:line="107"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On February 12, 2013 CMA CGM announced it had finalised a financial restructuring. It had reached agreement with its banks regarding a restructuring of their debt and a new covenant package taking into account the volatile nature of the container shipping industry. A further part of the restructuring is agreement with the French Fonds Strategique d’Investissement to invest $150 million in bonds redeemable for shares and a further investment by the Yildrim Group of $100 million, also for bonds redeemable for shares.</w:t>
      </w:r>
    </w:p>
    <w:p>
      <w:pPr>
        <w:spacing w:after="0" w:line="143" w:lineRule="exact"/>
        <w:rPr>
          <w:sz w:val="20"/>
          <w:szCs w:val="20"/>
          <w:color w:val="auto"/>
        </w:rPr>
      </w:pPr>
    </w:p>
    <w:p>
      <w:pPr>
        <w:ind w:left="452" w:right="40"/>
        <w:spacing w:after="0" w:line="256"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143" w:lineRule="exact"/>
        <w:rPr>
          <w:sz w:val="20"/>
          <w:szCs w:val="20"/>
          <w:color w:val="auto"/>
        </w:rPr>
      </w:pPr>
    </w:p>
    <w:p>
      <w:pPr>
        <w:ind w:left="452" w:right="180"/>
        <w:spacing w:after="0" w:line="298" w:lineRule="auto"/>
        <w:rPr>
          <w:sz w:val="20"/>
          <w:szCs w:val="20"/>
          <w:color w:val="auto"/>
        </w:rPr>
      </w:pPr>
      <w:r>
        <w:rPr>
          <w:rFonts w:ascii="Arial" w:cs="Arial" w:eastAsia="Arial" w:hAnsi="Arial"/>
          <w:sz w:val="16"/>
          <w:szCs w:val="16"/>
          <w:color w:val="auto"/>
        </w:rPr>
        <w:t>The Company has experienced continued delays in receiving charterhire from CMA CGM, where between one and three instalments have been outstanding. Under the charter contracts charterhire is due to be paid every 15 days in advance on the 1st and 16th of each month. As at March 31, 2013, one period of charterhire, due on March 16, 2013, was outstanding amounting to $6,278. This was received in April 2013. As at close of business on May 8, 2013, one period of charterhire, due on May 1, 2013 and totalling $5,797 was outstanding.</w:t>
      </w:r>
    </w:p>
    <w:p>
      <w:pPr>
        <w:spacing w:after="0" w:line="113" w:lineRule="exact"/>
        <w:rPr>
          <w:sz w:val="20"/>
          <w:szCs w:val="20"/>
          <w:color w:val="auto"/>
        </w:rPr>
      </w:pPr>
    </w:p>
    <w:p>
      <w:pPr>
        <w:ind w:left="452" w:right="14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59"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left="452" w:right="80"/>
        <w:spacing w:after="0" w:line="298" w:lineRule="auto"/>
        <w:rPr>
          <w:sz w:val="20"/>
          <w:szCs w:val="20"/>
          <w:color w:val="auto"/>
        </w:rPr>
      </w:pPr>
      <w:r>
        <w:rPr>
          <w:rFonts w:ascii="Arial" w:cs="Arial" w:eastAsia="Arial" w:hAnsi="Arial"/>
          <w:sz w:val="16"/>
          <w:szCs w:val="16"/>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which are under charter, cannot exceed 75%. On November 30, 2011, due to the declines in market values, the Company agreed with its lenders a waiver of the requirement to perform the Leverage Ratio test until November 30, 2012.</w:t>
      </w:r>
    </w:p>
    <w:p>
      <w:pPr>
        <w:spacing w:after="0" w:line="113" w:lineRule="exact"/>
        <w:rPr>
          <w:sz w:val="20"/>
          <w:szCs w:val="20"/>
          <w:color w:val="auto"/>
        </w:rPr>
      </w:pPr>
    </w:p>
    <w:p>
      <w:pPr>
        <w:ind w:left="452" w:right="20"/>
        <w:spacing w:after="0" w:line="294" w:lineRule="auto"/>
        <w:rPr>
          <w:sz w:val="20"/>
          <w:szCs w:val="20"/>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agreed with its lenders on November 13, 2012, to a further two year waiver of the requirement to perform the Leverage Ratio test. The next scheduled test will be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52"/>
          </w:cols>
          <w:pgMar w:left="248" w:top="274" w:right="299" w:bottom="1440" w:gutter="0" w:footer="0" w:header="0"/>
        </w:sectPr>
      </w:pPr>
    </w:p>
    <w:bookmarkStart w:id="20" w:name="page21"/>
    <w:bookmarkEnd w:id="20"/>
    <w:p>
      <w:pPr>
        <w:ind w:left="48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45"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52" w:right="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2012 filed with the Securities and Exchange Commission on April 12, 2013 in the Company’s Annual Report on Form 20-F.</w:t>
      </w:r>
    </w:p>
    <w:p>
      <w:pPr>
        <w:spacing w:after="0" w:line="1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90"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as at December 31, 2012. Accordingly, an impairment test, based on expected undiscounted cash flows by vessel, was performed as at that date. Based on the assumptions made, the expected undiscounted future cash flows exceeded the vessels’ carrying amounts and accordingly no impairment was recognised.</w:t>
      </w:r>
    </w:p>
    <w:p>
      <w:pPr>
        <w:spacing w:after="0" w:line="143" w:lineRule="exact"/>
        <w:rPr>
          <w:rFonts w:ascii="Arial" w:cs="Arial" w:eastAsia="Arial" w:hAnsi="Arial"/>
          <w:sz w:val="18"/>
          <w:szCs w:val="18"/>
          <w:b w:val="1"/>
          <w:bCs w:val="1"/>
          <w:color w:val="auto"/>
        </w:rPr>
      </w:pPr>
    </w:p>
    <w:p>
      <w:pPr>
        <w:ind w:left="452"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agreement of new charters of two of the Company’s vessels at rates below the previous rates was seen as an indicator of potential impairment of their carrying value. Accordingly, an impairment test, based on expected undiscounted cash flows by vessel, was performed for these two vessels as at March 31, 2013. Based on the assumptions made, the expected undiscounted future cash flows exceeded the vessels’ carrying amounts as at March 31, 2013 and accordingly no impairment was recognised.</w:t>
      </w:r>
    </w:p>
    <w:p>
      <w:pPr>
        <w:spacing w:after="0" w:line="143" w:lineRule="exact"/>
        <w:rPr>
          <w:rFonts w:ascii="Arial" w:cs="Arial" w:eastAsia="Arial" w:hAnsi="Arial"/>
          <w:sz w:val="18"/>
          <w:szCs w:val="18"/>
          <w:b w:val="1"/>
          <w:bCs w:val="1"/>
          <w:color w:val="auto"/>
        </w:rPr>
      </w:pPr>
    </w:p>
    <w:p>
      <w:pPr>
        <w:ind w:left="452"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19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jc w:val="both"/>
        <w:ind w:left="45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2013, the Financial Accounting Standards Board (“FASB”) issued an accounting standards update (Topic 210) that clarified a previous update issued in 2011 in respect of disclosure of offsetting assets and liabilities. The amendment is effective for annual and interim periods beginning on or after January 1, 2013. The adoption of this update has led to minor disclosure amendments.</w:t>
      </w:r>
    </w:p>
    <w:p>
      <w:pPr>
        <w:spacing w:after="0" w:line="140" w:lineRule="exact"/>
        <w:rPr>
          <w:rFonts w:ascii="Arial" w:cs="Arial" w:eastAsia="Arial" w:hAnsi="Arial"/>
          <w:sz w:val="18"/>
          <w:szCs w:val="18"/>
          <w:b w:val="1"/>
          <w:bCs w:val="1"/>
          <w:color w:val="auto"/>
        </w:rPr>
      </w:pPr>
    </w:p>
    <w:p>
      <w:pPr>
        <w:ind w:left="452"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February 2013, FASB issued an update amending certain requirements for the reporting of joint and several liability arrangements (Topic 405). A reporting entity will be required to make increased disclosure of obligations resulting from joint and several liability arrangements for which the total amount of the obligation is fixed at the reporting date. The amendment is effective for annual and interim periods beginning on or after December 15, 2013 and early adoption is permitted. The adoption of this update has led to minor disclosure amendments.</w:t>
      </w:r>
    </w:p>
    <w:p>
      <w:pPr>
        <w:spacing w:after="0" w:line="113"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92"/>
          </w:cols>
          <w:pgMar w:left="248" w:top="274" w:right="259" w:bottom="1440" w:gutter="0" w:footer="0" w:header="0"/>
        </w:sectPr>
      </w:pPr>
    </w:p>
    <w:bookmarkStart w:id="21" w:name="page22"/>
    <w:bookmarkEnd w:id="21"/>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4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Pr>
          <w:p>
            <w:pPr>
              <w:spacing w:after="0"/>
              <w:rPr>
                <w:sz w:val="14"/>
                <w:szCs w:val="14"/>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1,014,022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$1,014,367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(166,316)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(158,205)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4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847,706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856,394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74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7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Software development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Opening balance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96" w:lineRule="exact"/>
        <w:rPr>
          <w:rFonts w:ascii="Arial" w:cs="Arial" w:eastAsia="Arial" w:hAnsi="Arial"/>
          <w:sz w:val="18"/>
          <w:szCs w:val="18"/>
          <w:b w:val="1"/>
          <w:bCs w:val="1"/>
          <w:color w:val="auto"/>
        </w:rPr>
      </w:pPr>
    </w:p>
    <w:p>
      <w:pPr>
        <w:ind w:left="460" w:right="2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 In February 2013, one member of the syndicate novated part of their commitment to the following funds: FPA Hawkeye-7 Fund, FPA Crescent Fund, FPA Hawkeye Fund and FPA Value Partners Fund.</w:t>
      </w:r>
    </w:p>
    <w:p>
      <w:pPr>
        <w:spacing w:after="0" w:line="115" w:lineRule="exact"/>
        <w:rPr>
          <w:rFonts w:ascii="Arial" w:cs="Arial" w:eastAsia="Arial" w:hAnsi="Arial"/>
          <w:sz w:val="18"/>
          <w:szCs w:val="18"/>
          <w:b w:val="1"/>
          <w:bCs w:val="1"/>
          <w:color w:val="auto"/>
        </w:rPr>
      </w:pPr>
    </w:p>
    <w:p>
      <w:pPr>
        <w:jc w:val="both"/>
        <w:ind w:left="460" w:right="1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1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171" w:lineRule="exact"/>
        <w:rPr>
          <w:rFonts w:ascii="Arial" w:cs="Arial" w:eastAsia="Arial" w:hAnsi="Arial"/>
          <w:sz w:val="18"/>
          <w:szCs w:val="18"/>
          <w:b w:val="1"/>
          <w:bCs w:val="1"/>
          <w:color w:val="auto"/>
        </w:rPr>
      </w:pPr>
    </w:p>
    <w:p>
      <w:pPr>
        <w:jc w:val="both"/>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106" w:lineRule="exact"/>
        <w:rPr>
          <w:rFonts w:ascii="Arial" w:cs="Arial" w:eastAsia="Arial" w:hAnsi="Arial"/>
          <w:sz w:val="18"/>
          <w:szCs w:val="18"/>
          <w:b w:val="1"/>
          <w:bCs w:val="1"/>
          <w:color w:val="auto"/>
        </w:rPr>
      </w:pPr>
    </w:p>
    <w:p>
      <w:pPr>
        <w:ind w:left="460" w:right="3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April 30, 2011 the Leverage Ratio was less than 75% and greater than 65%. Accordingly, from that date (i) interest margin paid on borrowings was 3.00% (ii) repayments of borrowings were fixed at $10,000 per quarter, and (iii) the Company was able to make dividend payments to common shareholders. On this basis, further repayments of $10,000 were made on both June 30, 2011 and September 30, 2011.</w:t>
      </w:r>
    </w:p>
    <w:p>
      <w:pPr>
        <w:spacing w:after="0" w:line="10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quarterly repayments of borrowings to be made in an amount equal to free cash in excess of $20,000 determined as at the previous month end subject to a minimum of $40,000 repayment a year on a rolling 12 month trailing basis, and (iii) the Company was unable to make dividend payments to common shareholders. On this basis, repayments were made of $15,341 on December 31, 2011 and $11,788 on March 30, 2012.</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274" w:right="279" w:bottom="1440" w:gutter="0" w:footer="0" w:header="0"/>
        </w:sectPr>
      </w:pPr>
    </w:p>
    <w:bookmarkStart w:id="22" w:name="page23"/>
    <w:bookmarkEnd w:id="22"/>
    <w:p>
      <w:pPr>
        <w:ind w:left="48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45"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163" w:lineRule="exact"/>
        <w:rPr>
          <w:rFonts w:ascii="Arial" w:cs="Arial" w:eastAsia="Arial" w:hAnsi="Arial"/>
          <w:sz w:val="18"/>
          <w:szCs w:val="18"/>
          <w:b w:val="1"/>
          <w:bCs w:val="1"/>
          <w:color w:val="auto"/>
        </w:rPr>
      </w:pPr>
    </w:p>
    <w:p>
      <w:pPr>
        <w:ind w:left="452"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agreed with its lenders on November 13, 2012, to a further two year waiver of the requirement to perform the Leverage Ratio test. Accordingly, the next scheduled test will be December 1, 2014. In this waiver period, the fixed interest margin to be paid over LIBOR is 3.75%, repayments are based on cash flow, as in the previous waiver, and dividends on common shares cannot be paid. As a result of the new waiver, debt cannot be accelerated for the Leverage Ratio during the waiver period and debt estimated to be payable after one year is classified as non-current in the consolidated balance sheets. It was also agreed that all secured vessels will be included in the Leverage Ratio test, whether they are subject to a charter or not. Under the terms of the new waiver, repayments of the credit facility were made of $11,080 on December 31, 2012 and $14,800 on March 28, 2013.</w:t>
      </w:r>
    </w:p>
    <w:p>
      <w:pPr>
        <w:spacing w:after="0" w:line="118"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171" w:lineRule="exact"/>
        <w:rPr>
          <w:rFonts w:ascii="Arial" w:cs="Arial" w:eastAsia="Arial" w:hAnsi="Arial"/>
          <w:sz w:val="18"/>
          <w:szCs w:val="18"/>
          <w:b w:val="1"/>
          <w:bCs w:val="1"/>
          <w:color w:val="auto"/>
        </w:rPr>
      </w:pPr>
    </w:p>
    <w:p>
      <w:pPr>
        <w:ind w:left="452"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Company, along with all of its subsidiaries, is jointly and severally liable for the total amount of the outstanding credit facility.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11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 term debt is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March 31,</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61"/>
        </w:trPr>
        <w:tc>
          <w:tcPr>
            <w:tcW w:w="5220" w:type="dxa"/>
            <w:vAlign w:val="bottom"/>
          </w:tcPr>
          <w:p>
            <w:pPr>
              <w:spacing w:after="0"/>
              <w:rPr>
                <w:sz w:val="14"/>
                <w:szCs w:val="14"/>
                <w:color w:val="auto"/>
              </w:rPr>
            </w:pPr>
          </w:p>
        </w:tc>
        <w:tc>
          <w:tcPr>
            <w:tcW w:w="20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r>
      <w:tr>
        <w:trPr>
          <w:trHeight w:val="210"/>
        </w:trPr>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 at US Dollar LIBOR + 3.50% to 3.75%</w:t>
            </w:r>
          </w:p>
        </w:tc>
        <w:tc>
          <w:tcPr>
            <w:tcW w:w="1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$410,876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425,676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Less current instalments of long term debt</w:t>
            </w:r>
          </w:p>
        </w:tc>
        <w:tc>
          <w:tcPr>
            <w:tcW w:w="13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(50,572)</w:t>
            </w:r>
          </w:p>
        </w:tc>
      </w:tr>
      <w:tr>
        <w:trPr>
          <w:trHeight w:val="27"/>
        </w:trPr>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357,716</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375,104</w:t>
            </w:r>
          </w:p>
        </w:tc>
        <w:tc>
          <w:tcPr>
            <w:tcW w:w="12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20"/>
        <w:spacing w:after="0" w:line="306" w:lineRule="auto"/>
        <w:rPr>
          <w:sz w:val="20"/>
          <w:szCs w:val="20"/>
          <w:color w:val="auto"/>
        </w:rPr>
      </w:pPr>
      <w:r>
        <w:rPr>
          <w:rFonts w:ascii="Arial" w:cs="Arial" w:eastAsia="Arial" w:hAnsi="Arial"/>
          <w:sz w:val="16"/>
          <w:szCs w:val="16"/>
          <w:color w:val="auto"/>
        </w:rPr>
        <w:t>Based on (i) management’s reasonable estimate of cash flows from April 1, 2013 and (ii) the waiver of the requirement to test the Leverage Ratio until December 1, 2014 at which point it is assumed to be less than 75% meaning that the Company will be able to comply with the leverage ratio covenant at its next measurement date, the estimated repayments in each of the relevant periods are as follows:</w:t>
      </w:r>
    </w:p>
    <w:p>
      <w:pPr>
        <w:spacing w:after="0" w:line="141" w:lineRule="exact"/>
        <w:rPr>
          <w:sz w:val="20"/>
          <w:szCs w:val="20"/>
          <w:color w:val="auto"/>
        </w:rPr>
      </w:pPr>
    </w:p>
    <w:tbl>
      <w:tblPr>
        <w:tblLayout w:type="fixed"/>
        <w:tblInd w:w="1832" w:type="dxa"/>
        <w:tblCellMar>
          <w:top w:w="0" w:type="dxa"/>
          <w:left w:w="0" w:type="dxa"/>
          <w:bottom w:w="0" w:type="dxa"/>
          <w:right w:w="0" w:type="dxa"/>
        </w:tblCellMar>
      </w:tblPr>
      <w:tr>
        <w:trPr>
          <w:trHeight w:val="228"/>
        </w:trPr>
        <w:tc>
          <w:tcPr>
            <w:tcW w:w="4340" w:type="dxa"/>
            <w:vAlign w:val="bottom"/>
          </w:tcPr>
          <w:p>
            <w:pPr>
              <w:spacing w:after="0"/>
              <w:rPr>
                <w:sz w:val="20"/>
                <w:szCs w:val="20"/>
                <w:color w:val="auto"/>
              </w:rPr>
            </w:pPr>
            <w:r>
              <w:rPr>
                <w:rFonts w:ascii="Arial" w:cs="Arial" w:eastAsia="Arial" w:hAnsi="Arial"/>
                <w:sz w:val="18"/>
                <w:szCs w:val="18"/>
                <w:b w:val="1"/>
                <w:bCs w:val="1"/>
                <w:color w:val="auto"/>
              </w:rPr>
              <w:t>Year ending March 31,</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53,160</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2015</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2017</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267,816</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410,876</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274" w:right="239" w:bottom="1440" w:gutter="0" w:footer="0" w:header="0"/>
        </w:sectPr>
      </w:pPr>
    </w:p>
    <w:bookmarkStart w:id="23" w:name="page24"/>
    <w:bookmarkEnd w:id="23"/>
    <w:p>
      <w:pPr>
        <w:ind w:left="48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45"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CMA CGM is considered as a related party as it was, until the merger referred to in Note 1, the parent company of Global Ship Lease, Inc. and at March 31, 2013 is a significant shareholder of the Company, owning Class A and Class B common shares representing a 45% voting interest in the Company.</w:t>
      </w:r>
    </w:p>
    <w:p>
      <w:pPr>
        <w:spacing w:after="0" w:line="14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1520" w:type="dxa"/>
            <w:vAlign w:val="bottom"/>
            <w:gridSpan w:val="4"/>
          </w:tcPr>
          <w:p>
            <w:pPr>
              <w:ind w:left="6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1"/>
        </w:trPr>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2013</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due to CMA CGM companies presented within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4,724</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Amounts due from CMA CGM companies presented within assets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8,830</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16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March 31, 2013 and December 31, 2012 relate to amounts payable to or recoverable from CMA CGM group companies.</w:t>
      </w:r>
    </w:p>
    <w:p>
      <w:pPr>
        <w:spacing w:after="0" w:line="85" w:lineRule="exact"/>
        <w:rPr>
          <w:sz w:val="20"/>
          <w:szCs w:val="20"/>
          <w:color w:val="auto"/>
        </w:rPr>
      </w:pPr>
    </w:p>
    <w:p>
      <w:pPr>
        <w:ind w:left="452" w:right="60"/>
        <w:spacing w:after="0" w:line="268" w:lineRule="auto"/>
        <w:rPr>
          <w:sz w:val="20"/>
          <w:szCs w:val="20"/>
          <w:color w:val="auto"/>
        </w:rPr>
      </w:pPr>
      <w:r>
        <w:rPr>
          <w:rFonts w:ascii="Arial" w:cs="Arial" w:eastAsia="Arial" w:hAnsi="Arial"/>
          <w:sz w:val="18"/>
          <w:szCs w:val="18"/>
          <w:color w:val="auto"/>
        </w:rPr>
        <w:t>CMA CGM holds all of the Series A preferred shares of the Company. During the three months to March 31, 2013, the Company incurred costs in respect of dividends on these preferred shares of $259 (2012: $301).</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March 31, 2013 of between 1.10 and 12.75 years (see note 2(a)). All the $1,018,597 maximum contracted future charter hire receivable for the fleet set out in note 8 relates to the 17 ships currently chartered to CMA CGM.</w:t>
      </w:r>
    </w:p>
    <w:p>
      <w:pPr>
        <w:spacing w:after="0" w:line="18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right="20"/>
        <w:spacing w:after="0" w:line="255" w:lineRule="auto"/>
        <w:rPr>
          <w:sz w:val="20"/>
          <w:szCs w:val="20"/>
          <w:color w:val="auto"/>
        </w:rPr>
      </w:pPr>
      <w:r>
        <w:rPr>
          <w:rFonts w:ascii="Arial" w:cs="Arial" w:eastAsia="Arial" w:hAnsi="Arial"/>
          <w:sz w:val="18"/>
          <w:szCs w:val="18"/>
          <w:color w:val="auto"/>
        </w:rPr>
        <w:t>The Company outsources day to day technical management of its 17 vessels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ended March 31, 2013 amounted to $485 (2012: $485).</w:t>
      </w:r>
    </w:p>
    <w:p>
      <w:pPr>
        <w:spacing w:after="0" w:line="14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52"/>
          </w:cols>
          <w:pgMar w:left="248" w:top="274" w:right="299" w:bottom="1440" w:gutter="0" w:footer="0" w:header="0"/>
        </w:sectPr>
      </w:pPr>
    </w:p>
    <w:bookmarkStart w:id="24" w:name="page25"/>
    <w:bookmarkEnd w:id="24"/>
    <w:p>
      <w:pPr>
        <w:ind w:left="48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share data)</w:t>
      </w:r>
    </w:p>
    <w:p>
      <w:pPr>
        <w:spacing w:after="0" w:line="145" w:lineRule="exact"/>
        <w:rPr>
          <w:sz w:val="20"/>
          <w:szCs w:val="20"/>
          <w:color w:val="auto"/>
        </w:rPr>
      </w:pPr>
    </w:p>
    <w:p>
      <w:pPr>
        <w:ind w:left="452" w:right="8460" w:hanging="452"/>
        <w:spacing w:after="0" w:line="417" w:lineRule="auto"/>
        <w:tabs>
          <w:tab w:leader="none" w:pos="441"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Charter Hire Receivable</w:t>
      </w:r>
    </w:p>
    <w:p>
      <w:pPr>
        <w:ind w:left="452"/>
        <w:spacing w:after="0" w:line="286" w:lineRule="auto"/>
        <w:rPr>
          <w:rFonts w:ascii="Arial" w:cs="Arial" w:eastAsia="Arial" w:hAnsi="Arial"/>
          <w:sz w:val="15"/>
          <w:szCs w:val="15"/>
          <w:b w:val="1"/>
          <w:bCs w:val="1"/>
          <w:color w:val="auto"/>
        </w:rPr>
      </w:pPr>
      <w:r>
        <w:rPr>
          <w:rFonts w:ascii="Arial" w:cs="Arial" w:eastAsia="Arial" w:hAnsi="Arial"/>
          <w:sz w:val="16"/>
          <w:szCs w:val="16"/>
          <w:color w:val="auto"/>
        </w:rPr>
        <w:t>The Company has entered into time charters for all of its vessels. The charter hire is fixed for the duration of the charter. The maximum contracted future charter hire receivable (not allowing for any offhire) for the fleet of 17 vessels as at March 31, 2013, including the two replacement charters agreed in April</w:t>
      </w:r>
    </w:p>
    <w:p>
      <w:pPr>
        <w:ind w:left="452"/>
        <w:spacing w:after="0"/>
        <w:rPr>
          <w:rFonts w:ascii="Arial" w:cs="Arial" w:eastAsia="Arial" w:hAnsi="Arial"/>
          <w:sz w:val="15"/>
          <w:szCs w:val="15"/>
          <w:b w:val="1"/>
          <w:bCs w:val="1"/>
          <w:color w:val="auto"/>
        </w:rPr>
      </w:pPr>
      <w:r>
        <w:rPr>
          <w:rFonts w:ascii="Arial" w:cs="Arial" w:eastAsia="Arial" w:hAnsi="Arial"/>
          <w:sz w:val="18"/>
          <w:szCs w:val="18"/>
          <w:color w:val="auto"/>
        </w:rPr>
        <w:t>2013 as referred to in note 2(a), is as follows:</w:t>
      </w:r>
    </w:p>
    <w:p>
      <w:pPr>
        <w:spacing w:after="0" w:line="188"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Fleet as at</w:t>
            </w:r>
          </w:p>
        </w:tc>
      </w:tr>
      <w:tr>
        <w:trPr>
          <w:trHeight w:val="149"/>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68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ending March 31,</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141,239</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136,372</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136,324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127,993</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101,163</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375,506</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1,018,597</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March 31, 2013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59" w:lineRule="exact"/>
        <w:rPr>
          <w:rFonts w:ascii="Arial" w:cs="Arial" w:eastAsia="Arial" w:hAnsi="Arial"/>
          <w:sz w:val="18"/>
          <w:szCs w:val="18"/>
          <w:b w:val="1"/>
          <w:bCs w:val="1"/>
          <w:color w:val="auto"/>
        </w:rPr>
      </w:pPr>
    </w:p>
    <w:p>
      <w:pPr>
        <w:ind w:left="1472" w:hanging="446"/>
        <w:spacing w:after="0"/>
        <w:tabs>
          <w:tab w:leader="none" w:pos="14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90" w:lineRule="exact"/>
        <w:rPr>
          <w:rFonts w:ascii="Arial" w:cs="Arial" w:eastAsia="Arial" w:hAnsi="Arial"/>
          <w:sz w:val="18"/>
          <w:szCs w:val="18"/>
          <w:color w:val="auto"/>
        </w:rPr>
      </w:pPr>
    </w:p>
    <w:p>
      <w:pPr>
        <w:ind w:left="1472" w:hanging="446"/>
        <w:spacing w:after="0"/>
        <w:tabs>
          <w:tab w:leader="none" w:pos="1472" w:val="left"/>
        </w:tabs>
        <w:numPr>
          <w:ilvl w:val="1"/>
          <w:numId w:val="17"/>
        </w:numPr>
        <w:rPr>
          <w:rFonts w:ascii="Arial" w:cs="Arial" w:eastAsia="Arial" w:hAnsi="Arial"/>
          <w:sz w:val="15"/>
          <w:szCs w:val="15"/>
          <w:color w:val="auto"/>
        </w:rPr>
      </w:pPr>
      <w:r>
        <w:rPr>
          <w:rFonts w:ascii="Arial" w:cs="Arial" w:eastAsia="Arial" w:hAnsi="Arial"/>
          <w:sz w:val="15"/>
          <w:szCs w:val="15"/>
          <w:color w:val="auto"/>
        </w:rPr>
        <w:t>secondly, to all Class A common shares until they have received payment for all preceding quarters at the rate of $0.23 per share per quarter;</w:t>
      </w:r>
    </w:p>
    <w:p>
      <w:pPr>
        <w:spacing w:after="0" w:line="124" w:lineRule="exact"/>
        <w:rPr>
          <w:rFonts w:ascii="Arial" w:cs="Arial" w:eastAsia="Arial" w:hAnsi="Arial"/>
          <w:sz w:val="15"/>
          <w:szCs w:val="15"/>
          <w:color w:val="auto"/>
        </w:rPr>
      </w:pPr>
    </w:p>
    <w:p>
      <w:pPr>
        <w:ind w:left="1472" w:hanging="446"/>
        <w:spacing w:after="0"/>
        <w:tabs>
          <w:tab w:leader="none" w:pos="14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90" w:lineRule="exact"/>
        <w:rPr>
          <w:rFonts w:ascii="Arial" w:cs="Arial" w:eastAsia="Arial" w:hAnsi="Arial"/>
          <w:sz w:val="18"/>
          <w:szCs w:val="18"/>
          <w:color w:val="auto"/>
        </w:rPr>
      </w:pPr>
    </w:p>
    <w:p>
      <w:pPr>
        <w:ind w:left="1472" w:hanging="446"/>
        <w:spacing w:after="0"/>
        <w:tabs>
          <w:tab w:leader="none" w:pos="14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171"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120" w:lineRule="exact"/>
        <w:rPr>
          <w:sz w:val="20"/>
          <w:szCs w:val="20"/>
          <w:color w:val="auto"/>
        </w:rPr>
      </w:pPr>
    </w:p>
    <w:p>
      <w:pPr>
        <w:ind w:left="452" w:right="680"/>
        <w:spacing w:after="0" w:line="268" w:lineRule="auto"/>
        <w:rPr>
          <w:sz w:val="20"/>
          <w:szCs w:val="20"/>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132" w:lineRule="exact"/>
        <w:rPr>
          <w:sz w:val="20"/>
          <w:szCs w:val="20"/>
          <w:color w:val="auto"/>
        </w:rPr>
      </w:pPr>
    </w:p>
    <w:p>
      <w:pPr>
        <w:ind w:left="452"/>
        <w:spacing w:after="0"/>
        <w:rPr>
          <w:sz w:val="20"/>
          <w:szCs w:val="20"/>
          <w:color w:val="auto"/>
        </w:rPr>
      </w:pPr>
      <w:r>
        <w:rPr>
          <w:rFonts w:ascii="Arial" w:cs="Arial" w:eastAsia="Arial" w:hAnsi="Arial"/>
          <w:sz w:val="15"/>
          <w:szCs w:val="15"/>
          <w:color w:val="auto"/>
        </w:rPr>
        <w:t>The Series A preferred shares rank senior to the common shares and are mandatorily redeemable in 12 quarterly instalments commencing August 31, 2016.</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They are classified as a long-term liability. The dividend that preferred shareholders are entitled to is presented as part of interest expense.</w:t>
      </w:r>
    </w:p>
    <w:p>
      <w:pPr>
        <w:spacing w:after="0" w:line="188" w:lineRule="exact"/>
        <w:rPr>
          <w:sz w:val="20"/>
          <w:szCs w:val="20"/>
          <w:color w:val="auto"/>
        </w:rPr>
      </w:pPr>
    </w:p>
    <w:p>
      <w:pPr>
        <w:ind w:left="452" w:right="380"/>
        <w:spacing w:after="0" w:line="268" w:lineRule="auto"/>
        <w:rPr>
          <w:sz w:val="20"/>
          <w:szCs w:val="20"/>
          <w:color w:val="auto"/>
        </w:rPr>
      </w:pPr>
      <w:r>
        <w:rPr>
          <w:rFonts w:ascii="Arial" w:cs="Arial" w:eastAsia="Arial" w:hAnsi="Arial"/>
          <w:sz w:val="18"/>
          <w:szCs w:val="18"/>
          <w:color w:val="auto"/>
        </w:rPr>
        <w:t>There are 6,188,088 Class A Warrants outstanding which expire on September 1, 2013 and give the holders the right to purchase one Class A common share at a price of $9.25.</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92"/>
          </w:cols>
          <w:pgMar w:left="248" w:top="274" w:right="259" w:bottom="1440" w:gutter="0" w:footer="0" w:header="0"/>
        </w:sectPr>
      </w:pPr>
    </w:p>
    <w:bookmarkStart w:id="25" w:name="page26"/>
    <w:bookmarkEnd w:id="25"/>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4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60" w:right="1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As of March 31, 2013 a total of $327,000 of these interest rate swap agreements were in place, at a weighted average rate of 3.74%. An additional $253,000 of swaps, all at a fixed rate of 3.40% expired on March 18, 2013. These interest rate swap agreements are secured by first priority mortgages on each of the Company’s 17 vessels and rank secondary to the long-term debt (see note 6).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statements of cash flows.</w:t>
      </w:r>
    </w:p>
    <w:p>
      <w:pPr>
        <w:spacing w:after="0" w:line="37" w:lineRule="exact"/>
        <w:rPr>
          <w:rFonts w:ascii="Arial" w:cs="Arial" w:eastAsia="Arial" w:hAnsi="Arial"/>
          <w:sz w:val="18"/>
          <w:szCs w:val="18"/>
          <w:b w:val="1"/>
          <w:bCs w:val="1"/>
          <w:color w:val="auto"/>
        </w:rPr>
      </w:pPr>
    </w:p>
    <w:p>
      <w:pPr>
        <w:jc w:val="both"/>
        <w:ind w:left="460" w:right="1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Realized gains or losses from interest rate derivatives are recognized in the consolidated statements of income. In addition, the interest rate derivatives are “marked to market” at each reporting period end and are recorded at fair values. This generates unrealized gains or losses. The unrealized gain on interest rate derivatives for the three months ended March 31, 2013 was $5,453 (2012: unrealized gain of $2,676).</w:t>
      </w:r>
    </w:p>
    <w:p>
      <w:pPr>
        <w:spacing w:after="0" w:line="2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Derivative instruments held by the Company are categorized as level 2 in the fair value hierarchy. As at March 31, 2013, these derivatives represented a liability of $30,138 (December 31, 2012: $35,591). Within the consolidated balance sheets, there are no offsets of recognized assets or liabilities related to these derivatives.</w:t>
      </w:r>
    </w:p>
    <w:p>
      <w:pPr>
        <w:spacing w:after="0" w:line="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377"/>
              <w:spacing w:after="0"/>
              <w:rPr>
                <w:sz w:val="20"/>
                <w:szCs w:val="20"/>
                <w:color w:val="auto"/>
              </w:rPr>
            </w:pPr>
            <w:r>
              <w:rPr>
                <w:rFonts w:ascii="Arial" w:cs="Arial" w:eastAsia="Arial" w:hAnsi="Arial"/>
                <w:sz w:val="14"/>
                <w:szCs w:val="14"/>
                <w:b w:val="1"/>
                <w:bCs w:val="1"/>
                <w:color w:val="auto"/>
              </w:rPr>
              <w:t>Restricted Stock Units</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40" w:type="dxa"/>
            <w:vAlign w:val="bottom"/>
            <w:gridSpan w:val="4"/>
            <w:vMerge w:val="restart"/>
          </w:tcPr>
          <w:p>
            <w:pPr>
              <w:jc w:val="right"/>
              <w:ind w:right="840"/>
              <w:spacing w:after="0"/>
              <w:rPr>
                <w:sz w:val="20"/>
                <w:szCs w:val="20"/>
                <w:color w:val="auto"/>
              </w:rPr>
            </w:pPr>
            <w:r>
              <w:rPr>
                <w:rFonts w:ascii="Arial" w:cs="Arial" w:eastAsia="Arial" w:hAnsi="Arial"/>
                <w:sz w:val="14"/>
                <w:szCs w:val="14"/>
                <w:color w:val="auto"/>
              </w:rPr>
              <w:t>Number of Units</w:t>
            </w:r>
          </w:p>
        </w:tc>
        <w:tc>
          <w:tcPr>
            <w:tcW w:w="128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Weighted Average</w:t>
            </w:r>
          </w:p>
        </w:tc>
        <w:tc>
          <w:tcPr>
            <w:tcW w:w="600" w:type="dxa"/>
            <w:vAlign w:val="bottom"/>
          </w:tcPr>
          <w:p>
            <w:pPr>
              <w:spacing w:after="0"/>
              <w:rPr>
                <w:sz w:val="11"/>
                <w:szCs w:val="11"/>
                <w:color w:val="auto"/>
              </w:rPr>
            </w:pPr>
          </w:p>
        </w:tc>
        <w:tc>
          <w:tcPr>
            <w:tcW w:w="720" w:type="dxa"/>
            <w:vAlign w:val="bottom"/>
          </w:tcPr>
          <w:p>
            <w:pPr>
              <w:jc w:val="right"/>
              <w:ind w:right="98"/>
              <w:spacing w:after="0" w:line="131" w:lineRule="exact"/>
              <w:rPr>
                <w:sz w:val="20"/>
                <w:szCs w:val="20"/>
                <w:color w:val="auto"/>
              </w:rPr>
            </w:pPr>
            <w:r>
              <w:rPr>
                <w:rFonts w:ascii="Arial" w:cs="Arial" w:eastAsia="Arial" w:hAnsi="Arial"/>
                <w:sz w:val="14"/>
                <w:szCs w:val="14"/>
                <w:color w:val="auto"/>
              </w:rPr>
              <w:t>Actual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restart"/>
          </w:tcPr>
          <w:p>
            <w:pPr>
              <w:jc w:val="right"/>
              <w:ind w:right="57"/>
              <w:spacing w:after="0" w:line="149" w:lineRule="exact"/>
              <w:rPr>
                <w:sz w:val="20"/>
                <w:szCs w:val="20"/>
                <w:color w:val="auto"/>
              </w:rPr>
            </w:pPr>
            <w:r>
              <w:rPr>
                <w:rFonts w:ascii="Arial" w:cs="Arial" w:eastAsia="Arial" w:hAnsi="Arial"/>
                <w:sz w:val="14"/>
                <w:szCs w:val="14"/>
                <w:color w:val="auto"/>
                <w:w w:val="88"/>
              </w:rPr>
              <w:t>Fair Value on</w:t>
            </w:r>
          </w:p>
        </w:tc>
        <w:tc>
          <w:tcPr>
            <w:tcW w:w="1420" w:type="dxa"/>
            <w:vAlign w:val="bottom"/>
            <w:gridSpan w:val="3"/>
            <w:vMerge w:val="restart"/>
          </w:tcPr>
          <w:p>
            <w:pPr>
              <w:jc w:val="right"/>
              <w:ind w:right="100"/>
              <w:spacing w:after="0" w:line="149" w:lineRule="exact"/>
              <w:rPr>
                <w:sz w:val="20"/>
                <w:szCs w:val="20"/>
                <w:color w:val="auto"/>
              </w:rPr>
            </w:pPr>
            <w:r>
              <w:rPr>
                <w:rFonts w:ascii="Arial" w:cs="Arial" w:eastAsia="Arial" w:hAnsi="Arial"/>
                <w:sz w:val="14"/>
                <w:szCs w:val="14"/>
                <w:color w:val="auto"/>
              </w:rPr>
              <w:t>Fair Value on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Management</w:t>
            </w:r>
          </w:p>
        </w:tc>
        <w:tc>
          <w:tcPr>
            <w:tcW w:w="600" w:type="dxa"/>
            <w:vAlign w:val="bottom"/>
          </w:tcPr>
          <w:p>
            <w:pPr>
              <w:spacing w:after="0"/>
              <w:rPr>
                <w:sz w:val="13"/>
                <w:szCs w:val="13"/>
                <w:color w:val="auto"/>
              </w:rPr>
            </w:pP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6"/>
              </w:rPr>
              <w:t>Directors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37"/>
              <w:spacing w:after="0" w:line="159" w:lineRule="exact"/>
              <w:rPr>
                <w:sz w:val="20"/>
                <w:szCs w:val="20"/>
                <w:color w:val="auto"/>
              </w:rPr>
            </w:pPr>
            <w:r>
              <w:rPr>
                <w:rFonts w:ascii="Arial" w:cs="Arial" w:eastAsia="Arial" w:hAnsi="Arial"/>
                <w:sz w:val="14"/>
                <w:szCs w:val="14"/>
                <w:color w:val="auto"/>
                <w:w w:val="96"/>
              </w:rPr>
              <w:t>Grant Date</w:t>
            </w:r>
          </w:p>
        </w:tc>
        <w:tc>
          <w:tcPr>
            <w:tcW w:w="60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4"/>
              </w:rPr>
              <w:t>Vesting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2012</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17,886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Vested in January 2012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(17,886)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2012</w:t>
            </w:r>
          </w:p>
        </w:tc>
        <w:tc>
          <w:tcPr>
            <w:tcW w:w="6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6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6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Granted on March 7, 2013</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6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March 31, 2013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27,550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Using the graded vesting method of expensing the restricted stock unit grants, the calculated weighted average fair value of the stock units is recognized as compensation cost in the consolidated statements of income over the vesting period. During the three months ended March 31, 2013, the Company recognized a total of $83 (2012: $113) share based compensation costs. As at March 31, 2013, there was a total of $529 unrecognized compensation cost relating to the above share based awards (December 31, 2012: $260). The remaining cost is expected to be recognized over a period of 18 months.</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restricted stock units granted to Directors on March 17, 2011 and March 13, 2012 vested in January 2012 and January 2013 respectively. The restricted stock units granted to Directors on March 7, 2013 will vest in January 2014.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274" w:right="259" w:bottom="1440" w:gutter="0" w:footer="0" w:header="0"/>
        </w:sectPr>
      </w:pPr>
    </w:p>
    <w:bookmarkStart w:id="26" w:name="page27"/>
    <w:bookmarkEnd w:id="26"/>
    <w:p>
      <w:pPr>
        <w:ind w:left="48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ind w:left="2752"/>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45"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(continued)</w:t>
      </w:r>
    </w:p>
    <w:p>
      <w:pPr>
        <w:spacing w:after="0" w:line="163" w:lineRule="exact"/>
        <w:rPr>
          <w:rFonts w:ascii="Arial" w:cs="Arial" w:eastAsia="Arial" w:hAnsi="Arial"/>
          <w:sz w:val="18"/>
          <w:szCs w:val="18"/>
          <w:b w:val="1"/>
          <w:bCs w:val="1"/>
          <w:color w:val="auto"/>
        </w:rPr>
      </w:pPr>
    </w:p>
    <w:p>
      <w:pPr>
        <w:ind w:left="45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233"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131"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ended March 31, 2013, no dividend was declared (2012: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120"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140" w:lineRule="exact"/>
        <w:rPr>
          <w:rFonts w:ascii="Arial" w:cs="Arial" w:eastAsia="Arial" w:hAnsi="Arial"/>
          <w:sz w:val="18"/>
          <w:szCs w:val="18"/>
          <w:b w:val="1"/>
          <w:bCs w:val="1"/>
          <w:color w:val="auto"/>
        </w:rPr>
      </w:pPr>
    </w:p>
    <w:p>
      <w:pPr>
        <w:ind w:left="45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March 31, 2013, there were 6,188,088 Class A Warrants to purchase Class A common shares at an exercise price of $9.25 outstanding which are due to expire on September 1, 2013. In addition, there were 327,550 restricted stock units granted and unvested as part of management’s equity incentive plan and as part of the Directors’ compensation for 2013. As of March 31, 2013 only Class A and B common shares are participating securities.</w:t>
      </w:r>
    </w:p>
    <w:p>
      <w:pPr>
        <w:spacing w:after="0" w:line="106" w:lineRule="exact"/>
        <w:rPr>
          <w:rFonts w:ascii="Arial" w:cs="Arial" w:eastAsia="Arial" w:hAnsi="Arial"/>
          <w:sz w:val="18"/>
          <w:szCs w:val="18"/>
          <w:b w:val="1"/>
          <w:bCs w:val="1"/>
          <w:color w:val="auto"/>
        </w:rPr>
      </w:pPr>
    </w:p>
    <w:p>
      <w:pPr>
        <w:ind w:left="452" w:right="2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2013, the diluted weighted average number of shares includes the incremental effect of outstanding stock based incentive awards but excludes the effect of outstanding warrants as these were antidilutive. For the three months ended March 31, 2012,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had an antidilutive effect.</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72"/>
          </w:cols>
          <w:pgMar w:left="248" w:top="274" w:right="2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tcPr>
          <w:p>
            <w:pPr>
              <w:jc w:val="center"/>
              <w:ind w:left="2232"/>
              <w:spacing w:after="0"/>
              <w:rPr>
                <w:sz w:val="20"/>
                <w:szCs w:val="20"/>
                <w:color w:val="auto"/>
              </w:rPr>
            </w:pPr>
            <w:r>
              <w:rPr>
                <w:rFonts w:ascii="Arial" w:cs="Arial" w:eastAsia="Arial" w:hAnsi="Arial"/>
                <w:sz w:val="18"/>
                <w:szCs w:val="18"/>
                <w:b w:val="1"/>
                <w:bCs w:val="1"/>
                <w:color w:val="auto"/>
                <w:w w:val="88"/>
              </w:rPr>
              <w:t>Global Ship Lease, Inc.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jc w:val="center"/>
              <w:ind w:left="2232"/>
              <w:spacing w:after="0"/>
              <w:rPr>
                <w:sz w:val="20"/>
                <w:szCs w:val="20"/>
                <w:color w:val="auto"/>
              </w:rPr>
            </w:pPr>
            <w:r>
              <w:rPr>
                <w:rFonts w:ascii="Arial" w:cs="Arial" w:eastAsia="Arial" w:hAnsi="Arial"/>
                <w:sz w:val="18"/>
                <w:szCs w:val="18"/>
                <w:b w:val="1"/>
                <w:bCs w:val="1"/>
                <w:color w:val="auto"/>
                <w:w w:val="88"/>
              </w:rPr>
              <w:t>Notes to the Interim Unaudited Consolidated Financial Statements (continued)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tcPr>
          <w:p>
            <w:pPr>
              <w:jc w:val="center"/>
              <w:ind w:left="2252"/>
              <w:spacing w:after="0"/>
              <w:rPr>
                <w:sz w:val="20"/>
                <w:szCs w:val="20"/>
                <w:color w:val="auto"/>
              </w:rPr>
            </w:pPr>
            <w:r>
              <w:rPr>
                <w:rFonts w:ascii="Arial" w:cs="Arial" w:eastAsia="Arial" w:hAnsi="Arial"/>
                <w:sz w:val="18"/>
                <w:szCs w:val="18"/>
                <w:color w:val="auto"/>
                <w:w w:val="86"/>
              </w:rPr>
              <w:t>(Expressed in thousands of U.S. dollars except share data)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8420" w:type="dxa"/>
            <w:vAlign w:val="bottom"/>
          </w:tcPr>
          <w:p>
            <w:pPr>
              <w:ind w:left="120"/>
              <w:spacing w:after="0"/>
              <w:rPr>
                <w:sz w:val="20"/>
                <w:szCs w:val="20"/>
                <w:color w:val="auto"/>
              </w:rPr>
            </w:pPr>
            <w:r>
              <w:rPr>
                <w:rFonts w:ascii="Arial" w:cs="Arial" w:eastAsia="Arial" w:hAnsi="Arial"/>
                <w:sz w:val="18"/>
                <w:szCs w:val="18"/>
                <w:b w:val="1"/>
                <w:bCs w:val="1"/>
                <w:color w:val="auto"/>
              </w:rPr>
              <w:t>Earnings per Share (continued)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7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share data)</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Class A common shares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47,513,578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47,481,471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760" w:type="dxa"/>
            <w:vAlign w:val="bottom"/>
            <w:gridSpan w:val="3"/>
          </w:tcPr>
          <w:p>
            <w:pPr>
              <w:spacing w:after="0"/>
              <w:rPr>
                <w:sz w:val="20"/>
                <w:szCs w:val="20"/>
                <w:color w:val="auto"/>
              </w:rPr>
            </w:pPr>
            <w:r>
              <w:rPr>
                <w:rFonts w:ascii="Arial" w:cs="Arial" w:eastAsia="Arial" w:hAnsi="Arial"/>
                <w:sz w:val="18"/>
                <w:szCs w:val="18"/>
                <w:color w:val="auto"/>
              </w:rPr>
              <w:t>Common shares and common share equivalents (F)</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47,622,651</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47,481,471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760" w:type="dxa"/>
            <w:vAlign w:val="bottom"/>
            <w:gridSpan w:val="3"/>
          </w:tcPr>
          <w:p>
            <w:pPr>
              <w:spacing w:after="0"/>
              <w:rPr>
                <w:sz w:val="20"/>
                <w:szCs w:val="20"/>
                <w:color w:val="auto"/>
              </w:rPr>
            </w:pPr>
            <w:r>
              <w:rPr>
                <w:rFonts w:ascii="Arial" w:cs="Arial" w:eastAsia="Arial" w:hAnsi="Arial"/>
                <w:sz w:val="18"/>
                <w:szCs w:val="18"/>
                <w:color w:val="auto"/>
              </w:rPr>
              <w:t>Common shares (H)</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7,405,956</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Net income available to shareholders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to:</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 Class A shareholders for period</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 Class B shareholders for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760" w:type="dxa"/>
            <w:vAlign w:val="bottom"/>
            <w:gridSpan w:val="3"/>
          </w:tcPr>
          <w:p>
            <w:pPr>
              <w:spacing w:after="0"/>
              <w:rPr>
                <w:sz w:val="20"/>
                <w:szCs w:val="20"/>
                <w:color w:val="auto"/>
              </w:rPr>
            </w:pPr>
            <w:r>
              <w:rPr>
                <w:rFonts w:ascii="Arial" w:cs="Arial" w:eastAsia="Arial" w:hAnsi="Arial"/>
                <w:sz w:val="18"/>
                <w:szCs w:val="18"/>
                <w:color w:val="auto"/>
              </w:rPr>
              <w:t>Net income available for Class A (A)</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76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(A/B)</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rPr>
              <w:t>Class B (C/D)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Net income available to shareholders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to:</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 Class A shareholders for period</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 Class B shareholders for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760" w:type="dxa"/>
            <w:vAlign w:val="bottom"/>
            <w:gridSpan w:val="3"/>
          </w:tcPr>
          <w:p>
            <w:pPr>
              <w:spacing w:after="0"/>
              <w:rPr>
                <w:sz w:val="20"/>
                <w:szCs w:val="20"/>
                <w:color w:val="auto"/>
              </w:rPr>
            </w:pPr>
            <w:r>
              <w:rPr>
                <w:rFonts w:ascii="Arial" w:cs="Arial" w:eastAsia="Arial" w:hAnsi="Arial"/>
                <w:sz w:val="18"/>
                <w:szCs w:val="18"/>
                <w:color w:val="auto"/>
              </w:rPr>
              <w:t>Net income available for Class A (E)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76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(E/F)</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tcPr>
          <w:p>
            <w:pPr>
              <w:ind w:left="100"/>
              <w:spacing w:after="0"/>
              <w:rPr>
                <w:sz w:val="20"/>
                <w:szCs w:val="20"/>
                <w:color w:val="auto"/>
              </w:rPr>
            </w:pPr>
            <w:r>
              <w:rPr>
                <w:rFonts w:ascii="Arial" w:cs="Arial" w:eastAsia="Arial" w:hAnsi="Arial"/>
                <w:sz w:val="18"/>
                <w:szCs w:val="18"/>
                <w:color w:val="auto"/>
              </w:rPr>
              <w:t>Class B (G/H)</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91"/>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8420" w:type="dxa"/>
            <w:vAlign w:val="bottom"/>
          </w:tcPr>
          <w:p>
            <w:pPr>
              <w:ind w:left="120"/>
              <w:spacing w:after="0"/>
              <w:rPr>
                <w:sz w:val="20"/>
                <w:szCs w:val="20"/>
                <w:color w:val="auto"/>
              </w:rPr>
            </w:pPr>
            <w:r>
              <w:rPr>
                <w:rFonts w:ascii="Arial" w:cs="Arial" w:eastAsia="Arial" w:hAnsi="Arial"/>
                <w:sz w:val="18"/>
                <w:szCs w:val="18"/>
                <w:b w:val="1"/>
                <w:bCs w:val="1"/>
                <w:color w:val="auto"/>
              </w:rPr>
              <w:t>Subsequent Events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ind w:left="120"/>
              <w:spacing w:after="0"/>
              <w:rPr>
                <w:sz w:val="20"/>
                <w:szCs w:val="20"/>
                <w:color w:val="auto"/>
              </w:rPr>
            </w:pPr>
            <w:r>
              <w:rPr>
                <w:rFonts w:ascii="Arial" w:cs="Arial" w:eastAsia="Arial" w:hAnsi="Arial"/>
                <w:sz w:val="18"/>
                <w:szCs w:val="18"/>
                <w:color w:val="auto"/>
                <w:w w:val="91"/>
              </w:rPr>
              <w:t>There are no subsequent events other than those disclosed elsewhere in these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jc w:val="center"/>
              <w:ind w:left="2252"/>
              <w:spacing w:after="0"/>
              <w:rPr>
                <w:sz w:val="20"/>
                <w:szCs w:val="20"/>
                <w:color w:val="auto"/>
              </w:rPr>
            </w:pPr>
            <w:r>
              <w:rPr>
                <w:rFonts w:ascii="Arial" w:cs="Arial" w:eastAsia="Arial" w:hAnsi="Arial"/>
                <w:sz w:val="18"/>
                <w:szCs w:val="18"/>
                <w:color w:val="auto"/>
                <w:w w:val="83"/>
              </w:rPr>
              <w:t>Page 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lvl w:ilvl="1">
      <w:lvlJc w:val="left"/>
      <w:lvlText w:val="(%2)"/>
      <w:numFmt w:val="low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lvl w:ilvl="1">
      <w:lvlJc w:val="left"/>
      <w:lvlText w:val="(%2)"/>
      <w:numFmt w:val="lowerLetter"/>
      <w:start w:val="2"/>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lowerRoman"/>
      <w:start w:val="2"/>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4"/>
    </w:lvl>
  </w:abstractNum>
  <w:abstractNum w:abstractNumId="12">
    <w:nsid w:val="6B68079A"/>
    <w:multiLevelType w:val="hybridMultilevel"/>
    <w:lvl w:ilvl="0">
      <w:lvlJc w:val="left"/>
      <w:lvlText w:val="%1."/>
      <w:numFmt w:val="decimal"/>
      <w:start w:val="6"/>
    </w:lvl>
  </w:abstractNum>
  <w:abstractNum w:abstractNumId="13">
    <w:nsid w:val="4E6AFB66"/>
    <w:multiLevelType w:val="hybridMultilevel"/>
    <w:lvl w:ilvl="0">
      <w:lvlJc w:val="left"/>
      <w:lvlText w:val="%1."/>
      <w:numFmt w:val="decimal"/>
      <w:start w:val="6"/>
    </w:lvl>
  </w:abstractNum>
  <w:abstractNum w:abstractNumId="14">
    <w:nsid w:val="25E45D32"/>
    <w:multiLevelType w:val="hybridMultilevel"/>
    <w:lvl w:ilvl="0">
      <w:lvlJc w:val="left"/>
      <w:lvlText w:val="%1."/>
      <w:numFmt w:val="decimal"/>
      <w:start w:val="7"/>
    </w:lvl>
  </w:abstractNum>
  <w:abstractNum w:abstractNumId="15">
    <w:nsid w:val="519B500D"/>
    <w:multiLevelType w:val="hybridMultilevel"/>
    <w:lvl w:ilvl="0">
      <w:lvlJc w:val="left"/>
      <w:lvlText w:val="%1."/>
      <w:numFmt w:val="decimal"/>
      <w:start w:val="8"/>
    </w:lvl>
  </w:abstractNum>
  <w:abstractNum w:abstractNumId="16">
    <w:nsid w:val="431BD7B7"/>
    <w:multiLevelType w:val="hybridMultilevel"/>
    <w:lvl w:ilvl="0">
      <w:lvlJc w:val="left"/>
      <w:lvlText w:val="%1."/>
      <w:numFmt w:val="decimal"/>
      <w:start w:val="9"/>
    </w:lvl>
    <w:lvl w:ilvl="1">
      <w:lvlJc w:val="left"/>
      <w:lvlText w:val="•"/>
      <w:numFmt w:val="bullet"/>
      <w:start w:val="1"/>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2019-12-07T18:49:16Z</dcterms:created>
  <dcterms:modified xsi:type="dcterms:W3CDTF">2019-12-07T18:49:16Z</dcterms:modified>
</cp:coreProperties>
</file>