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96"/>
        </w:trPr>
        <w:tc>
          <w:tcPr>
            <w:tcW w:w="5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 Shares, par value of $0.01 per share</w:t>
            </w:r>
          </w:p>
        </w:tc>
        <w:tc>
          <w:tcPr>
            <w:tcW w:w="240" w:type="dxa"/>
            <w:vAlign w:val="bottom"/>
          </w:tcPr>
          <w:p>
            <w:pPr>
              <w:spacing w:after="0"/>
              <w:rPr>
                <w:sz w:val="17"/>
                <w:szCs w:val="17"/>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New York Stock Exchange</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33,968,361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12,375,000 Class C Common Shares, par value of $0.01 per share</w:t>
      </w:r>
    </w:p>
    <w:p>
      <w:pPr>
        <w:spacing w:after="0" w:line="139" w:lineRule="exact"/>
        <w:rPr>
          <w:sz w:val="20"/>
          <w:szCs w:val="20"/>
          <w:color w:val="auto"/>
        </w:rPr>
      </w:pPr>
    </w:p>
    <w:p>
      <w:pPr>
        <w:spacing w:after="0" w:line="207" w:lineRule="exact"/>
        <w:tabs>
          <w:tab w:leader="none" w:pos="840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0"/>
          <w:szCs w:val="20"/>
          <w:color w:val="auto"/>
        </w:rPr>
      </w:pPr>
    </w:p>
    <w:p>
      <w:pPr>
        <w:ind w:left="306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20-F</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PART I</w:t>
              </w:r>
            </w:hyperlink>
          </w:p>
        </w:tc>
        <w:tc>
          <w:tcPr>
            <w:tcW w:w="5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392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Identity of Directors, Senior Management and Advisors</w:t>
              </w:r>
            </w:hyperlink>
          </w:p>
        </w:tc>
        <w:tc>
          <w:tcPr>
            <w:tcW w:w="320" w:type="dxa"/>
            <w:vAlign w:val="bottom"/>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280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Offer Statistics and Expected Timetable</w:t>
              </w:r>
            </w:hyperlink>
          </w:p>
        </w:tc>
        <w:tc>
          <w:tcPr>
            <w:tcW w:w="1440" w:type="dxa"/>
            <w:vAlign w:val="bottom"/>
            <w:gridSpan w:val="6"/>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11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Key Information</w:t>
              </w:r>
            </w:hyperlink>
          </w:p>
        </w:tc>
        <w:tc>
          <w:tcPr>
            <w:tcW w:w="3060" w:type="dxa"/>
            <w:vAlign w:val="bottom"/>
            <w:gridSpan w:val="20"/>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392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Selected Financial Data</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392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Capitalization and Indebtedness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302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Reasons for the Offer and Use of Proceeds</w:t>
              </w:r>
            </w:hyperlink>
          </w:p>
        </w:tc>
        <w:tc>
          <w:tcPr>
            <w:tcW w:w="900" w:type="dxa"/>
            <w:vAlign w:val="bottom"/>
            <w:gridSpan w:val="2"/>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392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Information on the Company</w:t>
              </w:r>
            </w:hyperlink>
          </w:p>
        </w:tc>
        <w:tc>
          <w:tcPr>
            <w:tcW w:w="2240" w:type="dxa"/>
            <w:vAlign w:val="bottom"/>
            <w:gridSpan w:val="12"/>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History and Development of the Company</w:t>
              </w:r>
            </w:hyperlink>
          </w:p>
        </w:tc>
        <w:tc>
          <w:tcPr>
            <w:tcW w:w="920" w:type="dxa"/>
            <w:vAlign w:val="bottom"/>
            <w:gridSpan w:val="3"/>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Business Overview</w:t>
              </w:r>
            </w:hyperlink>
          </w:p>
        </w:tc>
        <w:tc>
          <w:tcPr>
            <w:tcW w:w="2560" w:type="dxa"/>
            <w:vAlign w:val="bottom"/>
            <w:gridSpan w:val="15"/>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392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Organizational Structure</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392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Property, Plants and Equipment</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330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Operating and Financial Review and Prospects</w:t>
              </w:r>
            </w:hyperlink>
          </w:p>
        </w:tc>
        <w:tc>
          <w:tcPr>
            <w:tcW w:w="940" w:type="dxa"/>
            <w:vAlign w:val="bottom"/>
            <w:gridSpan w:val="4"/>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392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Results of Operations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392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Liquidity and Capital Resources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226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Research and Development</w:t>
              </w:r>
            </w:hyperlink>
          </w:p>
        </w:tc>
        <w:tc>
          <w:tcPr>
            <w:tcW w:w="1660" w:type="dxa"/>
            <w:vAlign w:val="bottom"/>
            <w:gridSpan w:val="9"/>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Trend Information</w:t>
              </w:r>
            </w:hyperlink>
          </w:p>
        </w:tc>
        <w:tc>
          <w:tcPr>
            <w:tcW w:w="620" w:type="dxa"/>
            <w:vAlign w:val="bottom"/>
            <w:tcBorders>
              <w:top w:val="single" w:sz="8" w:color="0000EE"/>
            </w:tcBorders>
            <w:gridSpan w:val="5"/>
          </w:tcPr>
          <w:p>
            <w:pPr>
              <w:spacing w:after="0"/>
              <w:rPr>
                <w:sz w:val="24"/>
                <w:szCs w:val="24"/>
                <w:color w:val="auto"/>
              </w:rPr>
            </w:pPr>
          </w:p>
        </w:tc>
        <w:tc>
          <w:tcPr>
            <w:tcW w:w="2000" w:type="dxa"/>
            <w:vAlign w:val="bottom"/>
            <w:gridSpan w:val="11"/>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23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Off-Balance Sheet Arrangements</w:t>
              </w:r>
            </w:hyperlink>
          </w:p>
        </w:tc>
        <w:tc>
          <w:tcPr>
            <w:tcW w:w="1580" w:type="dxa"/>
            <w:vAlign w:val="bottom"/>
            <w:gridSpan w:val="8"/>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3920" w:type="dxa"/>
            <w:vAlign w:val="bottom"/>
            <w:gridSpan w:val="2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Contractual Obligations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328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Directors, Senior Management and Employees</w:t>
              </w:r>
            </w:hyperlink>
          </w:p>
        </w:tc>
        <w:tc>
          <w:tcPr>
            <w:tcW w:w="960" w:type="dxa"/>
            <w:vAlign w:val="bottom"/>
            <w:gridSpan w:val="5"/>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24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Directors and Senior Management</w:t>
              </w:r>
            </w:hyperlink>
          </w:p>
        </w:tc>
        <w:tc>
          <w:tcPr>
            <w:tcW w:w="1500" w:type="dxa"/>
            <w:vAlign w:val="bottom"/>
            <w:gridSpan w:val="7"/>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10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Compensation</w:t>
              </w:r>
            </w:hyperlink>
          </w:p>
        </w:tc>
        <w:tc>
          <w:tcPr>
            <w:tcW w:w="2900" w:type="dxa"/>
            <w:vAlign w:val="bottom"/>
            <w:gridSpan w:val="18"/>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392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Board Practices</w:t>
              </w:r>
            </w:hyperlink>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1100" w:type="dxa"/>
            <w:vAlign w:val="bottom"/>
            <w:tcBorders>
              <w:top w:val="single" w:sz="8" w:color="0000EE"/>
            </w:tcBorders>
            <w:gridSpan w:val="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Employees</w:t>
              </w:r>
            </w:hyperlink>
          </w:p>
        </w:tc>
        <w:tc>
          <w:tcPr>
            <w:tcW w:w="2820" w:type="dxa"/>
            <w:vAlign w:val="bottom"/>
            <w:gridSpan w:val="17"/>
          </w:tcPr>
          <w:p>
            <w:pPr>
              <w:spacing w:after="0"/>
              <w:rPr>
                <w:sz w:val="24"/>
                <w:szCs w:val="24"/>
                <w:color w:val="auto"/>
              </w:rPr>
            </w:pP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3"/>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80" w:type="dxa"/>
            <w:vAlign w:val="bottom"/>
            <w:gridSpan w:val="3"/>
          </w:tcPr>
          <w:p>
            <w:pPr>
              <w:jc w:val="right"/>
              <w:ind w:right="570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E.</w:t>
            </w:r>
          </w:p>
        </w:tc>
        <w:tc>
          <w:tcPr>
            <w:tcW w:w="120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77">
              <w:r>
                <w:rPr>
                  <w:rFonts w:ascii="Arial" w:cs="Arial" w:eastAsia="Arial" w:hAnsi="Arial"/>
                  <w:sz w:val="18"/>
                  <w:szCs w:val="18"/>
                  <w:color w:val="0000EE"/>
                  <w:w w:val="84"/>
                </w:rPr>
                <w:t>Share Ownership</w:t>
              </w:r>
            </w:hyperlink>
          </w:p>
        </w:tc>
        <w:tc>
          <w:tcPr>
            <w:tcW w:w="6300" w:type="dxa"/>
            <w:vAlign w:val="bottom"/>
            <w:gridSpan w:val="22"/>
          </w:tcPr>
          <w:p>
            <w:pPr>
              <w:spacing w:after="0"/>
              <w:rPr>
                <w:sz w:val="17"/>
                <w:szCs w:val="17"/>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362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Major Shareholders and Related Party Transactions</w:t>
              </w:r>
            </w:hyperlink>
          </w:p>
        </w:tc>
        <w:tc>
          <w:tcPr>
            <w:tcW w:w="418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77">
              <w:r>
                <w:rPr>
                  <w:rFonts w:ascii="Arial" w:cs="Arial" w:eastAsia="Arial" w:hAnsi="Arial"/>
                  <w:sz w:val="18"/>
                  <w:szCs w:val="18"/>
                  <w:color w:val="0000EE"/>
                </w:rPr>
                <w:t>Major Shareholders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78">
              <w:r>
                <w:rPr>
                  <w:rFonts w:ascii="Arial" w:cs="Arial" w:eastAsia="Arial" w:hAnsi="Arial"/>
                  <w:sz w:val="18"/>
                  <w:szCs w:val="18"/>
                  <w:color w:val="0000EE"/>
                </w:rPr>
                <w:t>Related Party Transactions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Financial Information</w:t>
              </w:r>
            </w:hyperlink>
          </w:p>
        </w:tc>
        <w:tc>
          <w:tcPr>
            <w:tcW w:w="6260" w:type="dxa"/>
            <w:vAlign w:val="bottom"/>
            <w:gridSpan w:val="2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79">
              <w:r>
                <w:rPr>
                  <w:rFonts w:ascii="Arial" w:cs="Arial" w:eastAsia="Arial" w:hAnsi="Arial"/>
                  <w:sz w:val="18"/>
                  <w:szCs w:val="18"/>
                  <w:color w:val="0000EE"/>
                </w:rPr>
                <w:t>Financial Statements and Other Financial Information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81">
              <w:r>
                <w:rPr>
                  <w:rFonts w:ascii="Arial" w:cs="Arial" w:eastAsia="Arial" w:hAnsi="Arial"/>
                  <w:sz w:val="18"/>
                  <w:szCs w:val="18"/>
                  <w:color w:val="0000EE"/>
                </w:rPr>
                <w:t>Significant Changes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7800" w:type="dxa"/>
            <w:vAlign w:val="bottom"/>
            <w:gridSpan w:val="2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The Offer and Listing</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10.</w:t>
            </w:r>
          </w:p>
        </w:tc>
        <w:tc>
          <w:tcPr>
            <w:tcW w:w="166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Additional Information</w:t>
              </w:r>
            </w:hyperlink>
          </w:p>
        </w:tc>
        <w:tc>
          <w:tcPr>
            <w:tcW w:w="6140" w:type="dxa"/>
            <w:vAlign w:val="bottom"/>
            <w:gridSpan w:val="1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82">
              <w:r>
                <w:rPr>
                  <w:rFonts w:ascii="Arial" w:cs="Arial" w:eastAsia="Arial" w:hAnsi="Arial"/>
                  <w:sz w:val="18"/>
                  <w:szCs w:val="18"/>
                  <w:color w:val="0000EE"/>
                </w:rPr>
                <w:t>Share Capital</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82">
              <w:r>
                <w:rPr>
                  <w:rFonts w:ascii="Arial" w:cs="Arial" w:eastAsia="Arial" w:hAnsi="Arial"/>
                  <w:sz w:val="18"/>
                  <w:szCs w:val="18"/>
                  <w:color w:val="0000EE"/>
                </w:rPr>
                <w:t>Memorandum and Articles of Association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82">
              <w:r>
                <w:rPr>
                  <w:rFonts w:ascii="Arial" w:cs="Arial" w:eastAsia="Arial" w:hAnsi="Arial"/>
                  <w:sz w:val="18"/>
                  <w:szCs w:val="18"/>
                  <w:color w:val="0000EE"/>
                </w:rPr>
                <w:t>Material Contracts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82">
              <w:r>
                <w:rPr>
                  <w:rFonts w:ascii="Arial" w:cs="Arial" w:eastAsia="Arial" w:hAnsi="Arial"/>
                  <w:sz w:val="18"/>
                  <w:szCs w:val="18"/>
                  <w:color w:val="0000EE"/>
                </w:rPr>
                <w:t>Exchange Controls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E.</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82">
              <w:r>
                <w:rPr>
                  <w:rFonts w:ascii="Arial" w:cs="Arial" w:eastAsia="Arial" w:hAnsi="Arial"/>
                  <w:sz w:val="18"/>
                  <w:szCs w:val="18"/>
                  <w:color w:val="0000EE"/>
                  <w:w w:val="83"/>
                </w:rPr>
                <w:t>Taxation</w:t>
              </w:r>
            </w:hyperlink>
          </w:p>
        </w:tc>
        <w:tc>
          <w:tcPr>
            <w:tcW w:w="720" w:type="dxa"/>
            <w:vAlign w:val="bottom"/>
            <w:tcBorders>
              <w:top w:val="single" w:sz="8" w:color="0000EE"/>
            </w:tcBorders>
            <w:gridSpan w:val="7"/>
          </w:tcPr>
          <w:p>
            <w:pPr>
              <w:spacing w:after="0"/>
              <w:rPr>
                <w:sz w:val="24"/>
                <w:szCs w:val="24"/>
                <w:color w:val="auto"/>
              </w:rPr>
            </w:pPr>
          </w:p>
        </w:tc>
        <w:tc>
          <w:tcPr>
            <w:tcW w:w="6180" w:type="dxa"/>
            <w:vAlign w:val="bottom"/>
            <w:gridSpan w:val="1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91">
              <w:r>
                <w:rPr>
                  <w:rFonts w:ascii="Arial" w:cs="Arial" w:eastAsia="Arial" w:hAnsi="Arial"/>
                  <w:sz w:val="18"/>
                  <w:szCs w:val="18"/>
                  <w:color w:val="0000EE"/>
                </w:rPr>
                <w:t>Dividends and Paying Agents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G. </w:t>
            </w:r>
            <w:hyperlink w:anchor="page91">
              <w:r>
                <w:rPr>
                  <w:rFonts w:ascii="Arial" w:cs="Arial" w:eastAsia="Arial" w:hAnsi="Arial"/>
                  <w:sz w:val="18"/>
                  <w:szCs w:val="18"/>
                  <w:color w:val="0000EE"/>
                </w:rPr>
                <w:t>Statements by Experts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0" w:type="dxa"/>
            <w:vAlign w:val="bottom"/>
            <w:gridSpan w:val="27"/>
          </w:tcPr>
          <w:p>
            <w:pPr>
              <w:spacing w:after="0"/>
              <w:rPr>
                <w:rFonts w:ascii="Arial" w:cs="Arial" w:eastAsia="Arial" w:hAnsi="Arial"/>
                <w:sz w:val="18"/>
                <w:szCs w:val="18"/>
                <w:color w:val="auto"/>
              </w:rPr>
            </w:pPr>
            <w:r>
              <w:rPr>
                <w:rFonts w:ascii="Arial" w:cs="Arial" w:eastAsia="Arial" w:hAnsi="Arial"/>
                <w:sz w:val="18"/>
                <w:szCs w:val="18"/>
                <w:color w:val="auto"/>
              </w:rPr>
              <w:t xml:space="preserve">H. </w:t>
            </w:r>
            <w:hyperlink w:anchor="page91">
              <w:r>
                <w:rPr>
                  <w:rFonts w:ascii="Arial" w:cs="Arial" w:eastAsia="Arial" w:hAnsi="Arial"/>
                  <w:sz w:val="18"/>
                  <w:szCs w:val="18"/>
                  <w:color w:val="0000EE"/>
                </w:rPr>
                <w:t>Documents on Display</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11.</w:t>
            </w:r>
          </w:p>
        </w:tc>
        <w:tc>
          <w:tcPr>
            <w:tcW w:w="7800" w:type="dxa"/>
            <w:vAlign w:val="bottom"/>
            <w:gridSpan w:val="2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Quantitative and Qualitative Disclosures About Market Risk</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12.</w:t>
            </w:r>
          </w:p>
        </w:tc>
        <w:tc>
          <w:tcPr>
            <w:tcW w:w="4240" w:type="dxa"/>
            <w:vAlign w:val="bottom"/>
            <w:tcBorders>
              <w:top w:val="single" w:sz="8" w:color="0000EE"/>
            </w:tcBorders>
            <w:gridSpan w:val="23"/>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Description of Securities Other than Equity Securities</w:t>
              </w:r>
            </w:hyperlink>
          </w:p>
        </w:tc>
        <w:tc>
          <w:tcPr>
            <w:tcW w:w="356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PART II</w:t>
              </w:r>
            </w:hyperlink>
          </w:p>
        </w:tc>
        <w:tc>
          <w:tcPr>
            <w:tcW w:w="5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13.</w:t>
            </w:r>
          </w:p>
        </w:tc>
        <w:tc>
          <w:tcPr>
            <w:tcW w:w="35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Defaults, Dividend Arrearages and Delinquencies</w:t>
              </w:r>
            </w:hyperlink>
          </w:p>
        </w:tc>
        <w:tc>
          <w:tcPr>
            <w:tcW w:w="430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14.</w:t>
            </w:r>
          </w:p>
        </w:tc>
        <w:tc>
          <w:tcPr>
            <w:tcW w:w="7800" w:type="dxa"/>
            <w:vAlign w:val="bottom"/>
            <w:gridSpan w:val="2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Material Modifications to the Rights of Security Holders and Use of Proceeds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15.</w:t>
            </w:r>
          </w:p>
        </w:tc>
        <w:tc>
          <w:tcPr>
            <w:tcW w:w="5460" w:type="dxa"/>
            <w:vAlign w:val="bottom"/>
            <w:tcBorders>
              <w:top w:val="single" w:sz="8" w:color="0000EE"/>
            </w:tcBorders>
            <w:gridSpan w:val="2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23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120" w:type="dxa"/>
            <w:vAlign w:val="bottom"/>
            <w:gridSpan w:val="2"/>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16A.</w:t>
            </w:r>
          </w:p>
        </w:tc>
        <w:tc>
          <w:tcPr>
            <w:tcW w:w="780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Audit Committee Financial Expert</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16B.</w:t>
            </w:r>
          </w:p>
        </w:tc>
        <w:tc>
          <w:tcPr>
            <w:tcW w:w="10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95">
              <w:r>
                <w:rPr>
                  <w:rFonts w:ascii="Arial" w:cs="Arial" w:eastAsia="Arial" w:hAnsi="Arial"/>
                  <w:sz w:val="18"/>
                  <w:szCs w:val="18"/>
                  <w:color w:val="0000EE"/>
                  <w:w w:val="87"/>
                </w:rPr>
                <w:t>Code of Ethics</w:t>
              </w:r>
            </w:hyperlink>
          </w:p>
        </w:tc>
        <w:tc>
          <w:tcPr>
            <w:tcW w:w="1380" w:type="dxa"/>
            <w:vAlign w:val="bottom"/>
            <w:tcBorders>
              <w:top w:val="single" w:sz="8" w:color="0000EE"/>
            </w:tcBorders>
            <w:gridSpan w:val="13"/>
          </w:tcPr>
          <w:p>
            <w:pPr>
              <w:spacing w:after="0"/>
              <w:rPr>
                <w:sz w:val="24"/>
                <w:szCs w:val="24"/>
                <w:color w:val="auto"/>
              </w:rPr>
            </w:pPr>
          </w:p>
        </w:tc>
        <w:tc>
          <w:tcPr>
            <w:tcW w:w="5380" w:type="dxa"/>
            <w:vAlign w:val="bottom"/>
            <w:gridSpan w:val="11"/>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16C.</w:t>
            </w:r>
          </w:p>
        </w:tc>
        <w:tc>
          <w:tcPr>
            <w:tcW w:w="780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120" w:type="dxa"/>
            <w:vAlign w:val="bottom"/>
            <w:gridSpan w:val="2"/>
          </w:tcPr>
          <w:p>
            <w:pPr>
              <w:spacing w:after="0" w:line="20" w:lineRule="exact"/>
              <w:rPr>
                <w:sz w:val="1"/>
                <w:szCs w:val="1"/>
                <w:color w:val="auto"/>
              </w:rPr>
            </w:pPr>
          </w:p>
        </w:tc>
        <w:tc>
          <w:tcPr>
            <w:tcW w:w="2780" w:type="dxa"/>
            <w:vAlign w:val="bottom"/>
            <w:gridSpan w:val="17"/>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16D.</w:t>
            </w:r>
          </w:p>
        </w:tc>
        <w:tc>
          <w:tcPr>
            <w:tcW w:w="780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Exemptions from the Listing Standards for Audit Committees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120" w:type="dxa"/>
            <w:vAlign w:val="bottom"/>
            <w:gridSpan w:val="2"/>
          </w:tcPr>
          <w:p>
            <w:pPr>
              <w:spacing w:after="0" w:line="20" w:lineRule="exact"/>
              <w:rPr>
                <w:sz w:val="1"/>
                <w:szCs w:val="1"/>
                <w:color w:val="auto"/>
              </w:rPr>
            </w:pPr>
          </w:p>
        </w:tc>
        <w:tc>
          <w:tcPr>
            <w:tcW w:w="4340" w:type="dxa"/>
            <w:vAlign w:val="bottom"/>
            <w:gridSpan w:val="2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16E.</w:t>
            </w:r>
          </w:p>
        </w:tc>
        <w:tc>
          <w:tcPr>
            <w:tcW w:w="7800" w:type="dxa"/>
            <w:vAlign w:val="bottom"/>
            <w:gridSpan w:val="2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Purchases of Equity Securities by the Issuer and Affiliated Purchasers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83"/>
        </w:trPr>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ii</w:t>
            </w:r>
          </w:p>
        </w:tc>
        <w:tc>
          <w:tcPr>
            <w:tcW w:w="290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Item 16F.</w:t>
            </w:r>
          </w:p>
        </w:tc>
        <w:tc>
          <w:tcPr>
            <w:tcW w:w="32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Change in Registrants’ Certifying Accountant</w:t>
              </w:r>
            </w:hyperlink>
          </w:p>
        </w:tc>
        <w:tc>
          <w:tcPr>
            <w:tcW w:w="660" w:type="dxa"/>
            <w:vAlign w:val="bottom"/>
          </w:tcPr>
          <w:p>
            <w:pPr>
              <w:spacing w:after="0"/>
              <w:rPr>
                <w:sz w:val="17"/>
                <w:szCs w:val="17"/>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Item 16G.</w:t>
            </w:r>
          </w:p>
        </w:tc>
        <w:tc>
          <w:tcPr>
            <w:tcW w:w="3900" w:type="dxa"/>
            <w:vAlign w:val="bottom"/>
            <w:gridSpan w:val="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Corporate Governance</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080" w:type="dxa"/>
            <w:vAlign w:val="bottom"/>
            <w:gridSpan w:val="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PART III</w:t>
              </w:r>
            </w:hyperlink>
          </w:p>
        </w:tc>
        <w:tc>
          <w:tcPr>
            <w:tcW w:w="6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304"/>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Item 17.</w:t>
            </w:r>
          </w:p>
        </w:tc>
        <w:tc>
          <w:tcPr>
            <w:tcW w:w="15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Financial Statements</w:t>
              </w:r>
            </w:hyperlink>
          </w:p>
        </w:tc>
        <w:tc>
          <w:tcPr>
            <w:tcW w:w="2400" w:type="dxa"/>
            <w:vAlign w:val="bottom"/>
            <w:gridSpan w:val="3"/>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96">
              <w:r>
                <w:rPr>
                  <w:rFonts w:ascii="Arial" w:cs="Arial" w:eastAsia="Arial" w:hAnsi="Arial"/>
                  <w:sz w:val="18"/>
                  <w:szCs w:val="18"/>
                  <w:color w:val="0000EE"/>
                  <w:w w:val="86"/>
                </w:rPr>
                <w:t>Financial Statements</w:t>
              </w:r>
            </w:hyperlink>
          </w:p>
        </w:tc>
        <w:tc>
          <w:tcPr>
            <w:tcW w:w="2420" w:type="dxa"/>
            <w:vAlign w:val="bottom"/>
            <w:gridSpan w:val="4"/>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Item 19.</w:t>
            </w:r>
          </w:p>
        </w:tc>
        <w:tc>
          <w:tcPr>
            <w:tcW w:w="390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83"/>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40" w:type="dxa"/>
            <w:vAlign w:val="bottom"/>
          </w:tcPr>
          <w:p>
            <w:pPr>
              <w:jc w:val="right"/>
              <w:ind w:right="5552"/>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i w:val="1"/>
          <w:iCs w:val="1"/>
          <w:color w:val="auto"/>
        </w:rPr>
        <w:t>This Annual Report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Global Ship Lease’s disclosure concerning its operations, cash flows, financial position, dividend policy and likelihood of success in acquiring additional vessels to expand its business.</w:t>
      </w:r>
    </w:p>
    <w:p>
      <w:pPr>
        <w:spacing w:after="0" w:line="11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strength of the future growth of the container shipping industry, including the rate of annual demand growth;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strength of the future growth of the container shipping industry, including the rate of annual demand growth;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initial Charterer and sole source of operating revenue, and its ability to continue to pay us charterhire in accordance with the charters;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repay its credit facility and grow using the available funds under its credit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the rate of growth of global and various regional economies;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collisions and other damage including total or constructive loss;</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financial condition and liquidity, including its ability to obtain any waivers which might be necessary under the existing credit facility or obtain additional financing to fund capital expenditures, contracted and yet to be contracted vessel acquisitions and other general corporate activities;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long-term, fixed-rate charters;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Global Ship Lease undertakes no obligation to publicly revise any forward-looking statement to reflect circumstances or events after the date of this Annual Report or to reflect the occurrence of unanticipated events. You should, however, review the factors and risks Global Ship Lease describes in the reports it will file from time to time with the Securities and Exchange Commission, or SEC, after the date of this Annual Report.</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“initial Charterer” refers to CMA CGM in its capacity as a charterer of our vessels; and “Ship Manager” refers to CMA Ships, a wholly-owned subsidiary of CMA CGM and our current ship manager.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20-foot equivalent unit, the international standard measure of container size, in describing volumes in world container trade and other measures, including the capacity of Global Ship Lease’s containerships, which we also refer to as the vessels. Unless otherwise indicated, we calculate the average age of Global Ship Lease’s vessels on a weighted average basis, based on TEU capacity.</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You should read the information set forth below in conjunction with “Management’s Discussion and Analysis of Financial Condition and Results of Operations” and Global Ship Lease’s combined financial statements and notes thereto, which are referred to as Global Ship Lease’s combined financial statements, included elsewhere in this Annual Report. As of the date of this Annual Report, Global Ship Lease is in discussions with its lenders to obtain an amendment to its credit facility. Please see “Item 3 – Key Information - Risk Factors – Risks Related to Our Business.”</w:t>
      </w:r>
    </w:p>
    <w:p>
      <w:pPr>
        <w:spacing w:after="0" w:line="113"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This selected historical combined financial and operating information gives effect to the Merger as at August 14, 2008 and consequently the combined financial statements up to December 31, 2008 include two distinct reporting periods (i) January 1, 2004 through August 14, 2008 (“Predecessor”) and</w:t>
      </w:r>
    </w:p>
    <w:p>
      <w:pPr>
        <w:ind w:right="40" w:firstLine="8"/>
        <w:spacing w:after="0" w:line="290"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August 15, 2008 through December 31, 2008 (“Successor”), which relate to the period preceding the Merger and the period succeeding the Merger, respectively. Further, the Company derived virtually all of its revenue in 2008 from chartering out its vessels under its continuing business of long-term fixed rate time charters whereas for periods before 2008, under predecessor accounting rules, it earned virtually all of its revenue from carrying containerized cargo. Global Ship Lease uses the term “Predecessor Group” to mean the container shipping services provided by the 10 secondhand vessels, which it purchased in December 2007, and two newly built vessels, which it purchased in January 2008, in Global Ship Lease’s initial fleet when these vessels were owned and operated by CMA CGM and its subsidiaries rather than to mean any particular entity or entities.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significant differences between Global Ship Lease’s business after the acquisition of its initial fleet in December 2007 and January 2008, when it started its time charter business, and the business of Global Ship Lease’s Predecessor Group when the vessels earned revenue from carrying cargo for customers. Accordingly, the selected historical combined financial data prior to January 2008, which includes mainly the Predecessor Group’s trading activities of the vessels earning freight rates or revenue from carrying cargo for third party customers, are not indicative of the results Global Ship Lease would have achieved had it historically operated as an independent shipowning company earning charterhire or of Global Ship Lease’s future results.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combined financial statements for the Successor period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the company becoming listed on the New York Stock Exchange.</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historical selected combined financial data as of December 31, 2008 (that includes two distinct reporting periods before and after the Merger), 2007 and 2006 and for each of the years then ended together with such information for the year ended December 31, 2005 have been derived from audited and unaudited combined financial statements of Global Ship Lease, Inc. The historical selected combined financial data as of December 31, 2005 and 2004 and for the year ended December 31, 2004 is derived from carve-out information of the Predecessor Group prepared by management of CMA CGM. Certain financial information has been rounded, and, as a result, certain totals shown in this Annual Report may not equal the arithmetic sum of the figures that should otherwise aggregate to those totals.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selected financial information should be read together with, and is qualified in its entirety by, Global Ship Lease’s combined financial statements and the notes thereto included elsewhere in this Annual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rPr>
              <w:t>Selected combined financial information</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320" w:type="dxa"/>
            <w:vAlign w:val="bottom"/>
            <w:tcBorders>
              <w:right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August 15 to</w:t>
            </w:r>
          </w:p>
        </w:tc>
        <w:tc>
          <w:tcPr>
            <w:tcW w:w="26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1 to</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320" w:type="dxa"/>
            <w:vAlign w:val="bottom"/>
            <w:tcBorders>
              <w:right w:val="single" w:sz="8" w:color="auto"/>
            </w:tcBorders>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6"/>
                <w:szCs w:val="6"/>
                <w:color w:val="auto"/>
              </w:rPr>
            </w:pPr>
          </w:p>
        </w:tc>
        <w:tc>
          <w:tcPr>
            <w:tcW w:w="1160" w:type="dxa"/>
            <w:vAlign w:val="bottom"/>
            <w:gridSpan w:val="3"/>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August 14</w:t>
            </w: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gridSpan w:val="7"/>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1320" w:type="dxa"/>
            <w:vAlign w:val="bottom"/>
            <w:tcBorders>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76"/>
              </w:rPr>
              <w:t>Successor</w:t>
            </w:r>
          </w:p>
        </w:tc>
        <w:tc>
          <w:tcPr>
            <w:tcW w:w="26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21"/>
                <w:szCs w:val="21"/>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0"/>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10"/>
          </w:tcPr>
          <w:p>
            <w:pPr>
              <w:jc w:val="right"/>
              <w:spacing w:after="0"/>
              <w:rPr>
                <w:sz w:val="20"/>
                <w:szCs w:val="20"/>
                <w:color w:val="auto"/>
              </w:rPr>
            </w:pPr>
            <w:r>
              <w:rPr>
                <w:rFonts w:ascii="Arial" w:cs="Arial" w:eastAsia="Arial" w:hAnsi="Arial"/>
                <w:sz w:val="14"/>
                <w:szCs w:val="14"/>
                <w:b w:val="1"/>
                <w:bCs w:val="1"/>
                <w:color w:val="auto"/>
                <w:w w:val="99"/>
              </w:rPr>
              <w:t>(in millions of U.S. dollars, except per share data)</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Voyage expenses (3)</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operating income / (expense)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(304.9)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(96.2)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5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in thousand $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(5)</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Weighted average number of common shares outstanding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58"/>
        </w:trPr>
        <w:tc>
          <w:tcPr>
            <w:tcW w:w="4660" w:type="dxa"/>
            <w:vAlign w:val="bottom"/>
            <w:gridSpan w:val="2"/>
          </w:tcPr>
          <w:p>
            <w:pPr>
              <w:spacing w:after="0"/>
              <w:rPr>
                <w:sz w:val="20"/>
                <w:szCs w:val="20"/>
                <w:color w:val="auto"/>
              </w:rPr>
            </w:pPr>
            <w:r>
              <w:rPr>
                <w:rFonts w:ascii="Arial" w:cs="Arial" w:eastAsia="Arial" w:hAnsi="Arial"/>
                <w:sz w:val="18"/>
                <w:szCs w:val="18"/>
                <w:color w:val="auto"/>
              </w:rPr>
              <w:t>Net (loss) per Class A common share in $</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Weighted average number of Class A common 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in millions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(loss) per Class B common share in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Nil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Weighted average number of Class B common 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in millions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7"/>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7"/>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vessels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906.9</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Long-term debt (current and non-current portion)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542.1</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Shareholder loan (6)</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457"/>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Number of vessels in operation at period end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Ownership days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1,717</w:t>
            </w: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Utilization (7)</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line item reports revenues earned from Global Ship Lease’s chartering business following the purchase of its initial fleet of 10 secondhand vessels in December 2007.</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Ship Lease’s combined financial statements include the general and administrative expenses incurred by its Predecessor Group related to its operations and such costs incurred by Global Ship Lease as a wholly owned subsidiary of CMA CGM in the predecessor period prior to the Merger. Subsequent to the completion of the Merger, Global Ship Lease will incur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2"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number of shares outstanding of Global Ship Lease as of June 30, 2008 has been used for purposes of computing earnings per share for all presented prior periods.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due to the former shareholder were not assumed by Global Ship Lease following completion of the Merger.</w:t>
      </w:r>
    </w:p>
    <w:p>
      <w:pPr>
        <w:spacing w:after="0" w:line="9"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is used to measure our efficiency in operating the fleet and is calculated by dividing the total number of operating days by the total number of ownership days, with the result expressed as a percentage. Operating days represent the number of days in the period that the vessels were available and were not off-hire for any reason, including scheduled dry-dockings, breakdowns or repairs. Ownership days represent the number of days in the period that we owned the relevant vessels.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Global Ship Lease’s $800 million credit facility contains restrictive covenants including a maximum leverage ratio based on borrowings under the credit facility expressed as a percentage of charter free market value of its vessels. Depending on the results of on-going discussions with our lenders and any updated leverage ratio that may be determined at June 30, 2009 the lenders under our credit facility may require us to make a prepayment of our borrowings or provide additional security which would likely cause a default under the credit facility and which would raise substantial doubt about our ability to continue as a going concern.</w:t>
      </w:r>
    </w:p>
    <w:p>
      <w:pPr>
        <w:spacing w:after="0" w:line="1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Global Ship Lease has a $800 million credit facility with Fortis Bank (Nederland) N.V., Citibank Global Markets Limited, HSH Nordbank AG, Sumitomo Mitsui Banking Corporation, Brussels Branch, KFW, DnB Nor Bank ASA and Bank of Scotland, which Global Ship Lease used to acquire its fleet and intends to use to acquire additional vessels and fund working capital, among other things. As of December 31, 2008, outstanding borrowings under this facility were $542.1 million. The credit facility contains restrictive covenants including minimum cash, minimum net worth, minimum EBITDA to debt service, maximum net debt to total capital and maximum leverage ratio, which is the ratio of borrowings under credit facility to the market value of security posted, which is essentially the charter-free willing buyer willing seller market value of Global Ship Lease’s vessels.</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Due to the global economic downturn and significantly reduced demand for container shipping services and thus for containerships, combined with continuing delivery of newbuilds, containership values have experienced dramatic declines in recent months. Purchase and sale transactions in the containership market have been very limited, mostly for small vessels and, in instances where such transactions have been completed, the prices have been significantly lower than comparable transactions in the past. No newbuilding orders have been placed for many months. Many ship brokers are not providing certificates of market value due to the disrupted market. The negative development in perceived market values has caused concern that Global Ship Lease may exceed its maximum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permitted leverage ratio under its credit facility which provides that if the leverage ratio exceeds 75%, the Agent may require a prepayment of borrowings or the delivery of additional security to the extent necessary to reduce the leverage ratio to 75%.</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Accordingly, on February 10, 2009, Global Ship Lease and the lenders entered into an addendum to the credit facility (the “Addendum”) to effect amendments to address these concerns relating to containership market conditions. The Addendum suspended the 75% leverage ratio test for the period between April 30, 2009 and April 30, 2010. In lieu thereof, the Addendum provides that if the leverage ratio exceeds 90% during this period, Global Ship Lease is required to deposit 50% of its cash available for distribution into a pledged account. In addition, the Addendum provides that if the leverage ratio exceeds 100% during this period, the Agent may require a prepayment of borrowings or the delivery of additional security to the extent necessary to reduce the leverage ratio to 100%.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April 29, 2009, due to continuing challenges in the ship valuation environment, Global Ship Lease agreed with its lenders, to waive for two months until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2009 the requirement under the credit facility to submit vessel valuations and undertake the leverage ratio test. Valuations were otherwise due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30, 2009. Global Ship Lease has agreed that it will not declare or pay any dividend to common shareholders during this waiver period. Please see — Item 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Financial Review and Prospects – Liquidity and Capital Resources”.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the date of this Annual Report, Global Ship Lease is in active discussions with its lenders to obtain a further amendment to the credit facility to address the situation. No assurances can be made as to the outcome of these discussions and we may not be successful in obtaining further covenant waivers or other modifications.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Management believes that, if it were possible to obtain up-to-date charter free valuations of its fleet as of the date of this Annual Report, the leverage ratio is likely to exceed 100%. Should an amendment to the credit facility or other relief not be obtained by June 30, 2009 and the leverage ratio is determined to be in excess of 100%, the Agent may require a prepayment of borrowings or the delivery of additional security. In such an event, Global Ship Lease is likely to go into default under the credit facility, which would raise substantial doubt about our ability to continue as a going concern. Please see — Item 8 “Financial Information — Financial Statements and Other Financial Information — Note 2(a)”.</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Global Ship Lease may not be able to borrow funds under the credit facility to purchase CMA CGM Berlioz in July 2009 or the two 4,250 teu newbuild containerships in fourth quarter 2009.</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Global Ship Lease is scheduled to purchase CMA CGM Berlioz in July 2009 for $82 million from CMA CGM and will need to be able to make additional borrowings under the credit facility to effect this purchase. Global Ship Lease is also contracted to purchase two newbuildings in fourth quarter 2010 and will need to pay additional cash consideration of approximately $140 million, after taking account of the 10% deposit already paid, which may also necessitate further borrowings under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ability to borrow further amounts under the credit facility is subject to, among other things, the leverage ratio not exceeding 70%.</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Global Ship Lease is also discussing with its lenders the possibility of making additional drawings under the credit facility in respect of CMA CGM Berlioz notwithstanding that the leverage ratio is likely to exceed 70% in July 2009 if up-to-date valuations were to be obtained. No assurances can be made as to the outcome of these discussions.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Global Ship Lease is unable to complete the acquisition of the CMA CGM Berlioz, we will be required to reverse the $7.8 million intangible asset and the $10.5 million intangible liability recognized in connection with the acquisition of the contracted fleet of CMA CGM at the time of the merger that occurred on August 14, 2008 through the statement of income, please see — Item 8 “Financial Information — Financial Statements and Other Financial Information — Note 3”.</w:t>
      </w:r>
    </w:p>
    <w:p>
      <w:pPr>
        <w:spacing w:after="0" w:line="1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If Global Ship Lease is unable to purchase the two newbuildings in fourth quarter 2010, we will have to write off the $15 million deposit already paid and recognized as an asset in our combined balance sheet.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Even if the lenders grant a waiver or other modifications to the credit facility, Global Ship Lease cannot assure you that it will be able to borrow amounts under its credit facility to pay for any further vessel acquisitions, and restrictive covenants in its credit facility and forthcoming amortization of the total amount that can be borrowed may impose financial and other restrictions on Global Ship Lease, such as limiting its ability to pay dividends.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Global Ship Lease’s ability to borrow amounts under the credit facility is subject to compliance with terms and conditions included in the loan documents. Global Ship Lease’s ability to borrow funds from the credit facility to acquire additional vessels and include them in the security package under the credit facility will be dependent on the leverage ratio, whether the purchase of the acquired vessels meets certain financial criteria, and whether the vessels meet certain age and minimum capacity requirements and are to be employed by an acceptable charterer.</w:t>
      </w:r>
    </w:p>
    <w:p>
      <w:pPr>
        <w:spacing w:after="0" w:line="14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addition, as a condition for obtaining financing from its lenders, Global Ship Lease’s vessels need to be certified “in class” and without material overdue recommendations or conditions of class as determined by a member of the International Association of Classification Societies Ltd., or IACS.</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Additionally, Global Ship Lease’s credit facility provides that it may not pay dividends if there is a continuing default under the facility. Global Ship Lease is prohibited from paying dividends if the payment of the dividend would result in a default and any payments to be made into the retention account are not fully up to date. Global Ship Lease’s ability to declare and pay dividends therefore depends on whether it is in compliance with its credit facility. Global Ship Lease’s credit facility is a revolving credit facility and it may be required to make repayments under the facility although these repayments may be redrawn. The charter free market value of Global Ship Lease’s vessels can fluctuate substantially depending on market supply and demand for vessels. In recent months, due to an excess of containership capacity as described above, vessel values have fallen significantly. In addition, it is probable that the market value of Global Ship Lease’s vessels will decrease over time, as vessels generally decrease in value as they age. Consequently, the leverage ratio is volatile and will likely increase over time, which will negatively affect Global Ship Lease’s ability to comply with its leverage ratio covenants. This, in turn, will impact Global Ship Lease’s ability to pay dividend payments.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in December 2011, four years from the date of the closing of the credit facility, the amounts available for borrowing will be permanently reduced each quarter. Therefore, unless Global Ship Lease is able to use other sources or refinance borrowings under its credit facility with new indebtedness that has a later maturity date, following four years after the date of the closing of the credit facility, the amount of cash that Global Ship Lease will have available in any period will be decreased by the amount of any principal repayments that it is required to make.</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credit facility also imposes additional operating and financial restrictions on Global Ship Lease. These restrictions may limit its ability to, among other things: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management of its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permit liens on its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its vessels or change the ownership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its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Therefore, Global Ship Lease may need to seek consent from its lenders in order to engage in certain corporate actions. Its lenders’ interests may be different from Global Ship Lease’s and it cannot guarantee that it will be able to obtain its lenders’ consent when needed. This may limit its ability to pay dividends, finance its future operations, make acquisitions or pursue business opportunities. Please see Item 4B “Business Overview</w:t>
      </w:r>
      <w:r>
        <w:rPr>
          <w:rFonts w:ascii="Arial" w:cs="Arial" w:eastAsia="Arial" w:hAnsi="Arial"/>
          <w:sz w:val="18"/>
          <w:szCs w:val="18"/>
          <w:b w:val="1"/>
          <w:bCs w:val="1"/>
          <w:color w:val="auto"/>
        </w:rPr>
        <w:t>—</w:t>
      </w:r>
      <w:r>
        <w:rPr>
          <w:rFonts w:ascii="Arial" w:cs="Arial" w:eastAsia="Arial" w:hAnsi="Arial"/>
          <w:sz w:val="18"/>
          <w:szCs w:val="18"/>
          <w:color w:val="auto"/>
        </w:rPr>
        <w:t>Global Ship Lease Credit Facility” for more information.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cannot assure you that it will be able to refinance any indebtedness incurred under its credit facility.</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Global Ship Lease cannot assure you that, when required, it will be able to refinance its indebtedness on terms that are acceptable to Global Ship Lease or at all. The actual or perceived credit quality of its charterers, any defaults by them, and the market value of its fleet, among other things, may materially affect its ability to obtain new or replacement debt financing. If Global Ship Lease is not able to refinance its indebtedness, it will have to dedicate a portion of its cash flow from operations to pay the principal and interest of its indebtedness. Global Ship Lease cannot assure you that it will be able to generate cash flow in amounts that are sufficient for these purposes. If Global Ship Lease is not able to satisfy its debt service obligations with its cash flow from operations, Global Ship Lease may have to sell some or all of its assets, which may not be possible and which would have an adverse effect on its cash flows and results of operations. If Global Ship Lease is unable to meet its debt obligations for any reason, its lenders could declare its debt, together with accrued interest and fees, to be immediately due and payable and foreclose on vessels in its fleet which are mortgaged as part security for the debt, which could result in the acceleration of other indebtedness that Global Ship Lease may have at such time and the commencement of similar foreclosure proceedings by other lenders.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is highly dependent on CMA CGM.</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 of Global Ship Lease’s vessels in its fleet are chartered to its initial Charterer, CMA CGM. The initial Charterer’s payments to Global Ship Lease under the charters are currently its sole source of revenue. Global Ship Lease is highly dependent on the performance by the Charterer of its obligation under the charters. The container shipping industry is suffering a significant cyclical downturn with a substantial amount of excess ship capacity and many container shipping companies have reported substantial losses for first quarter 2009. If the initial Charterer ceases doing business or fails to perform its obligations under Global Ship Lease’s charters, Global Ship Lease’s business, financial position and cash available for the payment of dividends would be materially adversely affected as it is probable that, even if we were able to find replacement charters, such replacement charters would be at lower daily rates and shorter durations.</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Moreover, under its ship management agreement with CMA Ships, the Ship Manager is obligated to provide Global Ship Lease with requisite financial information so that Global Ship Lease can meet its own reporting obligations under U.S. securities laws. CMA CGM has guaranteed the performance of CMA Ships and any payments due to Global Ship Lease under the ship management agreements. CMA CGM and CMA Ships are privately held French corporations with financial reporting schedules different from Global Ship Lease. If CMA CGM, CMA Ships or any of their subsidiaries is delayed in providing Global Ship Lease with key financial information, Global Ship Lease could fail to meet its financial reporting deadlines.</w:t>
      </w:r>
    </w:p>
    <w:p>
      <w:pPr>
        <w:spacing w:after="0" w:line="110"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Global Ship Lease’s Ship Manager and CMA CGM, its initial Charterer, are privately held companies and there is little or no publicly available information about them.</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CMA CGM is Global Ship Lease’s initial sole Charterer and its wholly owned subsidiary, CMA Ships, is Global Ship Lease’s initial Ship Manager. CMA CGM’s ability to continue to pay charterhire and CMA Ships’ ability to render ship management services will depend in part on their own financial strength. Circumstances beyond their control could impair CMA CGM’s and CMA Ships’ financial strength, and because they are privately held companies, information about the financial strength of their companies is not publicly available. As a result, Global Ship Lease and an investor in its securities might have little advance warning of financial or other problems affecting CMA CGM or their wholly owned subsidiaries even though their financial or other problems could have a material adverse effect on Global Ship Lease.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CMA CGM and Global Ship Lease’s Ship Manager have conflicts of interest with Global Ship Lease and limited contractual duties, which may make them favor their own interests to Global Ship Lease’s detriment.</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Conflicts of interest may arise between Global Ship Lease, on the one hand, and CMA CGM, Global Ship Lease’s initial Charterer, and CMA Ships, its Ship Manager, on the other hand. As a result of these conflicts, Global Ship Lease’s Ship Manager may favor its own or its parent company’s interests over Global Ship Lease’s interests. These conflicts may have unfavorable consequences for Global Ship Lease. For example, Global Ship Lease’s Ship Manager could be encouraged to incur unnecessary costs, for which it would seek reimbursement from Global Ship Lease. Although Global Ship Lease’s ship management agreements expressly prohibit its Ship Manager from giving preferential treatment when performing any of its ship management services to any other vessel that is affiliated with it, or otherwise controlled by CMA CGM, conflicts of interest may arise between Global Ship Lease, and its Ship Manager and its initial Charterer.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Global Ship Lease.</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Along with many other vessel-owning transportation companies, CMA CGM, currently Global Ship Lease’s sole Charterer and largest holder of its common shares, could compete with Global Ship Lease in its search to purchase newbuildings and secondhand vessels. Further, CMA CGM is not precluded from acting as an owner in the direct chartering market. While Global Ship Lease understands that CMA CGM currently has no intention of doing so, competition from CMA CGM may potentially harm Global Ship Lease’s ability to grow the business and may decrease its results of operations.</w:t>
      </w:r>
    </w:p>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Certain terms in Global Ship Lease’s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asset purchase agreement, the charters, the ship management agreements and the other contractual agreements Global Ship Lease entered into with CMA CGM and its wholly owned subsidiaries were made in the context of an affiliated relationship and were negotiated in the overall context of the previously contemplated public offering of its Class A common shares in 2007, the Merger in August 2008 and other related transactions. Global Ship Lease’s agreements with CMA CGM may include terms that could not have been obtained from arms-length negotiations with unaffiliated third parties for similar services and assets. As a result, its future operating results may be negatively affected if Global Ship Lease does not receive terms as favorable in future negotiations with unaffiliated third parties or has to enter into lengthy and costly negotiations with third parties in connection with entering into such agreements.</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Global Ship Lease’s growth depends on its ability to maintain and expand its relationship with CMA CGM and obtain new charterers, for which Global Ship Lease will face substantial competition.</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Global Ship Lease’s objectives is to acquire additional vessels and charter them out to container shipping companies as charterers. The process of obtaining new charterers is highly competitive and often takes several months. Charters are awarded based upon a variety of factors relating to the vessel owner, including:</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Global Ship Lease expects substantial competition in expanding its business, including with respect to obtaining new containership charters, from a number of experienced and substantial companies. Many of these competitors currently have significantly greater financial resources than Global Ship Lease does, and can therefore operate larger fleets and may be able to offer better charter rates. There may be an increasing number of owners with vessels available for charter, including many with strong reputations and extensive resources and experience. This increased competition may cause greater price competition for charters. As a result of these factors, Global Ship Lease may be unable to maintain or expand its relationships with CMA CGM or to obtain new charterers on a profitable basis, if at all, which would have a material adverse effect on its business, results of operations and financial condition.</w:t>
      </w:r>
    </w:p>
    <w:p>
      <w:pPr>
        <w:spacing w:after="0" w:line="114"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Global Ship Lease may be unable to make or realize expected benefits from vessel acquisitions, and implementing its growth strategy through acquisitions may harm its business, financial condition and operating results.</w:t>
      </w:r>
    </w:p>
    <w:p>
      <w:pPr>
        <w:spacing w:after="0" w:line="12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Global Ship Lease’s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Global Ship Lease cannot give any assurance that it will be successful in executing its growth plans, that Global Ship Lease will be able to employ acquired vessels under long-term charters or have ship management agreements with similar or better terms than those Global Ship Lease has obtained from its Ship Manager or that it will not incur significant expenses and losses in connection with its future growth.</w:t>
      </w:r>
    </w:p>
    <w:p>
      <w:pPr>
        <w:spacing w:after="0" w:line="120"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Factors that may limit Global Ship Lease’s ability to acquire additional vessels include shipyard capacity for newbuildings, the relatively small number of independent fleet owners and the limited number of modern vessels with appropriate characteristics not subject to existing long-term or other charters. Competition from other purchasers could reduce Global Ship Lease’s acquisition opportunities or cause Global Ship Lease to pay higher prices.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acquisition of a vessel may not be profitable to Global Ship Lease and may not generate cash flow sufficient to justify Global Ship Lease’s investment. In addition, Global Ship Lease’s acquisition growth strategy exposes Global Ship Lease to risks that may harm its business, financial condition and operating results, including risks that Global Ship Lease may:</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unable, including through its ship managers, to hire, train or retain qualified shore and seafaring personnel to manage and operate its growing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its liquidity by using a significant portion of its available cash or borrowing capacity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increase its interest expense or financial leverage if Global Ship Lease incurs additional debt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Unlike newbuildings, secondhand vessels typically do not carry warranties as to their condition at the time of acquisition. While Global Ship Lease would generally inspect existing containerships prior to purchase, such an inspection would normally not provide Global Ship Lease with as much knowledge of a containership’s condition as if it had been built for Global Ship Lease and operated by Global Ship Lease during its life. Future repairs and maintenance costs for existing vessels are difficult to predict and may be substantially higher than for equivalent vessels of which Global Ship Lease has had direct experience. These additional costs could decrease Global Ship Lease’s cash flow and reduce its liquidity.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business depends upon certain individuals who may not necessarily continue to be affiliated with Global Ship Lease.</w:t>
      </w:r>
    </w:p>
    <w:p>
      <w:pPr>
        <w:spacing w:after="0" w:line="20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Global Ship Lease’s future success depends to a significant extent upon its Chief Executive Officer, Ian J. Webber, its Chief Financial Officer, Susan J. Cook, its Chief Commercial Officer, Thomas A. Lister and its Chief Technical Officer, Vivek Puri. Mr. Webber, Ms. Cook, Mr. Lister and Mr. Puri have an aggregate of over 80 years of experience in the shipping industry and have worked with several of the world’s largest shipping companies. They and members of the board of directors are crucial to the execution of its business strategies and to the growth and development of its business. If these individuals were no longer to be affiliated with Global Ship Lease, or if Global Ship Lease were to otherwise cease to receive advisory services from them, Global Ship Lease may be unable to recruit other employees with equivalent talent and experience, and its business and financial condition may suffer as a result.</w:t>
      </w:r>
    </w:p>
    <w:p>
      <w:pPr>
        <w:spacing w:after="0" w:line="11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Global Ship Lease is a recently formed company with limited separate operating history and its historical financial and operating data may not be representative of its future results.</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 is a recently formed company with limited operating history. The historical combined financial statements included in this Annual Report include, mainly as comparatives, its predecessor’s historical business activities as a container shipping company earning revenue from transporting shipper’s cargo and incurring both vessel and voyage expenses, including all costs related to handling of shippers’ cargoes for its vessels while they were owned and operated by CMA CGM until the date of the individual transfer of each of 10 vessels in December 2007 and two further vessels in January 2008. These combined financial statements reflect only the results of Global Ship Lease under its fixed-rate long-term charters, ship management agreements and its financing arrangements only from the date of the individual transfer of each vessel in December 2007 and January 2008. Further, Global Ship Lease’s capital and legal structure changed significantly as a result of the Merger in August 2008, including it becoming listed on the New York Stock Exchange. Consequently, historical financial information is not a meaningful representation of its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not performed and does not intend to perform underwater inspections of its vessels.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Although Global Ship Lease has performed physical inspections of the vessels, Global Ship Lease has not performed and does not intend to perform any underwater inspections either prior to or after their delivery. As a result, Global Ship Lease will not be aware of any damage to a vessel that may exist at the time of delivery and which could only be discovered through an underwater inspection. Global Ship Lease has agreed to purchase the vessels and newbuildings on an “as is” basis, subject to CMA CGM being responsible for any class condition or recommendation that is found to have existed at the date of delivery of the vessels. However, if any damage is subsequently found, Global Ship Lease could incur substantial costs to repair the damage.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Delays in the deliveries of contracted vessels could harm its operating results.</w:t>
      </w:r>
    </w:p>
    <w:p>
      <w:pPr>
        <w:spacing w:after="0" w:line="17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Global Ship Lease has agreed to acquire one secondhand vessel, expected to be delivered in July 2009, and two newbuildings, expected to be delivered in the fourth quarter of 2010. The delivery of any of these vessels could be delayed and any delay could negatively affect its operating results.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delivery of the secondhand vessel could be delayed because of, among other things: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hostilities or political disturbances;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on the vessel sale agreement by CMA CGM;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35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having an outstanding recommendation or condition of class attached to it or a suspension from class that would require, pursuant to its asset purchase agreement, CMA CGM to remedy such recommendation or condition of class prior to delivering the vessel to Global Ship Lease;</w:t>
      </w: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requisite permits or approvals;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or destruction of the vessel while being operated by the seller prior to the delivery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delivery of newbuildings could be delayed for a number of reasons, including:</w:t>
      </w:r>
    </w:p>
    <w:p>
      <w:pPr>
        <w:spacing w:after="0" w:line="90" w:lineRule="exact"/>
        <w:rPr>
          <w:sz w:val="20"/>
          <w:szCs w:val="20"/>
          <w:color w:val="auto"/>
        </w:rPr>
      </w:pPr>
    </w:p>
    <w:p>
      <w:pPr>
        <w:ind w:left="900" w:right="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worsening of the business relationship, or a contractual dispute, between the parties to the building contract that would slow or stop the building or delivery of the newbuildings;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 performance by any of the parties to the ship building contracts, vessel sale agreements or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 or other labor disturbances or other events that disrupt shipyard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bankruptcy or other financial crisis of the shipyard or of the owner who has ordered the two vessels to be built;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hostilities, political or economic disturbances in the regions where the newbuildings are being built;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 or catastrophic event, such as a major earthquake or fire;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requests for changes to the original specifications of the newbuildings;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requisite permits or approvals;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Ship building contracts for newbuildings typically contain a “force majeure” provision whereby the occurrence of certain events could delay delivery or possibly terminate the contract.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termination of the ship building contract, or any delay in the delivery of contracted vessels, will eliminate or postpone Global Ship Lease’s receipt of revenues under the time charters for those vessels and may permanently reduce its actual and projected revenues, and would therefore adversely affect its results of operations and financial condition, and may negatively affect its stock price.</w:t>
      </w:r>
    </w:p>
    <w:p>
      <w:pPr>
        <w:spacing w:after="0" w:line="13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Global Ship Lease is a holding company and it depends on the ability of its subsidiaries to distribute funds to Global Ship Lease in order to satisfy its financial and other obligations.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Global Ship Lease is a holding company and has no significant assets other than the equity interests in its subsidiaries. Global Ship Lease’s subsidiaries own all of its vessels and payments under charters are made to its subsidiaries. As a result, its ability to pay dividends depends on the performance of its subsidiaries and their ability to distribute funds to it. The ability of its subsidiaries to make these distributions could be affected by a claim or other action by a third party, including a creditor, or by Marshall Islands law or the laws of any jurisdiction which regulates the payment of dividends by companies. If Global Ship Lease is unable to obtain funds from its subsidiaries, Global Ship Lease may not be able to pay dividends.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its fleet ages, Global Ship Lease may incur increased operating costs, which could adversely affect its earnings.</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general, the day-to-day cost of operating and maintaining a vessel in good operating condition increases with age. In addition, older vessels are typically less fuel efficient. Governmental regulations and safety or other equipment standards may also require expenditures for alterations, or the addition of new equipment, to its vessels and may restrict the type of activities in which its vessels may engage. Global Ship Lease cannot assure you that, as its vessels age, market conditions will justify those expenditures or enable that it can operate its vessels profitably during the remainder of their useful lives.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insurance may be insufficient to cover losses that may occur to its property or result from its operations.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shipping industry has inherent operational risks. Although Global Ship Lease carries hull and machinery insurance, war risks insurance and protection and indemnity insurance (which includes environmental damage and pollution insurance), Global Ship Lease may not be adequately insured against all risks or its insurers may not pay every claim. Even if its insurance coverage is adequate to cover its losses, Global Ship Lease may not be able to obtain a replacement vessel in the event of a total or constructive loss in a timely manner. Under the terms of its credit facility, Global Ship Lease may be subject to restrictions on the use of any proceeds Global Ship Lease may receive from claims under its insurance policies. Furthermore, in the future, Global Ship Lease may not be able to obtain adequate insurance coverage at reasonable rates for its fleet. Global Ship Lease may also be subject to calls, or premiums, in amounts based not only on its own claim records but also the claim records of all other members of the protection and indemnity associations through which Global Ship Lease receives indemnity insurance coverage for tort liability. Insurers typically have the right to charge additional premiums if vessels transit certain “excluded areas” which may be subject to higher risk of piracy, war or terrorism. Global Ship Lease cannot be certain that its insurers will continue to provide such cover, or that Global Ship Lease will be able to pass these increased costs to its charterers. Its insurance policies will also contain deductibles, limitations and exclusions which, although Global Ship Lease believes are standard in the shipping industry, may nevertheless increase its costs.</w:t>
      </w:r>
    </w:p>
    <w:p>
      <w:pPr>
        <w:spacing w:after="0" w:line="12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addition, Global Ship Lease does not presently carry loss-of-hire insurance, which covers the loss of revenue during extended vessel off-hire periods, such as those that might occur during an unscheduled drydocking due to damage to the vessel from an accident. Accordingly, any vessel that is off-hire for an extended period of time, due to an accident or otherwise, could have a material adverse effect on its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 is incorporated in the Republic of the Marshall Islands, which does not have a well-developed body of corporate law.</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Lease’s corporate affairs are governed by its articles of incorporation and bylaws and by the Business Corporations Act of the Republic of the Marshall Islands, or BCA. The provisions of the BCA resemble provisions of the corporation laws of a number of states in the United States.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Global Ship Lease’s shareholders may have more difficulty in protecting their interests in the face of actions by the management, directors or controlling shareholders than would shareholders of a corporation incorporated in a United States jurisdiction.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Because Global Ship Lease is organized under the laws of the Republic of the Marshall Islands, it may be difficult to serve Global Ship Lease with legal process or enforce judgments against it, its directors or its management.</w:t>
      </w:r>
    </w:p>
    <w:p>
      <w:pPr>
        <w:spacing w:after="0" w:line="12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Global Ship Lease is organized under the laws of the Republic of the Marshall Islands, and substantially all of its assets are located outside of the United States. Its principal executive offices are located outside the United States and some of its directors and officers reside outside the United States. As a result, it may be difficult or impossible for you to bring an action against Global Ship Lease or against its directors or its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Global Ship Lease’s assets or its directors and officers.</w:t>
      </w:r>
    </w:p>
    <w:p>
      <w:pPr>
        <w:spacing w:after="0" w:line="9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Global Ship Lease cannot assure you that it will pay any dividends and Global Ship Lease’s dividend policy is subject to change at the discretion of its board of directors.</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declaration and payment of dividends is subject at all times to the discretion of Global Ship Lease’s board of directors and are limited by other contractual obligations such as those in the credit facility. To the extent permitted by such contractual obligations, Global Ship Lease intends to distribute a portion of its cash flow to its shareholders, while retaining cash flow for reinvestment in its business. Retained cash flow may be used to fund vessel or fleet acquisitions, make debt repayments and for other purposes, as determined by Global Ship Lease’s management and board of directors. There can be no assurance that its actual results will be as anticipated, that its board of directors will not increase the level of reserves or otherwise change its dividend policy or that Global Ship Lease will not have additional cash expenses or liabilities, including extraordinary expenses.</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to our current discussions with our lenders and its outcome, the timing and amount of future dividends, if any, could also be affected by various factors,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Ship Lease’s earnings, financial condition and anticipated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repairs to, or required capital expenditures on, vessels or drydocking costs in excess of amounts held in reserve;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acquisitions of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under its credit facility either now or agreed as part of future waiver discussions including the ratio of drawn debt to current charter-free market value of vessels pledged as security and in any future debt agreements; and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under Marshall Islands law affecting distributions to shareholders, which generally prohibit the payment of dividends other than from surplus (retained earnings and the excess of consideration received from the sale of shares above the par value of the shares) or while a company is insolvent or would be rendered insolvent by the payment of such dividend.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ability to pay dividends is limited by Marshall Islands law.</w:t>
      </w:r>
    </w:p>
    <w:p>
      <w:pPr>
        <w:spacing w:after="0" w:line="17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In addition to limiting payments of dividends if Global Ship Lease is, or could become, insolvent, Marshall Islands law generally prohibits the payment of dividends other than from surplus (retained earnings and the excess of consideration received for the sale of shares above the par value of the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anti-takeover provisions in its organizational documents that may discourage a change of control.</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provisions of Global Ship Lease’s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These anti-takeover provisions could make it more difficult for a third party to acquire Global Ship Lease, even if the third party’s offer may be considered beneficial by many shareholders. As a result, shareholders may be limited in their ability to obtain a premium for their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Global Ship Lease’s securities may be volatile.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price of Global Ship Lease’s common shares units and warrants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Global Ship Lease’s quarterly revenues and earnings and those of its publicly held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shortfalls in Global Ship Lease’s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concerning Global Ship Lease or its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international containership industry has been highly unpredictable and volatile. The market for common shares in this industry may be equally volatile.</w:t>
      </w:r>
    </w:p>
    <w:p>
      <w:pPr>
        <w:spacing w:after="0" w:line="18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There will be a substantial number of Global Ship Lease’s common shares available for sale in the future that may adversely affect the market price of Global Ship Lease’s Class A common shares.</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common shares (not including the common shares underlying the sponsors warrants nor the common shares purchased by Mr. Gross and CMA CGM on the closing date of the Merger pursuant to assignment and acceptance agreements with Marathon) issued in the Merger to Marathon’s initial stockholders and CMA CGM are subject to transfer restrictions set forth in the stockholders agreement. Generally, such shares cannot be sold for one year from the date of the Merger, except that CMA CGM is permitted to transfer (i) up to 4,094,600 Class A common shares after the date that is 120 days after the date of the Merger, and (ii) up to 125,000 common shares to its directors and officers. Pursuant to the registration rights agreement entered into at the effective time of the Merger, Marathon’s initial stockholders and CMA CGM can demand that Global Ship Lease register the resale of their common shares 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any time after the one year anniversary of the Merger. Holders of the sponsor warrants were also entitled to request at any time after the Merger and did so request that we register the Class A common shares underlying the sponsor warrants on a shelf registration statement. The registration and availability of such a significant number of securities for trading in the public market may have an adverse effect on the market price of Global Ship Lease’s Class A common shares.</w:t>
      </w:r>
    </w:p>
    <w:p>
      <w:pPr>
        <w:spacing w:after="0" w:line="10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The outstanding warrants may be exercised in the future, which would increase the number of shares eligible for future resale in the public market and result in dilution to our shareholders. This might have an adverse effect on the market price of our common shares.</w:t>
      </w:r>
    </w:p>
    <w:p>
      <w:pPr>
        <w:spacing w:after="0" w:line="8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Excluding the 5,500,000 sponsor warrants and an aggregate of 6,188,088 Class A warrants owned by CMA CGM, Michael Gross and other initial stockholders of Marathon, there are outstanding public warrants to purchase an aggregate of 39,531,348 Class A common shares. These warrants would likely only be exercised if the $6.00 per share exercise price is below the market price of our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Global Ship Lease cannot assure you that it will realize the expected benefits of its agreement to acquire two 4,250 TEU newbuildings scheduled to be delivered in the fourth quarter of 2010.</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Global Ship Lease has an agreement to acquire two 4,250 TEU newbuildings for approximately $77 million per vessel. The two vessels are scheduled to be delivered in the fourth quarter of 2010 and are expected to be chartered to Zim Integrated Shipping Services Limited for a term of seven to eight years at a net rate of $28,000 per vessel per day. The purchase is subject to the completion of customary documentation and closing conditions. Although Global Ship Lease anticipates that the acquisition will be accretive, Global Ship Lease cannot assure you that it will realize the expected benefits of the acquisition. Further, it is possible that the shipyard, seller or charterer may fail to perform under the agreements which might result in Global Ship Lease being unable to purchase the vessels, having to write off the $15 million deposit already paid or becoming owners of the vessels with no effective charter in place.</w:t>
      </w:r>
    </w:p>
    <w:p>
      <w:pPr>
        <w:spacing w:after="0" w:line="11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Global Ship Lease has swapped the majority of its anticipated core debt from floating rate based on LIBOR to fixed rate debt until at least March 2013 and therefore is locked into a base borrowing rate to which the applicable spread is added to determine the effective rate. Accordingly, Global Ship Lease has removed most of the volatility from its interest charge, other than for changes in the applicable margin, and is unable to benefit from falling LIBOR rates.</w:t>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part of its risk management strategy and in order to avoid volatility in its interest expense, Global Ship Lease has swapped the majority of its anticipated core debt from floating rate based on LIBOR to fixed rate debt until at least March 2013. Approximately $580 million of debt has been swapped into a fixed rate of 3.59%. Global Ship Lease is therefore unable to benefit from falling LIBOR rates.</w:t>
      </w:r>
    </w:p>
    <w:p>
      <w:pPr>
        <w:spacing w:after="0" w:line="134"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 combined financial statements could result in declines in our net income.</w:t>
      </w:r>
    </w:p>
    <w:p>
      <w:pPr>
        <w:spacing w:after="0" w:line="12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accounted for under the relevant U.S. GAAP guidance at market value, as none of the derivatives qualify for hedge accounting, with changes in the mark-to-market being recognized directly in our combined statement of income. During the year ended December 31, 2008, LIBOR and the related forward interest rate curve experienced significant downward movement which significantly impacted the estimated market value of our financial instruments. resulting in a non-cash loss amounting to $54.9 million for the period from August 15, 2008 to December 31, 2008.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interest rate volatility may expose our net income to significant variations.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Industry of Global Ship Lease</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Global Ship Lease’s growth and long term profitability depend mainly upon growth in demand for containerships and the condition of the charter market. The container shipping industry is cyclical and volatile and the industry is currently experiencing a severe cyclical downturn. There is an excess of vessel capacity and demand for containerships has fallen. Charter rates and vessel values have dropped, thus reducing its ability to secure new charterers at attractive rates.</w:t>
      </w:r>
    </w:p>
    <w:p>
      <w:pPr>
        <w:spacing w:after="0" w:line="14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container shipping industry is both cyclical and volatile in terms of charterhire rates and profitability. Charterhire rates have decreased significantly and rates may decrease further in the future. Fluctuations in charter rates result from changes in the supply and demand for ship capacity, which is driven mainly by changes in the supply and demand for world trade container shipping services. There is currently an oversupply of ship capacity which has caused freight rates, charter rates and asset values, to fall. The factors affecting the supply and demand for containerships and container shipping services are outside Global Ship Lease’s control, and the nature, timing and degree of changes in industry conditions are unpredictable.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and the extent of trans-shipments;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containership newbuilding orderbook compared to the existing cellular containership fleet;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Global Ship Lease’s ability to re-charter its fleet upon the expiration or termination of its charters, and the charter rates receivable under and the duration of any renewal or replacement charters will depend upon, among other things, the then state of the containership market and how the then age and quality of Global Ship Lease’s fleet are perceived by the market. If the containership market is in a period of depression when Global Ship Lease’s vessels’ charters expire for whatever reason, including an oversupply of containership capacity, Global Ship Lease may be forced to re-charter its vessels at reduced or unprofitable rates, which may reduce or eliminate its earnings or make its earnings increasingly volatile, or it may not be able to re-charter its vessels at all. The same issues will exist if Global Ship Lease acquires additional vessels without charter arrangements in place, or at the expiration of such arrangements, obliging Global Ship Lease to try to fix employment of the additional vessels in the spot market while attempting to subject them to a long-term time charter arrangement.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the market value of vessels or charter rates substantially declines then Global Ship Lease may incur a financial loss if it attempts to sell one or more of its vessels.</w:t>
      </w:r>
    </w:p>
    <w:p>
      <w:pPr>
        <w:spacing w:after="0" w:line="12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Containership values can fluctuate substantially over time and have recently declined significantly. A number of factors may contribute to a decrease in the market value of containerships, including: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economic conditions in the market in which the containership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or an oversupply in global containership capacity; and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Global Ship Lease may be unable to re-charter the vessel at attractive rates and, rather than continue to incur costs to maintain and finance the vessel, Global Ship Lease may seek to dispose of it. It is likely that in such circumstances asset values will also be depressed. Inability to dispose of the containership at a reasonable price could result in a loss on the vessel’s sale and adversely affect Global Ship Lease’s results of operations and financial condition.</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Future fluctuations in charter rates and vessel values may trigger a possible impairment of Global Ship Lease’s vessels as described in “Management’s Discussion and Analysis of Financial Condition and Results of Operations of Global Ship Lease—Critical Accounting Policies and Estimates.”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Charter free market values of Global Ship Lease’s vessels pledged as security under the credit facility may also impact its ability to satisfy its loan-to-value covenants under the credit facility.</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Global Ship Lease may have more difficulty entering into long-term charters if a more active and cheaper short-term or spot container shipping market develops.</w:t>
      </w:r>
    </w:p>
    <w:p>
      <w:pPr>
        <w:spacing w:after="0" w:line="12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At the expiration of Global Ship Lease’s charters, if a charter terminates early for any reason or if Global Ship Lease acquires vessels charter-free, Global Ship Lease will need to charter or re-charter its vessels. Should more vessels be available on the spot or short-term market at the time Global Ship Lease is seeking to fix new long-term charters, Global Ship Lease may have difficulty entering into such charters at profitable rates and for any term other than short term and, as a result, Global Ship Lease’s cash flow may be subject to instability in the long-term. In addition, it would be more difficult to fix relatively older vessels should there be an oversupply of younger vessels on the market. A more active short-term or spot market may require Global Ship Lease to enter into spot or short-term charters based on prevailing market rates, as opposed to long-term contracts based on a fixed rate, which could result in a decrease in Global Ship Lease’s cash flow in periods when charter rates are depressed.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Piracy is an inherent risk in the operation of ocean-going vessels and has historically affected vessels trading in regions of the world such as the South China Sea and in the Gulf of Aden off the coast of Somalia. Throughout 2008, the frequency of piracy incidents against commercial shipping vessels has increased significantly, particularly in the Gulf of Aden off the coast of Somalia. For example, in November 2008, the M/V Sirius Star, a tanker vessel not affiliated with us, was captured by pirates in the Indian Ocean while carrying crude oil estimated to be worth $100 million. The M/V Sirius Star is classified as a very large crude carrier and has the capacity to carry over 2.0 million barrels of crude oil. Pirate attacks on any of our vessels could result in loss of life, the kidnapping of our crew or the theft, damage or destruction of our vessels or of cargo being transported thereon. We may not be adequately insured to cover losses from these incidents, which could have a material adverse effect on our business, results of operations and financial condition. In addition, costs, including due to employing onboard security guards, should we so decide, could increase in such circumstances. Any of these events may materially adversely affect our charterers, impairing their ability to make payments to us under our charters.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its results of operations and financial condition.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the continuing response of the United States and other countries to these attacks, as well as the threat of future terrorist attacks, continue to cause uncertainty in the world financial markets and may affect Global Ship Lease’s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Global Ship Lease’s ability to obtain additional financing on terms acceptable to Global Ship Lease or at all.</w:t>
      </w:r>
    </w:p>
    <w:p>
      <w:pPr>
        <w:spacing w:after="0" w:line="11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Terrorist attacks targeted at oceangoing vessels may also negatively affect Global Ship Lease’s future operations and financial condition from, for example, increased insurance costs, and directly impact its containerships or its customers. Future terrorist attacks could result in increased market volatility or even a recession in the United States or elsewhere or negatively affect global financial markets, and could further increase inspection and security requirements and regulation that could slow its operations and negatively affect its profitability. Any of these occurrences could have a material adverse impact on Global Ship Lease’s operating results, revenue and costs.</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Global Ship Lease’s vessels may call on ports located in countries that are subject to restrictions imposed by the United States government, which could negatively affect the trading price of its common shares.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and in relation to its charterers’ business, Global Ship Lease’s vessels may call on ports located in countries subject to sanctions and embargoes imposed by the United States government and countries identified by the United States government as state sponsors of terrorism, such as Syria and Iran. Although these sanctions and embargoes do not prevent Global Ship Lease’s vessels from making calls to ports in these countries, potential investors could view Global Ship Lease’s presence at those ports negatively, which could in turn adversely affect its reputation and the receptiveness of the market for Global Ship Lease’s common shares.</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initial Charterer to make payments to Global Ship Lease, increase its costs or reduce the value of Global Ship Lease’s assets.</w:t>
      </w:r>
    </w:p>
    <w:p>
      <w:pPr>
        <w:spacing w:after="0" w:line="12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Global Ship Lease’s containerships and its cargoes are at risk of being damaged or lost because of events such as marine accidents, bad weather, mechanical failures, human error, war, terrorism, piracy, environmental accidents and other circumstances or events. Any of these events connected to Global Ship Lease’s vessels or other vessels under the initial Charterer’s control, or any other factor which negatively affects the initial Charterer’s business such as the current economic downturn and significant cyclical depression in the container shipping industry, could impair the ability of the initial Charterer to make payments to Global Ship Lease pursuant to its charters. Although the initial Charterer is obligated to pay Global Ship Lease regardless of the amount of cargo on board or the safety of the cargoes, it is possible that low cargo volumes and low freight rates or events noted above may render the initial Charterer financially unable to pay Global Ship Lease its hire. Furthermore, there is a risk that a vessel may become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damaged, lost or destroyed and any such occurrence may cause Global Ship Lease additional expenses to repair or substitute the vessel or may render Global Ship Lease unable to provide the vessel for chartering, which will cause Global Ship Lease to lose charterhire revenue.</w:t>
      </w:r>
    </w:p>
    <w:p>
      <w:pPr>
        <w:spacing w:after="0" w:line="13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Global Ship Lease’s reputation and customer relationships generally. Any of these circumstances or events could increase its costs or lower Global Ship Lease’s revenues, which could result in reduction in the market price of its Class A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Maritime claimants could arrest Global Ship Lease’s vessels, which could interrupt the initial Charterer’s or Global Ship Lease’s cash flow.</w:t>
      </w:r>
    </w:p>
    <w:p>
      <w:pPr>
        <w:spacing w:after="0" w:line="2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Global Ship Lease’s vessels, for valid or invalid reasons, could interrupt the initial Charterer’s or Global Ship Lease’s cash flow and require the initial Charterer or Global Ship Lease or Global Ship Lease’s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its fleet for claims relating to another vessel in its fleet. In any event, any lien imposed may adversely affect its results of operations by delaying the revenue gained from 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Global Ship Lease’s vessels during a period of war or emergency without adequate compensation.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 government could requisition one or more of Global Ship Lease’s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Global Ship Lease would likely be entitled to compensation in the event of a requisition of one or more of its vessels, the amount and timing of payment would be uncertain. Government requisition of one or more of Global Ship Lease’s vessels may negatively impact its revenues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innovation could reduce Global Ship Lease’s charterhire income and the value of Global Ship Lease’s vessels.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charterhire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due to draft or other physical considerations, utilize related dock facilities, such as cranes, load or unload with on-board cranes and pass through canals and straits. Physical condition is related to the original design and construction, maintenance and the impact of the stress of operations. If new containerships are built that are more efficient or more flexible or have longer physical lives than Global Ship Lease’s vessels, competition from these more technologically advanced containerships could adversely affect the amount of charterhire payments Global Ship Lease receives for its vessels once their initial charters expire and the resale value of its vessels could significantly decrease.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Global Ship Lease’s business and operating results.</w:t>
      </w:r>
    </w:p>
    <w:p>
      <w:pPr>
        <w:spacing w:after="0" w:line="12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the society is an attestation that the vessel is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Please see “Business Overview— Inspection by Classification Societies” for more information regarding annual surveys, intermediate surveys and special surveys. Bureau Veritas, Lloyd’s Register and Germanischer Lloyd, the classification societies for the vessels in Global Ship Lease’s fleet, may approve and carry out in-water inspections of the underwater parts of its vessels once every three to five years, in lieu of drydocking inspections. In-water inspections are typically less expensive than drydocking inspections and Global Ship Lease intends to conduct in-water inspections when that option is available to it.</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Global Ship Lease could also be in violation of provisions in its charters, insurance coverage, covenants in its loan agreements and ship registration requirements and its revenues and future profitability would be negatively affected.</w:t>
      </w:r>
    </w:p>
    <w:p>
      <w:pPr>
        <w:spacing w:after="0" w:line="10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Global Ship Lease is subject to regulation and liability under environmental laws that could require significant expenditures and affect Global Ship Lease’s cash flows and net income.</w:t>
      </w:r>
    </w:p>
    <w:p>
      <w:pPr>
        <w:spacing w:after="0" w:line="12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shipping industry, and the operations of containerships, are materially affected by environmental regulation in the form of international conventions, national, state and local laws and regulations in force in the jurisdictions in which Global Ship Lease’s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Global Ship Lease cannot predict the cost of complying with such requirements or the impact thereof on the value or useful life of its containerships. Additional conventions, laws and regulations may be adopted that could limit Global Ship Lease’s ability to do business or increase the cost of its doing business and which may materially adversely affect Global Ship Lease’s operations. Global Ship Lease is required by various governmental and quasi-governmental agencies to obtain certain permits, licenses, certificates and financial assurances with respect to its operations. Many environmental requirements are designed to reduce the risk of pollution, such as oil spills, and compliance with these requirements can be costly.</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Environmental requirements can also affect the value or useful lives of its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Global Ship Lease could incur material liabilities, including cleanup obligations and natural resource damages, in the event that there is a release of oil-based products or other hazardous materials from its vessels or otherwise in connection with its operations. Global Ship Lease could also become subject to personal injury or property damage claims relating to the release of hazardous materials associated with its existing or historic operations. Violations of, or liabilities under, environmental requirements can result in substantial penalties, fines and other sanctions, including in certain instances, criminal liabilities or seizure or detention of its vessels.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significant compliance costs could be incurred due to existing environmental laws and regulations and those that may be adopted, which could require new maintenance and inspection procedures and new restrictions on air emissions from its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Global Ship Lease to incur significant capital expenditures on its vessels to keep them in compliance, or even to scrap or sell certain vessels altogether. Global Ship Lease believes that regulation of the shipping industry will continue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become more stringent and more expensive for Global Ship Lease and its competitors. Substantial violations of applicable requirements or a catastrophic release of bunker fuel from one of its containerships, among other events, could have a material adverse impact on its business, financial condition and results of operations. For additional information on these and other environmental requirements, you should carefully review the information contained in “Business Overview—Environmental and Other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operating income could fail to qualify for an exemption from U.S. federal income taxation, which will reduce its cash flow.</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 Ship Lease does not expect to be engaged in a United States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its business, financial condition and results of operations. Under the charter agreements, the initial Charterer has agreed to provide reimbursement for any such taxes as the initial Charterer determines where each vessel trades.</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Global Ship Lease may qualify for the tax exemption provided by Section 883 of the Code. However, there are factual circumstances beyond its control that could cause Global Ship Lease not to have the benefit of this exemption and thereby be subject to the 4% tax described above. For example, if shareholders with a 5% or greater interest in its Class A common shares were collectively to own 50% or more of its outstanding common shares on more than half the days during a taxable year, Global Ship Lease would probably not be able to qualify for the exemption provided under Section 883 of the Code. Based on information that Marathon had as to its shareholders, it appears that if such shareholders were to retain the Global Ship Lease Class A common shares that they received in the Merger, Global Ship Lease likely would not qualify for the Section 883 exemption. Because this, as well as other factors relevant to the availability of the Section 883 exemption, will depend on future facts over which Global Ship Lease has no control, Global Ship Lease can give no assurances that it will qualify for the Section 883 exemption. See “Material U.S. Federal Income Tax Consequences—Taxation of Global Ship Lease—The Section 883 exemption” for a more comprehensive discussion of the transportation income exemption.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could be taxed as a United States corporation.</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Akin Gump Strauss Hauer &amp; Feld LLP has given a legal opinion that this rule should not apply to Global Ship Lease. Such opinion relied, in part, on assumptions, representations and other information as to certain factual matters, including valuation. Valuation is a question of fact and is subjective. There can be no assurance that the Internal Revenue Service (the “IRS”) would not seek to challenge the correctness of such assumptions, representations or other information or the conclusion reached in such legal opinion, or that such a challenge would not be successful. Akin Gump Strauss Hauer &amp; Feld LLP has not undertaken any obligation to update its opinion.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Global Ship Lease were to be treated as a U.S. corporation, its net income would be subject to U.S. federal corporate income tax, with the highest statutory rate currently being 35%. The imposition of this tax would likely have a negative effect on its business, financial condition and results of operations. Please see “Material U.S. Federal Income Tax Consequences—Taxation of Global Ship Lease—Possibility of taxation as a U.S. corporation” for a more comprehensive discussion of the tax consequences to Global Ship Lease being taxed as a U.S. 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Global Ship Lease refers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60" w:firstLine="8"/>
        <w:spacing w:after="0" w:line="254"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While there are legal uncertainties involved in this determination, based on representations made by Global Ship Lease, GSL Holdings and Marathon, Simpson Thacher &amp; Bartlett LLP, or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Global Ship Lease owns for the production of this income should not constitute passive assets. Based on this opinion, Global Ship Lease does not expect that it will constitute a PFIC with respect to the current or any future taxable year.</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is, however, no direct legal authority under the PFIC rules addressing its current and projected future operations. In addition, Simpson Thacher’s opinion was based on certain representations made by Global Ship Lease, GSL Holdings and Marathon, and such representations were not and will not be presented for review to the IRS. Accordingly, no assurance can be given that the IRS will not assert that Global Ship Lease is a PFIC with respect to any taxable year, nor that a court would not uphold any such assertion. Moreover, no assurance can be given that Global Ship Lease will be able to avoid PFIC classification for any future taxable year if Global Ship Lease decides to change the nature and/or extent of its operations. Simpson Thacher has not undertaken any obligation to update its opinion.</w:t>
      </w:r>
    </w:p>
    <w:p>
      <w:pPr>
        <w:spacing w:after="0" w:line="14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our time charters. No assurance can be given that the IRS or a court of law will accept our position, and there is a risk that the IRS or a court of law could determine that we are a PFIC.</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the IRS were to determine that Global Ship Lease is or has been a PFIC for any taxable year, its United States shareholders will face adverse United States tax consequences. Distributions paid by Global Ship Lease with respect to its shares will not constitute qualified dividend income if Global Ship Lease were a PFIC in the year Global Ship Lease pays a dividend or in the prior taxable year and, hence, will not be eligible for the preferential rate of tax that applies to qualified dividend income. In addition, its United States shareholders (other than shareholders who have made a “qualified electing fund” or “mark-to-market” election) will be subject to special rules relating to the taxation of “excess distributions”—with excess distributions being defined to include certain distributions Global Ship Lease may make on its Class A common shares as well as gain recognized by a U.S. holder on a disposition of its Class A common shares. In general, the amount of any “excess distribution” will be allocated ratably to each day of the U.S. holder’s holding period for its Class A common shares. The amount allocated to the current year and any taxable year prior to the first taxable year for which Global Ship Lease was a PFIC will be included in the U.S. holder’s gross income for the current year as ordinary income. With respect to amounts allocated to prior years for which Global Ship Lease was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“Material U.S. Federal Income Tax Consequences—Tax Consequences of Holding Class A Common Shares—U.S. holders—Consequences of possible passive foreign investment company classification”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a more comprehensive discussion of the U.S. federal income tax consequences to United States shareholders if Global Ship Lease were treated as a PFIC (including those applicable to United States shareholders who make a qualified electing fund or mark-to-market election).</w:t>
      </w:r>
    </w:p>
    <w:p>
      <w:pPr>
        <w:spacing w:after="0" w:line="7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Global Ship Lease may be subject to taxation on all or part of its income in the United Kingdom, which could have a material adverse effect on its results of operations.</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Global Ship Lease were considered to be a resident of the United Kingdom or to have a permanent establishment in the United Kingdom, all or a part of its profits could be subject to UK corporate tax, which currently has a maximum rate of 28%. Global Ship Lease is managed and controlled from outside the United Kingdom and restricts its activities within the United Kingdom so that its UK taxes will be minimized. Certain intra-group services may be provided from within the United Kingdom, in which case UK corporate tax will be payable on the arms-length price for those services. The appropriate arms-length price in these circumstances is likely to be a matter of negotiation with the UK taxing authorities.</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some administrative and executive services will be provided to Global Ship Lease by a subsidiary company located in the United Kingdom and certain of its directors may reside in the United Kingdom, and because UK statutory and case law fail to definitively identify the activities that constitute a trade being carried on in the United Kingdom through a permanent establishment, the UK taxing authorities may contend that Global Ship Lease is subject to UK corporate tax on all of its income, or on a greater portion of its income than Global Ship Lease currently expects to be taxed. If the UK taxing authorities made such a contention, Global Ship Lease could incur substantial legal costs defending its position, and, if Global Ship Lease was unsuccessful in its defense, its results of operations would be materially adversely affected.</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Global Ship Lease is a Republic of the Marshall Islands corporation that owns a fleet of modern containerships of diverse sizes and charters the vessels out under long-term, fixed-rate charters to reputable container shipping companies to generate stable revenues. Global Ship Lease intends to grow its fleet through vessel acquisitions, charter these vessels out, increase its distributable cash flow per share and pay regular quarterly dividends to its shareholders.</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Pursuant to an asset purchase agreement (the “asset purchase agreement”) with CMA CGM and certain of its vessel-owning subsidiaries, Global Ship Lease acquired from CMA CGM its current fleet of 13 secondhand vessels and three newly built vessels. All of the vessels are time chartered to CMA CGM (which, in such capacity, is sometimes referred to as the “initial Charterer”) for terms between five and 17 years equal to a non-weighted average term of 9.9 years remaining at December 31, 2008. Global Ship Lease’s management team undertakes all management of, and strategy for, its fleet and supervises the day-to-day ship management of its vessels which is currently provided by CMA Ships (the “Ship Manager”), a wholly owned subsidiary of CMA CGM, pursuant to ship management agreements.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Inc.,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shares at an exercise price of $9.25 CMA CGM received consideration consisting of 6,778,650 Class A common shares, 3,934,050 Class B common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12,375,000 Class C common shares, 1,000 Series A preferred shares, warrants to acquire 3,131,900 Class A common shares at an exercise price of $9.25,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$18,570,135 in cash. The rights of holders of Class B common shares are identical to those of holders of Class A common shares subject to meeting certain tests,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except that the holders of Class B common shares were not entitled to receive any dividends with respect to any quarter prior to the fourth quarter of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dividend rights are subordinated to those of holders of Class A common shares until at least the third quarter of 2011. The Class C common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automatically converted into Class A common shares on a one-for-one basis on January 1, 2009.</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Class A common shares, warrants to purchase Class A common shares and units (each unit consisting of one Class A common share and one warrant to purchase one Class A common share) are listed on the NYSE under the symbols GSL for the Class A common shares, GSL.WS for the warrants and GSL.U for the units.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current mailing address of Global Ship Lease’s principal executive office is c/o Global Ship Lease Services Limited, Portland House, Stag Place, London SW1E 5RS, United Kingdom, and its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Lease’s fleet, as of December 31, 2008, consisted of 16 containerships, including three newly built vessels, with an aggregate capacity of 59,670 TEU and a weighted average age of approximately 4.5 years and a non-weighted average age of 5.8 years. All of these vessels were acquired from CMA CGM or its subsidiaries pursuant to the asset purchase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Global Ship Lease’s current fleet. Each vessel is on charter to CMA CGM:</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Size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Classification</w:t>
            </w:r>
          </w:p>
        </w:tc>
      </w:t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2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(TEU)</w:t>
            </w:r>
          </w:p>
        </w:tc>
        <w:tc>
          <w:tcPr>
            <w:tcW w:w="3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Built</w:t>
            </w:r>
          </w:p>
        </w:tc>
        <w:tc>
          <w:tcPr>
            <w:tcW w:w="2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Society</w:t>
            </w: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Kumasi</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Marie Delmas</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10,960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4,298</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Germanischer Lloyd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4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Lloyd’s Register</w:t>
            </w: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4100" w:type="dxa"/>
            <w:vAlign w:val="bottom"/>
            <w:gridSpan w:val="3"/>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Lloyd’s Register</w:t>
            </w:r>
          </w:p>
        </w:tc>
      </w:tr>
      <w:tr>
        <w:trPr>
          <w:trHeight w:val="356"/>
        </w:trPr>
        <w:tc>
          <w:tcPr>
            <w:tcW w:w="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80" w:type="dxa"/>
            <w:vAlign w:val="bottom"/>
          </w:tcPr>
          <w:p>
            <w:pPr>
              <w:jc w:val="right"/>
              <w:ind w:right="1532"/>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addition, Global Ship Lease has contracted to purchase three further containerships as set out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Size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Estimated Delivery</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Net Daily</w:t>
            </w:r>
          </w:p>
        </w:tc>
        <w:tc>
          <w:tcPr>
            <w:tcW w:w="0" w:type="dxa"/>
            <w:vAlign w:val="bottom"/>
          </w:tcPr>
          <w:p>
            <w:pPr>
              <w:spacing w:after="0"/>
              <w:rPr>
                <w:sz w:val="1"/>
                <w:szCs w:val="1"/>
                <w:color w:val="auto"/>
              </w:rPr>
            </w:pPr>
          </w:p>
        </w:tc>
      </w:tr>
      <w:tr>
        <w:trPr>
          <w:trHeight w:val="16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(TEU)</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8"/>
              </w:rPr>
              <w:t>Year Built</w:t>
            </w:r>
          </w:p>
        </w:tc>
        <w:tc>
          <w:tcPr>
            <w:tcW w:w="2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Date to GSL</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Charterer</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Period (years)</w:t>
            </w: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(1)</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6,627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CMA CGM</w:t>
            </w:r>
          </w:p>
        </w:tc>
        <w:tc>
          <w:tcPr>
            <w:tcW w:w="1080" w:type="dxa"/>
            <w:vAlign w:val="bottom"/>
            <w:gridSpan w:val="2"/>
            <w:shd w:val="clear" w:color="auto" w:fill="CCEEFF"/>
          </w:tcPr>
          <w:p>
            <w:pPr>
              <w:jc w:val="center"/>
              <w:ind w:left="328"/>
              <w:spacing w:after="0"/>
              <w:rPr>
                <w:sz w:val="20"/>
                <w:szCs w:val="20"/>
                <w:color w:val="auto"/>
              </w:rPr>
            </w:pPr>
            <w:r>
              <w:rPr>
                <w:rFonts w:ascii="Arial" w:cs="Arial" w:eastAsia="Arial" w:hAnsi="Arial"/>
                <w:sz w:val="18"/>
                <w:szCs w:val="18"/>
                <w:color w:val="auto"/>
                <w:w w:val="79"/>
              </w:rPr>
              <w:t>12</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4,250</w:t>
            </w:r>
          </w:p>
        </w:tc>
        <w:tc>
          <w:tcPr>
            <w:tcW w:w="60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October 2010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ZISS</w:t>
            </w:r>
          </w:p>
        </w:tc>
        <w:tc>
          <w:tcPr>
            <w:tcW w:w="1080" w:type="dxa"/>
            <w:vAlign w:val="bottom"/>
            <w:gridSpan w:val="2"/>
          </w:tcPr>
          <w:p>
            <w:pPr>
              <w:jc w:val="center"/>
              <w:ind w:left="348"/>
              <w:spacing w:after="0" w:line="216" w:lineRule="exact"/>
              <w:rPr>
                <w:sz w:val="20"/>
                <w:szCs w:val="20"/>
                <w:color w:val="auto"/>
              </w:rPr>
            </w:pPr>
            <w:r>
              <w:rPr>
                <w:rFonts w:ascii="Arial" w:cs="Arial" w:eastAsia="Arial" w:hAnsi="Arial"/>
                <w:sz w:val="25"/>
                <w:szCs w:val="25"/>
                <w:color w:val="auto"/>
                <w:vertAlign w:val="subscript"/>
              </w:rPr>
              <w:t>7-8</w:t>
            </w:r>
            <w:r>
              <w:rPr>
                <w:rFonts w:ascii="Arial" w:cs="Arial" w:eastAsia="Arial" w:hAnsi="Arial"/>
                <w:sz w:val="10"/>
                <w:szCs w:val="10"/>
                <w:color w:val="auto"/>
              </w:rPr>
              <w:t xml:space="preserve"> (3)</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4,250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December 2010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ZISS</w:t>
            </w:r>
          </w:p>
        </w:tc>
        <w:tc>
          <w:tcPr>
            <w:tcW w:w="1080" w:type="dxa"/>
            <w:vAlign w:val="bottom"/>
            <w:gridSpan w:val="2"/>
            <w:shd w:val="clear" w:color="auto" w:fill="CCEEFF"/>
          </w:tcPr>
          <w:p>
            <w:pPr>
              <w:jc w:val="center"/>
              <w:ind w:left="348"/>
              <w:spacing w:after="0"/>
              <w:rPr>
                <w:sz w:val="20"/>
                <w:szCs w:val="20"/>
                <w:color w:val="auto"/>
              </w:rPr>
            </w:pPr>
            <w:r>
              <w:rPr>
                <w:rFonts w:ascii="Arial" w:cs="Arial" w:eastAsia="Arial" w:hAnsi="Arial"/>
                <w:sz w:val="18"/>
                <w:szCs w:val="18"/>
                <w:color w:val="auto"/>
                <w:w w:val="94"/>
              </w:rPr>
              <w:t xml:space="preserve">7-8 </w:t>
            </w:r>
            <w:r>
              <w:rPr>
                <w:rFonts w:ascii="Arial" w:cs="Arial" w:eastAsia="Arial" w:hAnsi="Arial"/>
                <w:sz w:val="11"/>
                <w:szCs w:val="11"/>
                <w:color w:val="auto"/>
                <w:w w:val="94"/>
              </w:rPr>
              <w:t>(3)</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CMA CGM</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Seven to eight year charter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of the vessels in our current fleet is subject to a long-term time charter with CMA CGM. Global Ship Lease has separate subsidiaries to own each vessel in its fleet. Global Ship Lease guarantees the obligations of each of its subsidiaries under the charters. Each of Global Ship Lease’s charters commenced on each vessel’s delivery. Due to different delivery dates and durations, its charters will expire on different dates and over a period of time. Global Ship Lease believes the staggered expirations of its charters will reduce its exposure to re-chartering risk upon expiration of its initial charters and may mitigate the impact of the cyclical nature of the container shipping industry. The charters have initial terms of five to 17 years and its fleet has a non-weighted average charter period of 9.9 years remaining at December 31, 2008. The initial charter periods for Global Ship Lease’s current fleet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30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6"/>
              </w:rPr>
              <w:t>Commencement of Charter</w:t>
            </w:r>
          </w:p>
        </w:tc>
        <w:tc>
          <w:tcPr>
            <w:tcW w:w="10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b w:val="1"/>
                <w:bCs w:val="1"/>
                <w:color w:val="auto"/>
                <w:w w:val="88"/>
              </w:rPr>
              <w:t>Charter Period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January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January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466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4660" w:type="dxa"/>
            <w:vAlign w:val="bottom"/>
            <w:gridSpan w:val="2"/>
          </w:tcPr>
          <w:p>
            <w:pPr>
              <w:ind w:left="308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80" w:type="dxa"/>
            <w:vAlign w:val="bottom"/>
          </w:tcPr>
          <w:p>
            <w:pPr>
              <w:ind w:left="1700"/>
              <w:spacing w:after="0"/>
              <w:rPr>
                <w:sz w:val="20"/>
                <w:szCs w:val="20"/>
                <w:color w:val="auto"/>
              </w:rPr>
            </w:pPr>
            <w:r>
              <w:rPr>
                <w:rFonts w:ascii="Arial" w:cs="Arial" w:eastAsia="Arial" w:hAnsi="Arial"/>
                <w:sz w:val="18"/>
                <w:szCs w:val="18"/>
                <w:color w:val="auto"/>
              </w:rPr>
              <w:t>26</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its current fleet, hire is payable to Global Ship Lease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to compensate Global Ship Lease for any vessel in its fleet by the amount by which actual operating costs per day (excluding any drydock costs and insurance premiums) are greater than $500 over a specified amount, which specified amount is based on projected costs over the life of each charter, provided more than 50% of such increase is attributable to crew and lubricating oil costs, such compensation not to exceed $500 per day per vessel.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net daily hire rate that CMA CGM has agreed to pay for each vessel: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xml:space="preserve">Net Daily Rate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40" w:type="dxa"/>
            <w:vAlign w:val="bottom"/>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40" w:type="dxa"/>
            <w:vAlign w:val="bottom"/>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40" w:type="dxa"/>
            <w:vAlign w:val="bottom"/>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40" w:type="dxa"/>
            <w:vAlign w:val="bottom"/>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owner, Global Ship Lease is required to maintain each vessel in class and in an efficient state of hull and machinery and is responsible for vessel costs such as crewing, lubricating oil, maintenance, insurance and drydocking. The charterer is responsible for the voyage costs, which includes bunker fuel, stevedoring, port charges and towage. As described below, Global Ship Lease has entered into ship management agreements and the global expense agreement with its Ship Manager.</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vessels in the current fleet (and CMA CGM Berlioz), costs incurred due to structural changes because of changes in legal, classification society or regulatory requirements regarding the vessel shall be paid by Global Ship Lease although if the annual costs aggregate to more than $100,000 for each vessel impacted by such changes, the initial Charterer will compensate Global Ship Lease through a corresponding increase in charterhire from the year the aggregate amount is reached.</w:t>
      </w:r>
    </w:p>
    <w:p>
      <w:pPr>
        <w:spacing w:after="0" w:line="14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charter agreements for vessels in the current fleet (and CMA CGM Berlioz) stipulate that the initial Charterer should re-imburse Global Ship Lease for any costs of war risks insurance additional premiums and additional crew expenses, if any, that are applicable if the initial Charterer acts outside the insurance limits and for entering areas which are specified by the insurance underwriters as being subject to additional premiums.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Pursuant to the terms of the time charter, the initial Charterer of the current fleet (and CMA CGM Berlioz) has a right of first refusal to purchase the vessel at matching terms to any offer of any third party if Global Ship Lease decides to sell the vessel during, or at the end of, the charter period. Should the initial Charterer not exercise its right of first refusal in case of a sale during the charter period, Global Ship Lease will be entitled to sell the vessel, subject to the initial Charterer’s approval, which shall not be unreasonably withheld. The initial Charterer has the right to reject a sale of a vessel to owners whose business or shareholding is determined to be detrimental or contrary to the initial Charterer’s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time charter, when the vessel is not available for service, or “off-hire,” the initial Charterer generally is not required to pay charter hire (unless the initial Charterer is responsible for the circumstances giving rise to the ship’s unavailability), and Global Ship Lease is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initial Charterer’s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Global Ship Lease’s failure to maintain the vessel in compliance with the charter’s requirements, such as maintaining operational certificates.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each of its time charters, Global Ship Lease is responsible for the operation and technical management of each vessel, which includes crewing, provision of lubricating oils, maintaining the vessel, periodic drydocking and performing work required by regulations. The day-to-day crewing and technical management of its vessels are provided by its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a vessel in the current fleet (or CMA CGM Berlioz) is off-hire for more than 90 consecutive days, then the initial Charterer may cancel the charter without any further consequential claims provided the vessel is free of cargo.</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its or the vessel’s control, the initial Charterer may request that Global Ship Lease cures the deficiency. If the deficiency is not cured within 30 days after Global Ship Lease receives notice, then the initial Charterer may terminate the charter.</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may suspend the performance of its obligations under the charter if the initial Charterer defaults on its payment obligations under the charter.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For the current fleet and CMA CGM Berlioz, Global Ship Lease’s Ship Manager, 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Global Ship Lease’s business. CMA CGM guarantees the performance of all services and any payment due to Global Ship Lease by its Ship Manager pursuant to the ship management agreements.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its ship management agreements, Global Ship Lease expects to pay its Ship Manager for its services an annual management fee of $114,000 per vessel. Under the ship management agreements, its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Global Ship Lease will reimburse the Ship Manager for costs it incurs on Global Ship Lease’s behalf. However, such cost reimbursement is capped on a quarterly basis pursuant to the global expense agreement described in more detail below in “Global Expense Agreement.” Each ship management agreement provides that Global Ship Lease has the right to audit the accounts of its Ship Manager to verify the costs incurred. The Ship Manager has agreed to maintain Global Ship Lease’s vessels so that they remain in class with valid certification. In addition, the Ship Manager will be responsible for Global Ship Lease’s current fleet’s compliance with all government and other regulations, and compliance with class certifications.</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Ship Manager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Ship Manager is required to use its best endeavors to provide the services specified in the ship management agreements. Pursuant to the terms of the ship management agreements, Global Ship Lease will indemnify its Ship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Global Ship Lease’s Ship Manager will not be permitted to sub-contract its obligations under the ship management agreements without Global Ship Lease’s consent, which Global Ship Lease will not unreasonably withhold. With Global Ship Lease’s consent, the Ship Manager has sub-contracted all of its management services under its ship management agreements to its UK subsidiary, CMA Ships UK. Global Ship Lease’s ship management agreements with the Ship Manager have a term of three years from delivery of each vessel subject to the termination rights set forth below.</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ship management agreements are cancelable by Global Ship Lease if its Ship Manager fails to meet its obligations under the ship management agreements for any reason within its control and fails to remedy the default. In addition, after a ship management agreement has been in effect for one year, Global Ship Lease has the option of terminating the ship management agreement upon three months notice if Global Ship Lease can secure more competitive pricing from a recognized third party, approved by CMA CGM as charterer of the vessels, such approval not to be unduly withheld, subject to CMA Ships’ right to match the third party’s terms.</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Global Ship Lease’s Ship Manager can terminate the agreement prior to the end of its term if, among other things: (a) it has not been paid within 30 days of a written request for payment (and Global Ship Lease fails to remedy such default) or (b) Global Ship Lease undergoes a change in control.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Global Ship Lease intends that the ship management of newbuilding hulls 789 and 790, scheduled for delivery in fourth quarter 2010 for timecharter to ZISS, will be subcontracted to a third party ship manager unrelated to CMA CGM.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Global Ship Lease arranges for insurance coverage for each of its vessels, including hull and machinery insurance, protection and indemnity insurance and war risk insurance. Global Ship Lease is responsible for the payment of all premiums.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ship management agreements with CMA Ships, ship operating expenses incurred by the Ship Manager on Global Ship Lease’s behalf in the operation of its fleet on charter to CMA CGM will be reimbursed. Pursuant to the global expense agreement that Global Ship Lease entered into with its Ship Manager, these expenses will be subject to a quarterly cap. Drydocking expenses and insurance premiums are not included in the cap arrangements. For each quarterly period, its Ship Manager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 xml:space="preserve">Per Diem Cap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20" w:type="dxa"/>
            <w:vAlign w:val="bottom"/>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20" w:type="dxa"/>
            <w:vAlign w:val="bottom"/>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 (1)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to be purchased in July 2009</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Once its ship management agreements and the global expense agreement with its Ship Manager expire or are terminated, Global Ship Lease may not be able to negotiate similar terms in replacement agreements.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the global expense agreement, CMA CGM has agreed, effective as of the fourth year of each charter agreement, to compensate Global Ship Lease, for any vessel in its current fleet (and CMA CGM Berlioz) by the amount by which actual operating costs per day (excluding any drydock costs and insurance premiums) are greater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than $500 over a specified amount, which specified amount is based on projected costs over the life of each charter, provided more than 50% of such increase is attributable to crew and lubricating oil costs, such compensation not to exceed $500 per day per vessel.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Global Ship Lease has an eight year $800 million senior secured revolving credit facility with Fortis Bank (Nederland) N.V., as Agent, Citibank Global Markets Limited, HSH Nordbank AG, Sumitomo Mitsui Banking Corporation, Brussels Branch, KFW, DnB Nor Bank ASA and Bank of Scotland, which Global Ship Lease refers to as its credit facility. The original credit facility is dated December 10, 2007.</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Global Ship Lease drew funds under its credit facility to finance in part the purchase of its vessels from CMA CGM and may draw down additional funds for the purchase of additional vessels meeting the requirements described below, as well as for other general corporate purposes. All of Global Ship Lease’s subsidiary companies owning vessels included in the security package are borrowers and guarantors jointly and severally guaranteeing Global Ship Lease’s obligations under the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Leverage Ratio Test</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(defined below) exceeds 75%, the Agent may require a prepayment of the borrowings to the extent necessary to reduce the leverage ratio to 75%.</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10, 2009, Global Ship Lease and the lenders entered into an addendum to the credit facility (the “Addendum”) to effect amendments to address concerns that the recent downward movements in charter free containership values generally could cause the leverage ratio to exceed 75%. The Addendum suspended the 75% leverage ratio test for the period between April 30, 2009 and April 30, 2010. In lieu thereof, the Addendum provides that if the leverage ratio exceeds 90% during this period, Global Ship Lease is required to deposit 50% of its cash available for distribution into a pledged account. In addition, the Addendum provides that if the leverage ratio exceeds 100% during this period, the Agent may require a prepayment of the borrowings or the delivery of additional security to the extent necessary to reduce the leverage ratio to 100%.</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29, 2009, due to continuing challenges in the ship valuation environment, Global Ship Lease agreed with its lenders to waive for two months the requirement under the credit facility to submit vessel valuations and undertake the leverage ratio test. Valuations were otherwise due by April 30, 2009. The credit facility bears an interest margin of 2.75% during this waiver period. Global Ship Lease has agreed that it will not declare or pay any dividend to common shareholders during this waiver period.</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the date of this Annual Report, Global Ship Lease is in discussions with its lenders to obtain a further amendment to the credit facility to address the situation, including the issue of whether and on what terms borrowings may be made to purchase the CMA CGM Berlioz in July 2009. No assurances can be made as to the outcome of these discussions and we may not be successful in obtaining further covenant waivers or other modifications. Please see “Item 3 – Key Information - Risk Factors – Risks Related to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Subject to the satisfaction of certain conditions described below, Global Ship Lease is permitted to borrow funds up to the full amount of the credit facility for a period of four years from the closing of the credit facility (i.e. until December 2011). This period was reduced by one year pursuant to the Addendum. After this period, amounts that Global Ship Lease is able to borrow under the credit facility will reduce as discussed below.</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 free market value of the vessels securing the credit facility plus the value of other security held. The charter-free market value of a vessel is calculated semi-annually in April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November as the arithmetic average of valuations determined by two independent sale and purchase brokers acceptable to the Agent. The Addendum provides that should only one such current valuation be available at the relevant time, if for example all but one approved independent sale and purchase brokers are not prepared to issue valuations due to market disruption, then the result of the valuation that is available is averaged with the last valuations provided. Should no current valuations be available at the relevant time, then the last valuations are used. In these circumstances the borrower is required to seek further current valuations each month. Set forth below is the margin that applies to the applicable leverage ratio. Margins were amended by the Addendum and ratios in excess of 75% were added: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50%</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50% to 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60% to 70%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70%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 to 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80% to 85%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85%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Global Ship Lease pays a commitment fee of 0.50% per annum (increased from 0.25% pursuant to the Addendum), which will be payable quarterly in arrears, on the undrawn portion of the credit facility. Global Ship Lease will be responsible for the duly justified costs properly incurred in connection with the establishment and the maintenance of the credit facility.</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Global Ship Lease’s ability to draw funds under its credit facility is subject to its total borrowings under its credit facility not exceeding 70% of the aggregate charter-free market value of the vessels within the security package plus the value of other security held.</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Global Ship Lease’s ability to borrow amounts under its credit facility is also subject to the execution of customary documentation relating to the credit facility, including security documents, satisfaction of certain customary conditions precedent and compliance with terms and conditions included in the loan documents. Its ability to borrow to acquire additional vessels that will be included in the security package under the credit facility will be subject to the subject vessel being a vessel where Global Ship Lease can prove (i) certain financial requirements related to the vessel, (ii) that the vessel is a container carrier of standard design and at least 750 TEU in capacity, (iii) that it is no more than 10 years old at the time of acquisition and (iv) that it is employed by an acceptable charterer. In certain limited circumstances, Global Ship Lease can utilize the credit facility to purchase vessels that will not be required to form part of the security package.</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credit facility amount will reduce, commencing December 2011, in 16 equal quarterly installments. Global Ship Lease must repay any amount outstanding that is in excess of the newly-reduced maximum credit facility amount. The amount of each installment will be determined in September 2011 based on the following formula: one-quarter of the amount of the credit facility amount divided by the number equal to 18 minus the average age of all vessels included in the security package weighted by market value. Any amount outstanding under the credit facility at the final maturity date in December 2015 must be repaid in one installment. Global Ship Lease may voluntarily cancel undrawn amounts under the credit facility from time to time in a minimum amount of $5.0 million or in multiples of $2.5 million in excess of such amount.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provides that borrowings under the credit facility are secured by the following:</w:t>
      </w:r>
    </w:p>
    <w:p>
      <w:pPr>
        <w:spacing w:after="0" w:line="90" w:lineRule="exact"/>
        <w:rPr>
          <w:sz w:val="20"/>
          <w:szCs w:val="20"/>
          <w:color w:val="auto"/>
        </w:rPr>
      </w:pPr>
    </w:p>
    <w:p>
      <w:pPr>
        <w:ind w:left="900" w:right="3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pledge over Global Ship Lease’s accounts, and those of Global Ship Lease’s subsidiaries’ owning vessels in the security package, which is held with the Agent;</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pledge over the shares of Global Ship Lease’s borrowing or guaranteeing subsidiaries;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guarantees for Global Ship Lease’s obligations from guarantors being Global Ship Lease’s non-borrowing subsidiaries under this credit facility;</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Global Ship Lease for the obligations of the initial Charterer, under the time charters, in cases where the initial Charterer is a subsidiary of CMA CGM;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Global Ship Lease to borrow under its credit facility will be reduced so that its borrowings under the credit facility does not exceed 70% of the market value of the remaining vessels that secure its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covenants that require Global Ship Lease to ensure, among other things, that:</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Global Ship Lease acquires are given to the Agent;</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earnings accounts, the operating account and retention account in relation to the vessels are held with the Agent;</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Ship Lease is only to be involved in the business of ownership of vessels, technical and commercial management of such vessels and related activities;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Ship Lease may not charter-in vessels, lease vessels or enter into any similar arrangement without the prior written approval of the Agent, other than time chartering up to three months, such consent not to be unreasonably withheld, unless the arrangement is with or to Global Ship Lease or its subsidiaries, in which case no approval from the Agent shall be required;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Ship Lease has supplied a list of acceptable flags approved by the Agent. Global Ship Lease may change flag to another approved flag provided the Agent receives the required documentation;</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Ship Lease is restricted from certain asset acquisitions and disposals with respect to its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restrictions on the ability of Global Ship Lease’s subsidiaries to incur additional indebtedness;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Ship Lease will at all times comply with the International Maritime Code for the Safe Operation of Ships and for Pollution Prevention adopted by the IMO;</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change of ownership of any of Global Ship Lease’s subsidiaries;</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Ship Lease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Global Ship Lease shall, at the same time the audited annual consolidated accounts and management accounts are due, provide the Agent with compliance certificates showing the calculation of the financial covenants. A listing of charter rates may also be included;</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Global Ship Lease cannot dispose of net assets in excess of $300.0 million (of which a maximum of $200.0 million in aggregate should be in respect of its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Ship Lease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its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Ship Lease’s financial net debt to total capitalization ratio shall not exceed 75%;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Ship Lease’s ratio of EBITDA to debt service, on a trailing four-quarter basis, shall be no less than 1.10 to 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 Ship Lease maintains a minimum net worth of $200.0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Among other things, each of the following events with respect to Global Ship Lease or any of its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Global Ship Lease’s or its subsidiaries’ breach of Global Ship Lease’s non-financial covenants and failure to remedy within seven business days of receipt of a notice;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Global Ship Lease’s breach of a financial covenant;</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cross default with respect to Global Ship Lease’s and its subsidiaries’ other obligations for any amount in excess of $15.0 million (with respect to Global Ship Lease) and $10.0 million (with respect to its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person other than CMA CGM, and not agreed to by the lenders, acquires more than 51% of its outstanding voting shares; and</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of the initial Charterer or the Charter Guarantor which is continuing in respect of three or more of the time charter contracts associated with its initial and contracted fleet or default of more than half by number of the time charters associated with any approved charterer (provided such charterer is the charterer of at least 25% of Global Ship Lease’s vessels).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Global Ship Lease’s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20" w:hanging="446"/>
        <w:spacing w:after="0" w:line="268"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spacing w:after="0" w:line="288"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can only be carried out in drydock. In-water inspections are typically less expensive than drydocking inspections and Global Ship Lease intends to conduct in-water inspections when that option is available to it.</w:t>
      </w:r>
    </w:p>
    <w:p>
      <w:pPr>
        <w:spacing w:after="0" w:line="41" w:lineRule="exact"/>
        <w:rPr>
          <w:rFonts w:ascii="Arial" w:cs="Arial" w:eastAsia="Arial" w:hAnsi="Arial"/>
          <w:sz w:val="15"/>
          <w:szCs w:val="15"/>
          <w:color w:val="auto"/>
        </w:rPr>
      </w:pPr>
    </w:p>
    <w:p>
      <w:pPr>
        <w:jc w:val="both"/>
        <w:ind w:left="1480" w:right="220" w:hanging="446"/>
        <w:spacing w:after="0" w:line="335" w:lineRule="auto"/>
        <w:tabs>
          <w:tab w:leader="none" w:pos="148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Class Renewal Surveys</w:t>
      </w:r>
      <w:r>
        <w:rPr>
          <w:rFonts w:ascii="Arial" w:cs="Arial" w:eastAsia="Arial" w:hAnsi="Arial"/>
          <w:sz w:val="15"/>
          <w:szCs w:val="15"/>
          <w:color w:val="auto"/>
        </w:rPr>
        <w:t>. Class renewal surveys, also known as special surveys, are carried out typically every five years on the ship’s hull,</w:t>
      </w:r>
      <w:r>
        <w:rPr>
          <w:rFonts w:ascii="Arial" w:cs="Arial" w:eastAsia="Arial" w:hAnsi="Arial"/>
          <w:sz w:val="15"/>
          <w:szCs w:val="15"/>
          <w:i w:val="1"/>
          <w:iCs w:val="1"/>
          <w:color w:val="auto"/>
        </w:rPr>
        <w:t xml:space="preserve"> </w:t>
      </w:r>
      <w:r>
        <w:rPr>
          <w:rFonts w:ascii="Arial" w:cs="Arial" w:eastAsia="Arial" w:hAnsi="Arial"/>
          <w:sz w:val="15"/>
          <w:szCs w:val="15"/>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line="290" w:lineRule="auto"/>
        <w:rPr>
          <w:sz w:val="20"/>
          <w:szCs w:val="20"/>
          <w:color w:val="auto"/>
        </w:rPr>
      </w:pPr>
      <w:r>
        <w:rPr>
          <w:rFonts w:ascii="Arial" w:cs="Arial" w:eastAsia="Arial" w:hAnsi="Arial"/>
          <w:sz w:val="16"/>
          <w:szCs w:val="16"/>
          <w:color w:val="auto"/>
        </w:rPr>
        <w:t>thoroughly examined including audio-gauging to determine the thickness of the steel structures. Should the thickness be found to be less than class requirements, the classification society would prescribe steel renewals. Substantial amounts of money may have to be spent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firth year anniversary to inspect underwater parts. The process of continuous class renewal spreads out the required inspections, whilst the vessel is still in service, and reduces the amount of inspections required each fifth year.</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condition for obtaining insurance coverage as well as for obtaining financing from its lenders, every one of Global Ship Lease’s vessels needs to be certified “in class” by a member of the IACS. Pursuant to the terms of the asset purchase agreement, now only applicable to CMA CGM Berlioz scheduled to be purchased in July 2009, any recommendations or suspensions from class which exist at the time of sale to Global Ship Lease will need to be remedied at the sole expense of the vendors before or during the next scheduled drydocking of that vessel. Global Ship Lease is also be indemnified for a period of two years from the date of the sale of each vessel for certain losses incurred prior to the full repair of the vessel that arise out of any recommendations existing on the vessel or suspensions from class at the time of sale. If the recommendations are not sufficiently corrected as determined by a member of the IACS, then the vessel may not remain “in class.” If a vessel is not “in class,” it may not be covered by insurance, and thus may not be available for charter. In addition, Global Ship Lease’s vessels must remain “in class” as a condition to obtaining financing from the lenders under its credit facility.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months by which the vessels in Global Ship Lease’s fleet need to have completed their next drydocking: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Ville d’Aquarius</w:t>
            </w:r>
          </w:p>
        </w:tc>
        <w:tc>
          <w:tcPr>
            <w:tcW w:w="1400" w:type="dxa"/>
            <w:vAlign w:val="bottom"/>
          </w:tcPr>
          <w:p>
            <w:pPr>
              <w:spacing w:after="0"/>
              <w:rPr>
                <w:sz w:val="20"/>
                <w:szCs w:val="20"/>
                <w:color w:val="auto"/>
              </w:rPr>
            </w:pPr>
            <w:r>
              <w:rPr>
                <w:rFonts w:ascii="Arial" w:cs="Arial" w:eastAsia="Arial" w:hAnsi="Arial"/>
                <w:sz w:val="18"/>
                <w:szCs w:val="18"/>
                <w:color w:val="auto"/>
              </w:rPr>
              <w:t>December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CMA CGM Utrillo</w:t>
            </w:r>
          </w:p>
        </w:tc>
        <w:tc>
          <w:tcPr>
            <w:tcW w:w="1400" w:type="dxa"/>
            <w:vAlign w:val="bottom"/>
          </w:tcPr>
          <w:p>
            <w:pPr>
              <w:spacing w:after="0"/>
              <w:rPr>
                <w:sz w:val="20"/>
                <w:szCs w:val="20"/>
                <w:color w:val="auto"/>
              </w:rPr>
            </w:pPr>
            <w:r>
              <w:rPr>
                <w:rFonts w:ascii="Arial" w:cs="Arial" w:eastAsia="Arial" w:hAnsi="Arial"/>
                <w:sz w:val="18"/>
                <w:szCs w:val="18"/>
                <w:color w:val="auto"/>
              </w:rPr>
              <w:t>December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March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Julie Delmas</w:t>
            </w:r>
          </w:p>
        </w:tc>
        <w:tc>
          <w:tcPr>
            <w:tcW w:w="1400" w:type="dxa"/>
            <w:vAlign w:val="bottom"/>
          </w:tcPr>
          <w:p>
            <w:pPr>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CMA CGM La Tour</w:t>
            </w:r>
          </w:p>
        </w:tc>
        <w:tc>
          <w:tcPr>
            <w:tcW w:w="1400" w:type="dxa"/>
            <w:vAlign w:val="bottom"/>
          </w:tcPr>
          <w:p>
            <w:pPr>
              <w:spacing w:after="0"/>
              <w:rPr>
                <w:sz w:val="20"/>
                <w:szCs w:val="20"/>
                <w:color w:val="auto"/>
              </w:rPr>
            </w:pPr>
            <w:r>
              <w:rPr>
                <w:rFonts w:ascii="Arial" w:cs="Arial" w:eastAsia="Arial" w:hAnsi="Arial"/>
                <w:sz w:val="18"/>
                <w:szCs w:val="18"/>
                <w:color w:val="auto"/>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Kumasi</w:t>
            </w:r>
          </w:p>
        </w:tc>
        <w:tc>
          <w:tcPr>
            <w:tcW w:w="1400" w:type="dxa"/>
            <w:vAlign w:val="bottom"/>
          </w:tcPr>
          <w:p>
            <w:pPr>
              <w:spacing w:after="0"/>
              <w:rPr>
                <w:sz w:val="20"/>
                <w:szCs w:val="20"/>
                <w:color w:val="auto"/>
              </w:rPr>
            </w:pPr>
            <w:r>
              <w:rPr>
                <w:rFonts w:ascii="Arial" w:cs="Arial" w:eastAsia="Arial" w:hAnsi="Arial"/>
                <w:sz w:val="18"/>
                <w:szCs w:val="18"/>
                <w:color w:val="auto"/>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CMA CGM Château d’If</w:t>
            </w:r>
          </w:p>
        </w:tc>
        <w:tc>
          <w:tcPr>
            <w:tcW w:w="1400" w:type="dxa"/>
            <w:vAlign w:val="bottom"/>
          </w:tcPr>
          <w:p>
            <w:pPr>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CMA CGM Jamaica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Arial" w:cs="Arial" w:eastAsia="Arial" w:hAnsi="Arial"/>
                <w:sz w:val="18"/>
                <w:szCs w:val="18"/>
                <w:i w:val="1"/>
                <w:iCs w:val="1"/>
                <w:color w:val="auto"/>
              </w:rPr>
              <w:t>CMA CGM America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88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20" w:type="dxa"/>
            <w:vAlign w:val="bottom"/>
            <w:gridSpan w:val="4"/>
          </w:tcPr>
          <w:p>
            <w:pPr>
              <w:spacing w:after="0"/>
              <w:rPr>
                <w:sz w:val="20"/>
                <w:szCs w:val="20"/>
                <w:color w:val="auto"/>
              </w:rPr>
            </w:pPr>
            <w:r>
              <w:rPr>
                <w:rFonts w:ascii="Arial" w:cs="Arial" w:eastAsia="Arial" w:hAnsi="Arial"/>
                <w:sz w:val="18"/>
                <w:szCs w:val="18"/>
                <w:color w:val="auto"/>
              </w:rPr>
              <w:t>*  Expected month of drydocking assume that the vessels of Global Ship Lease’s fleet qualify for in-water inspections.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Global Ship Lease operates in markets that are highly competitive. Global Ship Lease competes for charters based upon price, customer relationships, operating expertise, professional reputation and size, age and condition of the vessel. Global Ship Lease also expects to compete with many other companies, including CMA CGM and its subsidiaries, to, among other things, purchase newbuildings and secondhand vessels to grow its fleet.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Global Ship Lease expects substantial competition in obtaining new containership charters from a number of experienced and substantial companies. Many of these competitors have significantly greater current financial resources than Global Ship Lease does, and can therefore operate larger fleets and may be able to offer better charter rates. There may be an increasing number of owners with vessels available for charter, including many with strong reputations and extensive resources and experience. This increased competition may cause greater price competition for time charters. As a result of these factors, Global Ship Lease may be unable to maintain or expand its relationships with its initial Charterer or to obtain new customers on a profitable basis, if at all, which would have a material adverse effect on its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Global Ship Lease is required by various governmental and other agencies to obtain certain permits, licenses and certificates with respect to its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Global Ship Lease or its Ship Manager. For example, the Delmas Keta, Julie Delmas, Kumasi and Marie Delmas vessels are not compliant with all United States, Canadian and Panama Canal regulations, as its initial Charterer does not intend to operate them in these waters.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Government regulation significantly affects the ownership and operation of vessels. Global Ship Lease is subject to international conventions and codes, and national, state and local laws and regulations in force in the countries in which its vessels may operate or are registered, including those governing the management and disposal of hazardous substances and wastes, the cleanup of oil spills and other contamination, air emissions, and water discharges and ballast water management. Compliance with these laws, regulations and other requirements entails significant expense, including vessel modifications and implementation of certain operating procedures, and are subject to frequent change.</w:t>
      </w:r>
    </w:p>
    <w:p>
      <w:pPr>
        <w:spacing w:after="0" w:line="1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 variety of governmental and private entities subject its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Global Ship Lease to obtain permits, licenses and certificates for the operation of its vessels. Failure to maintain necessary permits or approvals could require Global Ship Lease to incur substantial costs or temporarily suspend the operation of one or more of its vessels in one or more ports.</w:t>
      </w:r>
    </w:p>
    <w:p>
      <w:pPr>
        <w:spacing w:after="0" w:line="9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Global Ship Lease believes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Global Ship Lease will be required to maintain operating standards for all of its vessels that emphasize operational safety, quality maintenance, continuous training of its officers and crews and compliance with United States and international regulations. Because such laws and regulations are frequently changed and may impose increasingly strict requirements, future environmental regulations may limit Global Ship Lease’s ability to do business, increase its operating costs, force the early retirement of its vessels and/or affect their resale value, all of which could have a material adverse affect on its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Global Ship Lease’s vessels are subject to standards imposed by the International Maritime Organization, or IMO, the United Nations agency for maritime safety and the prevention of pollution by ships. The IMO has negotiated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3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sulfur oxide, nitrogen oxide, carbon dioxide and particulate matter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Global Ship Lease has registered the vessels in its fleet in flag states that have ratified Annex VI, which require that Global Ship Lease obtains International Air Pollution Prevention Certificates, or IAPP Certificates, for the vessels in its fleet, from those flag states. As of December 31, 2008, all of the vessels in the fleet had IAPP Certificates. On July 21, 2008, the United States enacted the Maritime Pollution Protection Act of 2008, implementing Annex VI in territorial waters of the United States. Once the president delivers the instrument of ratification to the IMO, the United States will become a party to Annex VI within 90 days. On October 9, 2008, the Member States of the IMO adopted amendments to Annex VI creating more stringent standards for engines and fuels The main changes to MARPOL Annex VI will see a progressive reduction in sulphur oxide (SOx) emissions from ships, with the global sulphur cap reduced initially to 3.50% (from the current 4.50%), effective from 1 January 2012; then progressively to 0.50 %, effective from 1 January 2020, subject to a feasibility review to be completed no later than 2018.</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limits applicable in Sulphur Emission Control Areas (SECAs) will be reduced to 1.00%, beginning on 1 July 2010 (from the current 1.50 %); being further reduced to 0.10 %, effective from 1 January 2015.</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These requirements could require modifications to our vessels to achieve compliance. Global Ship Lease is evaluating these requirements and the alternatives for achieving compliance. The costs to comply with these requirements may be material or significant to our operations.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operation of its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adopt a safety and environmental protection policy;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within the provision of the ISM Code; procedures to prepare guidelines and respond to emergency situation; and procedures for internal audits and management reviews.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such party to increased liability, may decrease available insurance coverage for the affected vessels and may result in a denial of access to, or detention in, certain ports. As of December 31, 2008, each of the vessels in the fleet, and the entities managing or owning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IMO has also adopted an International Convention for the Control and Management of Ships’ Ballast Water and Sediments, or BWM Convention. The BWM Convention’s implementing regulations call for a phased introduction of mandatory ballast water exchange requirements beginning in 2009,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As of February 4, 2009, the BWM Convention has not yet been adopted by the required number of states to come into force. The IMO has indicated that it may seek to postpone the deadline for inclusion of ballast water treatment facilities on newly built ships to the end of 2011. Please see “Ballast Water Management,” below, for a discussion of possible impacts of increased ballast water management regulation.</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ratifying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w:t>
      </w:r>
    </w:p>
    <w:p>
      <w:pPr>
        <w:spacing w:after="0" w:line="140"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its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in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operated by Global Ship Lease), it also applies to non-tanker ships, including containerships, with respect to the fuel oil, or bunkers, used to power such ships.</w:t>
      </w:r>
    </w:p>
    <w:p>
      <w:pPr>
        <w:spacing w:after="0" w:line="1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Coast Guard and Maritime Transportation Act of 2006, or CGMTA, amended OPA to increase the limits of the liability of responsible parties. For any non-tank vessel, the new limits on liability are the greater of $950 per gross ton or $800,000.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Global Ship Lease intends to comply with all applicable state regulations in the ports where its vessels call.</w:t>
      </w:r>
    </w:p>
    <w:p>
      <w:pPr>
        <w:spacing w:after="0" w:line="14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Global Ship Lease intends to maintain pollution liability coverage insurance in the amount of $1.0 billion per incident for each of its vessels. If the damages from a catastrophic spill were to exceed its insurance coverage it could have an adverse effect on its business and results of operation.</w:t>
      </w:r>
    </w:p>
    <w:p>
      <w:pPr>
        <w:spacing w:after="0" w:line="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its vessels that plan on entering U.S. waters, Global Ship Lease intends to comply with the United States Coast Guard regulations by providing a certificate of responsibility from third party entities that are acceptable to the United States Coast Guard evidencing sufficient self-insurance.</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Global Ship Lease and its competitors.</w:t>
      </w:r>
    </w:p>
    <w:p>
      <w:pPr>
        <w:spacing w:after="0" w:line="1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Title VII of the Coast Guard and Maritime Transportation Act of 2004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issued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discharge or threat of discharge of oil from the vessel due to operational activities or casualties. Global Ship Lease is in the process of preparing plans to comply with the requirements of the CGMTA and OPA. Global Ship Lease’s vessels that call at U.S. ports have appropriate vessel response plans filed with the United States Coast Guard and copies are available onboard.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 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absence of federal standards, states have enacted legislation or regulations to address invasive species through ballast water and hull cleaning management and permitting requirements. For example, Michigan has approved a law requiring vessels to obtain a ballast water discharge permit to operate in state waters and use certain technologies to prevent the introduction of non-native species into waters of the state. The Michigan Department of Environmental Quality has approved four options for ballast water treatment that involve sodium hypochlorite, chlorine dioxide, ultraviolet light radiation, or de-oxygenation. The use of these technologies may be costly for oceangoing vessels operating in Michigan ports to implement. The Sixth Circuit rejected a challenge to this law in November 2007, and it is unclear if it will be challenged on other grounds.</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Similarly, 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 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2009, with a final performance standard of zero detectable living organisms going into effect on January 1, 2020. Other states may create other similar hull cleaning regulations or ballast water performance standards that could increase the costs of operating in state waters of the United States.</w:t>
      </w:r>
    </w:p>
    <w:p>
      <w:pPr>
        <w:spacing w:after="0" w:line="12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Clean Water Act, or CWA, prohibits the discharge of oil or hazardous substances in United States navigable waters without a permit and imposes strict liability in the form of penalties for any unauthorized discharges. Current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must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w:t>
      </w:r>
    </w:p>
    <w:p>
      <w:pPr>
        <w:spacing w:after="0" w:line="12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(please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in November 2007, the EPA issued an Advance Notice of Proposed Rulemaking regarding its plan to propose more stringent emission standards and other related provisions for new Category 3 marine engines. The standards under consideration are consistent with the U.S. Government’s proposal to amend Annex VI of MARPOL discussed above, by establishing lower standards for vessel emissions of particulate matter, sulfur oxides, and nitrogen oxides. Certain emission standards under consideration could take effect as early as 2011. This announcement comes as the EPA is defending a lawsuit seeking to require new limits for emissions from Category 3 marine diesel engines on U.S. and foreign-flagged vessels operating in U.S. waters. If these amendments are implemented and apply to existing vessels (as opposed to vessels manufactured after the effective date), we may incur costs to install equipment in these vessels to comply.</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A risk exists that new regulations could require significant capital expenditures and otherwise increase our costs.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sulfur fuels. The Office of Administrative Law approved the rulemaking and filed it with the Secretary of State on May 29, 2009. The regulation will become effective on June 28, 2009.</w:t>
      </w:r>
    </w:p>
    <w:p>
      <w:pPr>
        <w:spacing w:after="0" w:line="113"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to the vessel to some other source of power, most likely a shore-based grid, or</w:t>
      </w:r>
    </w:p>
    <w:p>
      <w:pPr>
        <w:spacing w:after="0" w:line="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use alternative control techniques to achieve equivalent emission reductions. These requirements may increase our operating costs while in California ports.</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waters of the European Union, or the EU, our vessels are subject to regulation EU-level directives implemented by the various nations through laws and regulations of these requirements. These laws and regulations prescribe measures to prevent pollution, protect the environment, and support maritime safety. For instance, the EU has adopted directives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EU’s directive on the sulfur content of fuels restricts the maximum sulfur content of marine fuels used in vessels operating in EU member states’ exclusive economic zones. Under this Directive, our vessels may need to make expenditures to comply with the sulfur fuel content limits in the marine fuel they use in order to avoid delays or other obstructions to their operations. The EU has also issued a directive adopting the IMO’s standards for the maximum sulfur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4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prediction is that, if true, requirements will become more extensive and more stringent. Were more stringent future requirements to be put in effect in the future, they may require, individually or in the aggregate, significant expenditures and could increase our costs of operating, potentially affecting financial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It is impossible to predict what additional legislation or regulations, if any, may be promulgated by the European Union or any other country or authority.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To the extent Global Ship Lease operates in the territorial waters of such countries or enter their ports, its vessels would typically be subject to the requirements and liabilities imposed in such countries. Other regions of the world also have the ability to adopt requirements or regulations that may impose additional obligations on its vessels and may entail significant expenditures on its part and may increase its costs to operate its initial and contracted fleet. These requirements, however, would apply to the industry as a whole and would also affect Global Ship Lease’s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Global Ship Lease has implemented various security measures addressed by SOLAS and the ISPS Code for the vessels in its initial fleet and intends to do so in the future for the vessels of its contracted fleet.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The United States signed into law the </w:t>
      </w:r>
      <w:r>
        <w:rPr>
          <w:rFonts w:ascii="Arial" w:cs="Arial" w:eastAsia="Arial" w:hAnsi="Arial"/>
          <w:sz w:val="21"/>
          <w:szCs w:val="21"/>
          <w:color w:val="auto"/>
          <w:vertAlign w:val="superscript"/>
        </w:rPr>
        <w:t>9</w:t>
      </w:r>
      <w:r>
        <w:rPr>
          <w:rFonts w:ascii="Arial" w:cs="Arial" w:eastAsia="Arial" w:hAnsi="Arial"/>
          <w:sz w:val="17"/>
          <w:szCs w:val="17"/>
          <w:color w:val="auto"/>
        </w:rPr>
        <w:t>/</w:t>
      </w:r>
      <w:r>
        <w:rPr>
          <w:rFonts w:ascii="Arial" w:cs="Arial" w:eastAsia="Arial" w:hAnsi="Arial"/>
          <w:sz w:val="13"/>
          <w:szCs w:val="13"/>
          <w:color w:val="auto"/>
        </w:rPr>
        <w:t>11</w:t>
      </w:r>
      <w:r>
        <w:rPr>
          <w:rFonts w:ascii="Arial" w:cs="Arial" w:eastAsia="Arial" w:hAnsi="Arial"/>
          <w:sz w:val="17"/>
          <w:szCs w:val="17"/>
          <w:color w:val="auto"/>
        </w:rPr>
        <w:t xml:space="preserve">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of vessels trading in the United States exclusive economic zone for certain oil pollution accidents in the United States, has made liability insurance more expensive for ship owners and operators trading in the United States market.</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Global Ship Lease maintains marine hull and machinery insurance, war risks insurance, protection and indemnity cover, increased value insurance and freight, demurrage and defense cover for all its vessels in amounts that it believes to be prudent to cover normal risks in its operations, but Global Ship Lease may not be able to maintain these levels of coverage throughout its vessels’ useful lives. Furthermore, while Global Ship Lease believes that its insurance coverage will be adequate, not all risks can be insured, and there can be no guarantee that any specific claim will be paid, or that Global Ship Lease will always be able to obtain adequate insurance coverage at reasonable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 Ship Lease maintains marine hull and machinery and war risks insurances, which cover the risk of actual or constructive total loss, for all of its vessels. Its vessels are each covered up to at least fair market value, which Global Ship Lease expects its board of directors to assess at least annually, with certain deductibles per vessel per incident. Global Ship Lease also maintains increased value coverage for each of its vessels. Under this increased value coverage, in the event of total loss of a vessel, Global Ship Lease will be entitled to recover amounts not recoverable under its hull and machinery policy due to under-insurance. Under the terms of its credit facility, Global Ship Lease has assigned these insurance policies to its lenders and is subject to restrictions on its use of any proceeds there from.</w:t>
      </w:r>
    </w:p>
    <w:p>
      <w:pPr>
        <w:spacing w:after="0" w:line="14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Global Ship Lease generally does not obtain loss-of-hire insurance covering the loss of revenue during extended off-hire periods. Global Ship Lease will evaluate the need for such coverage on an ongoing basis, taking into account insurance market conditions and the employment of its vessels.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Protection and indemnity insurance is mutual indemnity insurance provided by mutual protection and indemnity associations, or P&amp;I Associations, which insure its third-party and crew liabilities in connection with its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Subject to the “capping” discussed below, its coverage, except for pollution, will be unlimited. Its protection and indemnity insurance coverage for pollution will be $1.0 billion per vessel per incident.</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Global Ship Lease intends to remain a member of a P&amp;I Association that is a member of the International Group, and as such, Global Ship Lease will be subject to calls payable to the other P&amp;I Associations based on the International Group’s claim records as well as the claim records of all other members of the individual P&amp;I Associations.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Fifteen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only material properties are the vessels in its fleet, which are described in Item 4.B. Global Ship Lease does not own any real property.</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The following discussion of the financial condition and results of operations for Global Ship Lease and Global Ship Lease’s Predecessor Group, or the Predecessor Group, should be read in conjunction with Global Ship Lease’s combined financial statements and the related notes and the financial and other information included elsewhere in this Annual Report. The term combined financial statements refers to the combined financial statements of Global Ship Lease, and its subsidiaries, and the Predecessor Group. The term Predecessor Group refers to the container shipping services provided by CMA CGM, and certain of its subsidiaries, using the vessels of Global Ship Lease’s initial fleet before they were purchased by Global Ship Lease. CMA CGM and its subsidiaries are in the business of providing container shipping services to shippers and earning revenue by carrying containerized cargo, whereas Global Ship Lease is a vessel owner earning revenue from chartering out its vessels. Further, as a result of the Merger between Global Ship Lease and Marathon on August 14, 2008, the combined financial statements for the year ended December 31, 2008 are not comparable to prior periods, primarily as a result of the change in the capital and legal structure of the Company and the effect of the purchase price allocation in connection with the Merger on periods subsequent to August 14, 2008. The period from January 1 to August 14, 2008 is described as Predecessor and August 15 to December 31, 2008 as Successor.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combined financial statements include:</w:t>
      </w:r>
    </w:p>
    <w:p>
      <w:pPr>
        <w:spacing w:after="0" w:line="90" w:lineRule="exact"/>
        <w:rPr>
          <w:sz w:val="20"/>
          <w:szCs w:val="20"/>
          <w:color w:val="auto"/>
        </w:rPr>
      </w:pPr>
    </w:p>
    <w:p>
      <w:pPr>
        <w:ind w:left="900" w:hanging="325"/>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carve out financial information reflecting the results and financial position of the 10 secondhand vessels and two newly built vessels (from their dates of purchase by the Predecessor Group) as they were operated by the Predecessor Group, in its business as a container shipping company, for the period up to the dates in December 2007 that CMA CGM sold the 10 secondhand vessels to Global Ship Lease, and the dates in January 2008 that CMA CGM sold the two newly built vessels to Global Ship Lease;</w:t>
      </w:r>
    </w:p>
    <w:p>
      <w:pPr>
        <w:spacing w:after="0" w:line="62"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and financial position of the 10 secondhand vessels and the two newly built vessels as they were operated by Global Ship Lease, in its business as a vessel owner earning revenue from chartering out vessels, from the dates of the vessels’ acquisition in December 2007 and January 2008 by Global Ship Lease from CMA CGM;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and financial position of the three secondhand vessels and one newly built vessel as they were operated by Global Ship Lease, in its business as a vessel owner earning revenue from chartering out vessels, from the dates of the vessels’ acquisition in December 2008 by Global Ship Lease from CMA CGM.</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Assets, liabilities, revenues and expenses that relate to the Predecessor Group have been included where relevant in the combined financial statements. The shipping interests and other assets, liabilities, revenues and expenses of the Predecessor Group that do not relate to vessels in Global Ship Lease’s initial fleet are not included in the combined financial statements.</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combined financial statements have been prepared in accordance with the generally accepted accounting principles in the United States of America, which we refer to as U.S. GAAP, and are presented in United States dollars.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This discussion contains forward-looking statements based on assumptions about Global Ship Lease’s future business. Global Ship Lease’s actual results will likely differ materially from those contained in the forward-looking statements. See “Special Note Regarding Forward-Looking Statements.”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Global Ship Lease acquired 10 secondhand vessels in December 2007, two newly built vessels in January 2008 and three secondhand vessels and one newly built vessel in December 2008. All 16 vessels are chartered to CMA CGM under fixed-rate time charters, with staggered expirations, for terms that range from five years to 17 years, resulting in a non-weighted average term of 9.9 years remaining at December 31, 2008. Each charter commenced on the delivery of the relevant vessel to Global Ship Lease. We have also contracted to purchase a further second-hand vessel from CMA CGM in July 2009, to be chartered to CMA CGM for 12 years, and two newly built vessels from German interests scheduled for delivery in fourth quarter 2010. These two vessels are to be chartered to Zim Integrated Shipping Services Limited (“ZISS”) for seven to eight years.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Ship Lease has entered into ship management agreements with its Ship Manager for the day-to-day technical management of its current fleet of vessels and for CMA CGM Berlioz, expected to be purchased in July 2009. See “Business Overview—Ship Management Agreements” for a more detailed description of Global Ship Lease’s ship management agreements.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Global Ship Lease commenced its business operations in December 2007 with its acquisition of the 10 secondhand vessels from CMA CGM. Global Ship Lease’s operations as a time charter owner differ significantly from the historical operations of the Predecessor Group upon which the Predecessor Group’s historical carve-out financial information included in the combined financial statements is based. In particular, Global Ship Lease generates revenues primarily from charter payments made to it by the charterers of its vessels and not from freight rates for transporting cargoes as undertaken by the Predecessor Group. Costs are also different. Global Ship Lease’s expenses consist mainly of vessel operating expenses including for crewing, provision of lubricating oil and for routine maintenance, as well as insurance costs and general and administrative expenses. Global Ship Lease does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Global Ship Lease believes that its contracted revenue under the fixed rate time charters that are in place and fixed fee and capped operating costs arrangements will help provide it with a stable cash flow that is sufficient for Global Ship Lease’s present operating requirements.</w:t>
      </w:r>
    </w:p>
    <w:p>
      <w:pPr>
        <w:spacing w:after="0" w:line="12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Because Global Ship Lease’s operations as shipowner differ significantly from the business operations of the Predecessor Group as a vessel operator, trends or performance that likely had a material effect on the Predecessor Group’s revenues will likely have limited direct impact on Global Ship Lease’s future revenues, except to the extent that these trends are a result of changing economic conditions in the overall containership industry, which may affect the viability of Global Ship Lease’s customers or generally affect the global demand for and the supply of containerships.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vessels in Global Ship Lease’s fleet and their charter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number of days that Global Ship Lease’s vessels are utilized and not subject to drydocking, special surveys or otherwise off-hire;</w:t>
      </w:r>
    </w:p>
    <w:p>
      <w:pPr>
        <w:spacing w:after="0" w:line="113" w:lineRule="exact"/>
        <w:rPr>
          <w:rFonts w:ascii="Arial" w:cs="Arial" w:eastAsia="Arial" w:hAnsi="Arial"/>
          <w:sz w:val="16"/>
          <w:szCs w:val="16"/>
          <w:color w:val="auto"/>
        </w:rPr>
      </w:pPr>
    </w:p>
    <w:p>
      <w:pPr>
        <w:ind w:left="900" w:right="28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Global Ship Lease’s ability to control its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 to, and the pricing and other terms of, Global Ship Lease’s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1" w:lineRule="auto"/>
        <w:rPr>
          <w:sz w:val="20"/>
          <w:szCs w:val="20"/>
          <w:color w:val="auto"/>
        </w:rPr>
      </w:pPr>
      <w:r>
        <w:rPr>
          <w:rFonts w:ascii="Arial" w:cs="Arial" w:eastAsia="Arial" w:hAnsi="Arial"/>
          <w:sz w:val="16"/>
          <w:szCs w:val="16"/>
          <w:color w:val="auto"/>
        </w:rPr>
        <w:t>Global Ship Lease has entered into long-term fixed rate time charters for all of its vessels. Global Ship Lease expects that its base revenue will be largely fixed until (a) any of its charters expire or otherwise terminate when it will need to seek a renewal or recharter, at possibly a significantly different and lower rate depending on market conditions at the time, or (b) it acquires additional vessels. Global Ship Lease’s shortest time charter agreements expire in December 2012 on two vessels. The charter rate that it will be able to achieve on renewal will be affected by market conditions at that time. As discussed further below, operational matters such as off-hire days for planned maintenance or for unexpected accidents and incidents affect the actual amount of revenues Global Ship Lease receives.</w:t>
      </w:r>
    </w:p>
    <w:p>
      <w:pPr>
        <w:spacing w:after="0" w:line="12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CMA CGM is currently Global Ship Lease’s only customer and charter payments from CMA CGM are Global Ship Lease’s sole source of operating cash flow. At any given time in the future, the cash resources of CMA CGM may be diminished or exhausted, and Global Ship Lease cannot assure its shareholders that CMA CGM will be able to make charter payments to it. If CMA CGM is unable to make charter payments to it, Global Ship Lease’s results of operations and financial condition will be materially adversely affected. Currently, Global Ship Lease has good commercial relations with CMA CGM, and has no reason to believe that CMA CGM will not be able to meet its commitments under its charter agreements with Global Ship Lease.</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Global Ship Lease’s existing charters with CMA CGM were terminated and Global Ship Lease was required to recharter at lower rates or if it failed to find new charters due to market conditions, its results of operations and financial condition would be materially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and $18,570,135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combined financial statements have been prepared in accordance with U.S. GAAP, which requires Global Ship Lease to make estimates in the application of certain accounting policies based on its best assumptions, judgments and opinions. Global Ship Lease bases these estimates on the information available to it at the time and on various other assumptions it believes are reasonable under the circumstances. The following is a discussion of the principal accounting policies of Global Ship Lease and the Predecessor Group, some of which involve a high degree of judgment, and the methods of their application.</w:t>
      </w:r>
    </w:p>
    <w:p>
      <w:pPr>
        <w:spacing w:after="0" w:line="11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For a further description of Global Ship Lease’s material accounting policies, including for the Merger, please see notes 3 and 4 to the combined financial statements included elsewhere in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Global Ship Lease has a $800 million credit facility with Fortis Bank (Nederland) N.V., Citibank Global Markets Limited, HSH Nordbank AG, Sumitomo Mitsui Banking Corporation, Brussels Branch, KFW, DnB Nor Bank ASA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Bank of Scotland, which Global Ship Lease used to acquire its fleet and intends to use to acquire additional vessels and fund working capital, among other things. As of December 31, 2008, outstanding borrowings under the credit facility were $542.1 million.</w:t>
      </w:r>
    </w:p>
    <w:p>
      <w:pPr>
        <w:spacing w:after="0" w:line="13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credit facility contains restrictive covenants including minimum cash, minimum net worth, minimum EBITDA to debt service, maximum net debt to total capital and maximum leverage ratio, which is the ratio of borrowings under credit facility to the market value of the security package, which is essentially the charter-free willing buyer willing seller market value of Global Ship Lease’s vessels.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Due to the global economic downturn and significantly reduced demand for container shipping services and thus for containerships, combined with continuing delivery of newbuilds, containership values have experienced dramatic declines in recent months. Purchase and sale transactions in the containership market have been very limited, mostly for small vessels and, in instances where such transactions have been completed, the prices have been significantly lower than comparable transactions in the past. No newbuilding orders have been placed for many months. Many ship brokers are not providing certificates of market value due to the disrupted market. The negative development in perceived market values has caused concern that Global Ship Lease may exceed its maximum permitted leverage ratio under its credit facility which provides that if the leverage ratio exceeds 75%, the Agent may require a prepayment of borrowings or the delivery of additional security to the extent necessary to reduce the leverage ratio to 75%.</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Accordingly, on February 10, 2009, Global Ship Lease and the lenders entered into an addendum to the credit facility (the “Addendum”) to effect amendments to address these concerns relating to containership market conditions. The Addendum suspended the 75% leverage ratio test for the period between April 30, 2009 and April 30, 2010. In lieu thereof, the Addendum provides that if the leverage ratio exceeds 90% during this period, Global Ship Lease is required to deposit 50% of its cash available for distribution into a pledged account. In addition, the Addendum provides that if the leverage ratio exceeds 100% during this period, the Agent may require a prepayment of borrowings or the delivery of additional security to the extent necessary to reduce the leverage ratio to 100%.</w:t>
      </w:r>
    </w:p>
    <w:p>
      <w:pPr>
        <w:spacing w:after="0" w:line="11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On April 29, 2009, due to continuing challenges in the ship valuation environment, Global Ship Lease agreed with its lenders, to waive for two months until June 30, 2009 the requirement under the credit facility to submit vessel valuations and undertake the leverage ratio test. Valuations were otherwise due by April 30, 2009. Global Ship Lease has agreed that it will not declare or pay any dividend to common shareholders during this waiver period.</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the date of this Annual Report, Global Ship Lease is in active discussions with its lenders to obtain a further amendment to the credit facility to address the situation. No assurances can be made as to the outcome of these discussions and we may not be successful in obtaining further covenant waivers or other modifications.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Management believes that, if it were possible to obtain up-to-date charter free valuations of its fleet as of the date of this Annual Report, the leverage ratio is likely to exceed 100%. Should an amendment to the credit facility or other relief not be obtained by June 30, 2009 and the leverage ratio is determined to be in excess of 100%, the Agent may require a prepayment of borrowings or the delivery of additional security. In such an event, Global Ship Lease is likely to go into default under the credit facility, which would raise substantial doubt about our ability to continue as a going concern.</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2008 and the date of this Annual Report, there were no actual breaches of any covenant and Global Ship Lease has continued to classify the related debt as non current as discussed in Note 2.a to the combined financial statements.</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consolidated financial statements have been prepared assuming that Global Ship Lease will continue as a going concern. Accordingly, the financial statements do not include any adjustments relating to the recoverability and classification of recorded asset amounts, the amounts and classification of liabilities, or any other adjustments that might result should Global Ship Lease be unable to continue as a going concern.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Financial Statements of the Vessels of Global Ship Lease’s Initial Fleet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combined financial statements up to December 31, 2007 reflect mainly the financial position, results of operations and cash flows of the 10 secondhand vessels of Global Ship Lease’s initial fleet as they were operated by the Predecessor Group, in its business as a containership operator, up to the dates that those vessels were sold to Global Ship Lease by CMA CGM in December 2007. The combined financial statements up to December 31, 2008 include the two newly built vessels for the period of the Predecessor Group’s ownership up to dates in January 2008 when they were also sold to Global Ship Lease. The relevant financial information has been carved out of the consolidated financial statements of CMA CGM and its subsidiaries. The Predecessor Group’s business is as a containership operating company providing cargo transportation services, not as an independent shipowner as is Global Ship Lease’s business. Global Ship Lease believes that the information on these vessels, including their assets, liabilities, results of operations and cash flows, reasonably represent those vessels’ financial position, results of operations and cash flows for the Predecessor Group. However, the carve-out financial information on those vessels and their financial positions, results of operations and cash flows are not indicative of those that would have been realized had those or all the vessels of Global Ship Lease’s initial fleet been operated by it as an independent, stand-alone shipowning entity for the periods presented. For example, the combined financial statements for the year ended December 31, 2007 include only 159 ship days, all in December 2007, when the 10 secondhand vessels were owned by Global Ship Lease and operated by it in its business as a vessel owner chartering out its vessels on long-term time charters. These 10 vessels were owned by Global Ship Lease for 3,660 ship days in the year ended December 31, 2008. Accordingly, the financial position, results of operations and cash flows reflected in the combined financial statements are not indicative of those that would have been achieved had Global Ship Lease’s operated as an independent, stand-alone entity for the periods presented or of future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 Predecessor presentation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SAB Topic 5-J, Global Ship Lease reports separately the historical financial information related to its Predecessor which was acquired at the time of the Merger in August 2008. Accordingly, the combined financial statements up to December 31, 2008 include two distinct reporting periods (i) January 1, 2006 through August 14, 2008 (“Predecessor”) and (ii) August 15, 2008 through December 31, 2008 (“Successor”), which relate to the period preceding the Merger referred to in Note 1 to combined financial statements and the period succeeding the Merger, respectively. Predecessor and Successor historical financial information is presented on the face of the combined balance sheet, combined statements of income, cash flow and shareholders’ equity with vertical “black line” between the Predecessor and Successor columns as these periods refer to two different entities.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Statement of Financial Accounting Standards (“SFAS”) No. 141, “Business Combinations” (“SFAS 141”), the purchase method of accounting is used to account for the acquisition of Global Ship Lease Inc. The cost of the acquisition is measured as the fair value of the assets given, equity instruments issued at the date of acquisition, plus costs directly attributable to the acquisition. The acquired assets, assumed liabilities, contractual contingencies and contingent liabilities, are recognized and measured at their fair value at the acquisition date. Management considered a number of factors, including valuations and appraisals, in determining the fair values of assets. Liabilities were revalued at using appropriate then current interest rates. In addition to revaluing existing assets and liabilities, Global Ship Lease recorded certain previously unrecognized assets and liabilities, including an intangible asset for the favorable purchase agreements related to the five vessels to be delivered post Merger and an intangible liability for below-market charters. The sum of the amounts assigned to assets and liabilities exceeded the allocable purchase price, creating negative goodwill. In accordance with SFAS 141, Global Ship Lease allocated this negative goodwill as a reduction of asset values (to vessels in operation, other fixed assets, and intangible assets) on a pro-rata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Unlike the Predecessor Group, whose revenue was derived from freight revenue generated by cargo transportation services, Global Ship Lease’s charter revenue is generated from long-term time charters for each vessel.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charters are regarded as operating leases and provide for a per vessel fixed daily charterhire rate. Revenue is recorded as earned. Assuming Global Ship Lease’s vessels are not off-hire, Global Ship Lease’s charter revenues are fixed for the period of the current charters and, accordingly, little judgment is required to be applied to the amount of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Global Ship Lease’s charter hire agreements are classified as operating leases based on the facts and circumstances at their inception. In accordance with SFAS 13 “Accounting for lease” (“SFAS 13”), an operating lease is a lease agreement that does not transfer substantially all the risks and rewards incidental to the ownership to the lessee. The Company pays a particular attention in evaluating and applying the proper accounting treatment to lease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Lives</w:t>
      </w:r>
    </w:p>
    <w:p>
      <w:pPr>
        <w:spacing w:after="0" w:line="9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Vessels represent Global Ship Lease’s most significant tangible assets and Global Ship Lease states them in its financial statements at their acquisition cost (less an amount allocated to dry dock component), less accumulated depreciation and impairment loss, if any. Following the Merger, the vessels are recorded at their fair value less a proportion of the negative goodwill arising on the acquisition, allocated to these vessels.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2008 was $1,643 (2007: $833 and 2006: $nil). Other borrowing costs are expensed as incurred.</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containerized transportation, the useful life was estimated at 25 years. Following the sale of the vessels to Global Ship Lease, the nature of operations changed significantly and the useful life was reassessed and estimated to be 30 years as Global Ship Lease anticipates that it will be able to earn revenue from its vessels at least until they are 30 years old.</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Should certain factors or circumstances cause Global Ship Lease to revise its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Global Ship Lease’s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Predecessor Group entered into bunker derivative agreements to reduce its exposure to cash flow risks from changing bunker prices. In accordance with the requirements of U.S. GAAP, Global Ship Lease has recognized these derivative instruments on its balance sheet at fair value with the changes in the fair value of these derivative instruments recognized in the statement of income or deferred in equity within “Accumulated other comprehensive income/(loss)” until settlement of the hedge transaction. Global Ship Lease does not expect to enter into such hedging transactions in its on-going business as bunker costs are borne by its charterers.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connection with its credit facility and as part of overall risk management, Global Ship Lease has entered into interest rate swap agreements to reduce its exposure to cash flow risks from floating interest rates. See Item 11 “Quantitative and Qualitative Disclosure About Market Risk—Interest Rate Risk” for more information about Global Ship Lease’s interest rate swap agreements. The swaps are not accounted for as hedging instruments as they have not been designated as such and are not effective in mitigating the risks of changes in interest rates under U.S. GAAP. As such swaps are not accounted for as hedging instruments, Global Ship Lease recognizes them on its balance sheet at fair value with the changes in the fair value of these derivative instruments (mark to market adjustment) recognized in the statement of income. Global Ship Lease will not hold or issue derivative financial instruments for trading or other speculative purposes.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accordance with SFAS 144 “Accounting for the Impairment or Disposal of Long-Lived Assets” (“SFAS 144”) Global Ship Lease’s long-lived assets are regularly reviewed for impairment. Global Ship Lease performs the impairment test at the individual vessel level pursuant to paragraph 10 of SFAS 144.</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Due to the global economic downturn and significantly reduced demand for container shipping services and thus for containerships, combined with continuing delivery of newbuilds, containership values have experienced dramatic declines in recent months. The book value of the Global Ship Lease’s fleet is likely to be greater than its market value based on ship brokers’ valuation. Please see — Item 3 “Key Information – Risk Factors”.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determine whether there is an impairment indicator under SFAS 144, Global Ship Lease compares the sum of the undiscounted future cash flows resulting from existing charters for each vessel less estimated operating and dry dock expenses, plus the estimated undiscounted residual value of each vessel at the end of the charter, with its book value at the end of each reporting period in order to determine if the book value of such vessel is recoverable. The residual value at the end of the charter is determined taking into account the impact of possible future new charters and operating and dry dock expenses and/or the eventual disposition of the vessel.</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Global Ship Lease’s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right="28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determination of the possible future new charters, future market values and/or the eventual disposition of each vessel. Estimates are based on market data and reports, including for the chartering and sale of comparable vessels, prepared by the industry press and by independent shipping analysts and brokers, and assessment by management thereof. The assumed charter rates subsequent to initial charter are based on the 10 years average historical charter rates and range from $18,900 for 2,207 TEUs to $60,400 for 10,960 TEUs.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days on-hire which are estimated at a level consistent with Global Ship Lease’s on-hire statistics and peer group benchmarking;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 impairment charge would occur for certain vessels if the forecasted charter rates were 60% less than the average historical charter rates assumed from the end of the initial charter term for the remaining lives of the vessels.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Whenever the sum of the undiscounted future cash flows resulting from the charter of each vessel less operating expenses plus its expected residual value is above its book value, Global Ship Lease considers that there is no indication of impairment. Whenever the sum of the undiscounted future cash flows resulting from the charter of each vessel less operating expenses plus its expected residual value is below its book value, Global Ship Lease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considers that there is a potential impairment and perform a recoverability test, similar to the above but based on discounted cashflows. An impairment loss will be recognized if the book value of the vessel exceeds the sum of the discounted cash flows expected to result from the use and eventual disposition of the vessel.</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2008, Global Ship Lease concluded that the undiscounted sum of the undiscounted future cash flows resulting from the charter of each vessel less operating expenses plus its expected residual value exceeded the vessel’s book value and accordingly the recoverability test of the impairment analysis was not required as no individual impairment of vessels existed.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Global Ship Lease’s drydocking costs are recognized as a component of the cost of the related vessel, depreciated to the date of the next drydocking. Global Ship Lease’s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One vessel was drydocked in 2008 for a total cost of $1.5 million. In 2007, three vessels were drydocked by the Predecessor Group for a total cost of $4.7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Global Ship Lease awards restricted stock units to its employees and directors which vest, based on service conditions only, over a period of time up to three years from the award date.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On April 9, 2009, the FASB issued FASB Staff Position (FSP) No. 107-1 and APB 28-1 (FSP 107-1 and APB 28-1), “Interim Disclosures about Fair Value of Financial Instruments.” This FSP requires disclosures of fair value for any financial instruments not currently reflected at fair value on the balance sheet for all interim periods. This FSP is effective for interim and annual periods ending after June 15, 2009 and should be applied prospectively. Global Ship Lease does not expect any material financial statement implications relating to the adoption of this FSP.</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9, 2009 the FASB issued FSP No. 115-2 and Financial Accounting Standard (FAS) 124-2 (FSP No. 115-2 and FAS 124-2), “Recognition and Presentation of Other Than Temporary Impairments.” This FSP is intended to bring greater consistency to the timing of impairment recognition, and provide greater clarity to investors about the credit and noncredit components of impaired debt securities that are not expected to be sold. This FSP also requires increased and more timely disclosures regarding expected cash flows, credit losses, and an aging of securities with unrealized losses. This FSP is effective for interim and annual periods ending after June 15, 2009 and should be applied prospectively. Global Ship Lease does not expect any material financial statement implications relating to the adoption of this FSP.</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“Financial Accounting Standards Board (FASB) Accounting Standards Codification” (the Codification) will be effective on July 1, 2009, officially becoming the single source of authoritative nongovernmental U.S. generally accepted accounting principles (GAAP), superseding existing FASB, American Institute of Certified Public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Accountants (AICPA), Emerging Issues Task Force (EITF), and related accounting literature. After that date, only one level of authoritative GAAP will exist. All other accounting literature will be considered non-authoritative. The Codification reorganizes the thousands of GAAP pronouncements into roughly 90 accounting topics and displays them using a consistent structure. Also included in the Codification is relevant Securities and Exchange Commission (SEC) guidance organized using the same topical structure in separate sections within the Codification. This will have an impact to the Global Ship Lease’s financial statements since all future references to authoritative accounting literature will be references in accordance with the Codification. For reporting purposes, the FASB also decided that the Codification will be effective for interim and annual periods ending on or after September 15, 2009. Under this guidance, calendar year-end companies would initially apply the Codification to their third-quarter interim financial statements.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combined financial statements of Global Ship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Comparison between these two periods is of limited value as operations in the year ended December 31, 2008 were comprised almost entirely of Global Ship Lease’s on-going business of owning and chartering out containerships under time charters, whereas operations in the year ended December 31, 2007 were comprised almost entirely of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Operating revenue was $58.0 million for the period from January 1 to August 14, 2008, including time charter revenue of $55.9 million and voyage revenue of $2.1 million, and $39.1 million for the period from August 15 to December 31, 2008 all related to the time charter business. This compares to time charter revenue of $2.9 million and voyage revenue of $332.2 million for the year ended December 31, 2007.</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Time charter revenue reflects income under the fixed rate time charters in effect. The significant increase in time charter revenue between 2007 and 2008 reflects a full year’s contribution of the 10 secondhand vessels purchased by Global Ship Lease in December 2007 and the contribution of the two newly built vessels purchased in January 2008. Certain time charter rates were also increased with effect from April 1 and August 12, 2008. Ownership days in 2008 were 4,416 (1,717 for the Successor and 2,699 for the Predecessor periods) compared to 159 in 2007. There were 45 planned and unplanned off-hire days in 2008 resulting in a utilization rate of 99%. Of the off-hire days, 15 were for the planned drydocking of the </w:t>
      </w:r>
      <w:r>
        <w:rPr>
          <w:rFonts w:ascii="Arial" w:cs="Arial" w:eastAsia="Arial" w:hAnsi="Arial"/>
          <w:sz w:val="18"/>
          <w:szCs w:val="18"/>
          <w:i w:val="1"/>
          <w:iCs w:val="1"/>
          <w:color w:val="auto"/>
        </w:rPr>
        <w:t>Delmas Keta</w:t>
      </w:r>
      <w:r>
        <w:rPr>
          <w:rFonts w:ascii="Arial" w:cs="Arial" w:eastAsia="Arial" w:hAnsi="Arial"/>
          <w:sz w:val="18"/>
          <w:szCs w:val="18"/>
          <w:color w:val="auto"/>
        </w:rPr>
        <w:t xml:space="preserve"> in March. In 2007, there was one day off-hire and utilization was 99%.</w:t>
      </w:r>
    </w:p>
    <w:p>
      <w:pPr>
        <w:spacing w:after="0" w:line="14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Voyage revenue of $2.1 million in 2008 is the revenue earned by the Predecessor Group in carrying cargo on the two newly built vessels up to their dates of sale to Global Ship Lease in January 2008. Voyage revenue at $332.2 million in 2007 is significantly higher as it represents the Predecessor Group’s freight revenue carrying containerized cargo on the 10 vessels owned by it throughout almost all of 2007 and the two newly built vessels from their delivery to the Predecessor Group in November and December 2007 that are now owned by Global Ship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operating expenses totaled $36.1 million for the period from January 1 to August 14, 2008 (or 62% of operating revenue) and $24.2 million for the period from August 15 to December 31, 2008 (or 62% of operating revenue). This compares to $304.9 million in 2007 (or 91% of operating revenue). The significant drop in total operating expenses is due to the change in business model and the elimination of voyage expenses, which were $249.5 million in 2007, from the cost base. Operating expenses can be analyzed as follows:</w:t>
      </w:r>
    </w:p>
    <w:p>
      <w:pPr>
        <w:spacing w:after="0" w:line="62" w:lineRule="exact"/>
        <w:rPr>
          <w:sz w:val="20"/>
          <w:szCs w:val="20"/>
          <w:color w:val="auto"/>
        </w:rPr>
      </w:pPr>
    </w:p>
    <w:p>
      <w:pPr>
        <w:ind w:left="900" w:right="2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whilst they were owned by the Predecessor Group. Voyage expenses of $249.5 million in 2007 (or 74% of operating revenue) related to 10 secondhand vessels for the entire period and the two newly built vessels for part of the year.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$18.1 million for the period from January 1 to</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14, 2008 (or 31% of operating revenue) of which $17.9 million related to the time charter business of Global Ship Lease and $0.2 million related to the Predecessor Group’s business, and $11.9 million for the period from August 15 to December 31, 2008 (or 30% of operating revenue) all related to the time charter business. In 2007, vessel operating expenses were $24.0 million (or 7% of operating revenue) of which $0.7 million related to Global Ship Lease’s time charter business and $23.2 million related to the Predecessor Group’s business. The increase in vessel operating expenses in 2008 for the time charter business and the reduction in these costs related to the Predecessor Group’s business is due to the transfer of vessels from the Predecessor Group to Global Ship Lease.</w:t>
      </w:r>
    </w:p>
    <w:p>
      <w:pPr>
        <w:spacing w:after="0" w:line="37"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$12.2 million for the period from January 1 to August 14, 2008 (or 21% of operating revenue) of which $11.9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related to the time charter business of Global Ship Lease and $0.3 million related to the Predecessor Group’s business, and was $8.7 million for the period from August 15 to December 31, 2008 (or 22% of operating revenue) all related to the time charter business. In 2007, depreciation was $16.1 million (or 5% of operating revenue) of which $0.6 million related to the time charter business of Global Ship Lease and $15.5 million related to the Predecessor Group’s business. Depreciation in 2008 was higher than 2007 mainly due to the effect of the two newly built vessels being included for a full year in 2008 together with the result of the step-up in the value of vessels under purchase accounting on the Merger offset by the impact of the application of the 30 year vessel life in Global Ship Lease’s ownership compared to 25 years in the Predecessor Group’s ownership.</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2008 were $3.8 million for the period from January 1 to August 14, 2008 (or</w:t>
      </w:r>
    </w:p>
    <w:p>
      <w:pPr>
        <w:spacing w:after="0" w:line="38" w:lineRule="exact"/>
        <w:rPr>
          <w:rFonts w:ascii="Arial" w:cs="Arial" w:eastAsia="Arial" w:hAnsi="Arial"/>
          <w:sz w:val="16"/>
          <w:szCs w:val="16"/>
          <w:color w:val="auto"/>
        </w:rPr>
      </w:pPr>
    </w:p>
    <w:p>
      <w:pPr>
        <w:ind w:left="900" w:right="60"/>
        <w:spacing w:after="0" w:line="287" w:lineRule="auto"/>
        <w:rPr>
          <w:rFonts w:ascii="Arial" w:cs="Arial" w:eastAsia="Arial" w:hAnsi="Arial"/>
          <w:sz w:val="16"/>
          <w:szCs w:val="16"/>
          <w:color w:val="auto"/>
        </w:rPr>
      </w:pPr>
      <w:r>
        <w:rPr>
          <w:rFonts w:ascii="Arial" w:cs="Arial" w:eastAsia="Arial" w:hAnsi="Arial"/>
          <w:sz w:val="16"/>
          <w:szCs w:val="16"/>
          <w:color w:val="auto"/>
        </w:rPr>
        <w:t>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$1.2 million in the period from August 15 to December 31, 2008. In 2007, general and administrative expenses were $17.8 million (or 5% of operating revenue) of which $0.3 million related to the time charter business of Global Ship Lease and $17.4 million related to the Predecessor Group’s business. General and administrative expenses for the Predecessor Group represent an allocation of the total CMA CGM group overhead and are thus not comparable to the costs incurred by Global Ship Lease as a standalone entity.</w:t>
      </w:r>
    </w:p>
    <w:p>
      <w:pPr>
        <w:spacing w:after="0" w:line="43"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expense was $0.1 million for the period from January 1 to August 14, 2008, of which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In 2007, other operating income was $(2.3) million and was entirely attributable to the Predecessor Group and related to bunker hedging.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a consequence of all preceding items, operating income was $21.9 million for the period from January 1 to August 14, 2008, of which $24.0 million related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time charter business of Global Ship Lease and $(2.1) million loss related to the Predecessor Group’s business, and $14.9 million for the period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15 to December 31, 2008 all related to the time charter business. This compares to $30.2 million in 2007 of which $1.2 million related to the time charter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of Global Ship Lease and $28.9 million related to the Predecessor Group’s business.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on cash deposits made by Global Ship Lease in 2008 was $0.4 million for the period from January 1 to August 14, 2008 all related to the time charter business of Global Ship Lease, and $0.4 million for the period from August 15 to December 31, 2008 also all related to the time charter business. There were no such deposits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Interest expense was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$800 million credit facility. Interest expense in 2007 was $13.4 million (or 4% of operating revenue) of which $1.1 million relates to the time charter business and $12.3 million relates to the Predecessor Group’s on borrowings associated with the relevant vessels.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the balance of $86.0 million becoming effective in 2009 and 2010 when debt is anticipated to be drawn to purchase the one secondhand vessel in July 2009 and the two newly built vessels in fourth quarter 2010. All swap agreements continue until at least March 2013 at the full notional amount, without amortization.</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in 2008 was $2.7 million for the period from January 1 to August 14, all related to the time charter business of Global Ship Lease, and $(55.3) million loss for the period from August 15 to December 31, 2008 also all related to the time charter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consequence of all preceding items net income was $7.4 million for the period from January 1 to August 14, 2008, of which $9.5 million related to the time charter business of Global Ship Lease and $(2.1) million loss related to the Predecessor Group’s business, and $(44.0) million loss for the period from August 15 to December 31, 2008 also all related to the time charter business compared to $16.8 million in 2007 of which $0.1 million related to the time charter business and $16.7 million to the Predecessor Group.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principal operating segment for the two years ended December 31, 2007 was containerized transportation as performed by the Predecessor Group. Global Ship Lease commenced its time charter business in December 2007 when it purchased 10 secondhand vessels from CMA CGM. As a result, this review is a comparison of the performance of the containerized transportation segment between the years ended December 31, 2007 and 2006, and where relevant, an analysis of the results of the vessel owner segment of Global Ship Lease as a time charter operating company for part of December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revenue increased 12%, or $35.5 million, from $299.6 million in 2006 to $335.1 million in 2007. $32.6 million of the increase is related to the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when vessels were owned by the Predecessor Group and $2.9 million is related to the period after the vessels had been purchased by Global Ship Lease.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$32.6 million increase in total operating revenue for the period when vessels were under the Predecessor Group’s ownership is despite the loss of 159 service days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due to the sale of the 10 secondhand ships in the initial fleet to Global Ship Lease in December 2007. The $32.6 million increase is additional revenue of $4.5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million earned after the delivery to the Predecessor Group of </w:t>
      </w:r>
      <w:r>
        <w:rPr>
          <w:rFonts w:ascii="Arial" w:cs="Arial" w:eastAsia="Arial" w:hAnsi="Arial"/>
          <w:sz w:val="16"/>
          <w:szCs w:val="16"/>
          <w:i w:val="1"/>
          <w:iCs w:val="1"/>
          <w:color w:val="auto"/>
        </w:rPr>
        <w:t>CMA CGM Alcazar</w:t>
      </w:r>
      <w:r>
        <w:rPr>
          <w:rFonts w:ascii="Arial" w:cs="Arial" w:eastAsia="Arial" w:hAnsi="Arial"/>
          <w:sz w:val="16"/>
          <w:szCs w:val="16"/>
          <w:color w:val="auto"/>
        </w:rPr>
        <w:t xml:space="preserve"> in November 2007, improvement on revenue for $32.7 million on the six CMA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CGM ships, mainly related to increases of freight rates out of Asia and to a reduction of $4.6 million on the four DELMAS ships mainly related to the fact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three of these vessels were drydocked in 2007 losing approximately 40 service days. </w:t>
      </w:r>
      <w:r>
        <w:rPr>
          <w:rFonts w:ascii="Arial" w:cs="Arial" w:eastAsia="Arial" w:hAnsi="Arial"/>
          <w:sz w:val="16"/>
          <w:szCs w:val="16"/>
          <w:i w:val="1"/>
          <w:iCs w:val="1"/>
          <w:color w:val="auto"/>
        </w:rPr>
        <w:t>CMA CGM Chateau d’If</w:t>
      </w:r>
      <w:r>
        <w:rPr>
          <w:rFonts w:ascii="Arial" w:cs="Arial" w:eastAsia="Arial" w:hAnsi="Arial"/>
          <w:sz w:val="16"/>
          <w:szCs w:val="16"/>
          <w:color w:val="auto"/>
        </w:rPr>
        <w:t xml:space="preserve"> was delivered to the Predecessor Group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27, 2007 and that vessel did not contribute to total operating revenue in the year ended December 31, 2007. The $2.9 million revenue in the period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after Global Ship Lease purchased the 10 secondhand vessels in December 2007 is the timecharter earnings for the total of 158 on-hire days for the 10 vessels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month.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Operating expenses increased 21%, or $53.1 million, from $251.9 million in 2006 (or 84% of operating revenue) to $304.9 million in 2007 (or 91% of operating revenue). Out of this amount, $303.3 million is related to the period when vessels were under the Predecessor Group’s ownership, and $1.7 million is related to the period when the vessels were under Global Ship Lease’s ownership. Operating expenses consist of the following items:</w:t>
      </w:r>
    </w:p>
    <w:p>
      <w:pPr>
        <w:spacing w:after="0" w:line="26" w:lineRule="exact"/>
        <w:rPr>
          <w:sz w:val="20"/>
          <w:szCs w:val="20"/>
          <w:color w:val="auto"/>
        </w:rPr>
      </w:pPr>
    </w:p>
    <w:p>
      <w:pPr>
        <w:ind w:left="900" w:right="20" w:hanging="325"/>
        <w:spacing w:after="0" w:line="291"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Voyage expenses: </w:t>
      </w:r>
      <w:r>
        <w:rPr>
          <w:rFonts w:ascii="Arial" w:cs="Arial" w:eastAsia="Arial" w:hAnsi="Arial"/>
          <w:sz w:val="16"/>
          <w:szCs w:val="16"/>
          <w:color w:val="auto"/>
        </w:rPr>
        <w:t>Voyage expenses grew 17% or $36.3 million, from $213.1 million in 2006 (or 71% of operating revenue) to $249.5 million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74% of operating revenue) despite the reduction in service days of 159 following the sale of the vessels. Voyage expenses are trade related and refer therefore exclusively to the period when vessels were owned by the Predecessor Group. The $36.3 million increase is related to the introduction of </w:t>
      </w:r>
      <w:r>
        <w:rPr>
          <w:rFonts w:ascii="Arial" w:cs="Arial" w:eastAsia="Arial" w:hAnsi="Arial"/>
          <w:sz w:val="16"/>
          <w:szCs w:val="16"/>
          <w:i w:val="1"/>
          <w:iCs w:val="1"/>
          <w:color w:val="auto"/>
        </w:rPr>
        <w:t>CMA CGM Alcazar</w:t>
      </w:r>
      <w:r>
        <w:rPr>
          <w:rFonts w:ascii="Arial" w:cs="Arial" w:eastAsia="Arial" w:hAnsi="Arial"/>
          <w:sz w:val="16"/>
          <w:szCs w:val="16"/>
          <w:color w:val="auto"/>
        </w:rPr>
        <w:t xml:space="preserve"> , an impact of $4.2 million, to a $37.1 million, or 34%, increase in voyage expenses relating to CMA CGM vessels, mainly due to a 20% increase in bunker fuel price from $305 per ton in 2006 to $352 per ton in 2007, and to a 5%, or $5.0, million decrease in voyage expenses relating to the Predecessor Group vessels due to the drydock period when three vessels did not incur voyage expenses.</w:t>
      </w:r>
    </w:p>
    <w:p>
      <w:pPr>
        <w:spacing w:after="0" w:line="39"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increased 6%, or $1.3 million, from $22.6 million in 2006 (or 8% of operating revenue) to $24.0 million in 2007 (or</w:t>
      </w:r>
      <w:r>
        <w:rPr>
          <w:rFonts w:ascii="Arial" w:cs="Arial" w:eastAsia="Arial" w:hAnsi="Arial"/>
          <w:sz w:val="18"/>
          <w:szCs w:val="18"/>
          <w:i w:val="1"/>
          <w:iCs w:val="1"/>
          <w:color w:val="auto"/>
        </w:rPr>
        <w:t xml:space="preserve"> </w:t>
      </w:r>
      <w:r>
        <w:rPr>
          <w:rFonts w:ascii="Arial" w:cs="Arial" w:eastAsia="Arial" w:hAnsi="Arial"/>
          <w:sz w:val="18"/>
          <w:szCs w:val="18"/>
          <w:color w:val="auto"/>
        </w:rPr>
        <w:t>7% of operating revenue). The increase related to the period when vessels were under the Predecessor Group’s ownership accounts for $0.6 million while the increase related to the period when vessels were under Global Ship Lease’s ownership accounts for $0.7 million representing approximately 159 days in service for all 10 secondhand vessels.</w:t>
      </w:r>
    </w:p>
    <w:p>
      <w:pPr>
        <w:spacing w:after="0" w:line="62"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decreased 3%, or $0.5 million, from $16.7 million in 2006 (or 6% of operating revenue) to $16.1 million in 2007 (or 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operating revenue). The addition of the </w:t>
      </w:r>
      <w:r>
        <w:rPr>
          <w:rFonts w:ascii="Arial" w:cs="Arial" w:eastAsia="Arial" w:hAnsi="Arial"/>
          <w:sz w:val="16"/>
          <w:szCs w:val="16"/>
          <w:i w:val="1"/>
          <w:iCs w:val="1"/>
          <w:color w:val="auto"/>
        </w:rPr>
        <w:t>CMA CGM Alcazar</w:t>
      </w:r>
      <w:r>
        <w:rPr>
          <w:rFonts w:ascii="Arial" w:cs="Arial" w:eastAsia="Arial" w:hAnsi="Arial"/>
          <w:sz w:val="16"/>
          <w:szCs w:val="16"/>
          <w:color w:val="auto"/>
        </w:rPr>
        <w:t xml:space="preserve"> increased depreciation by $0.6 million, but this increase is mitigated by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fact that depreciation on two of the vessels was calculated in 2006 in British Pounds, the functional currency of the entity owning the vessels, before being converted to U.S. dollars whilst they were directly depreciated in U.S. dollars following their transfer to a U.S. dollars functional currency entity in 2007. The main impact, however, is related to the revision of the vessels’ scrap value due to the steady increase of the price of steel. The prospective change in the vessels’ useful lives from 25 to 30-years following the transfer of the 10 vessels of Global Ship Lease’s initial fleet accounted for $0.1 million in this decrease.</w:t>
      </w:r>
    </w:p>
    <w:p>
      <w:pPr>
        <w:spacing w:after="0" w:line="75" w:lineRule="exact"/>
        <w:rPr>
          <w:sz w:val="20"/>
          <w:szCs w:val="20"/>
          <w:color w:val="auto"/>
        </w:rPr>
      </w:pPr>
    </w:p>
    <w:p>
      <w:pPr>
        <w:ind w:left="900" w:right="20" w:hanging="325"/>
        <w:spacing w:after="0" w:line="29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grew 57%, or $6.4 million, from $11.3 million in 2006 (or 4% of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to $17.8 million in 2007 (or 5% of operating revenue). This increase is split between $0.9 million increase relating to the period when vessels were owned by the Predecessor Group and to $5.5 million when vessels were owned by Global Ship Lease. The $0.9 million increase reflects the addition of the CMA CGM Alcazar and a currency translation effect on certain general and administrative costs denominated in Euro while the $5.5 million under Global Ship Lease’s ownership reflects mainly one off costs relating to the establishment of the corporation and the costs of the initial public offering of Global Ship Lease that was postponed in November 2007.</w:t>
      </w:r>
    </w:p>
    <w:p>
      <w:pPr>
        <w:spacing w:after="0" w:line="39"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changed from $11.9 million in 2006 to $2.3 million in 2007. The change is related to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valuation of bunker hedges.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operating income decreased 37%, or $17.6 million, from $47.7 million in 2006 to $30.1 million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$0.2 million ($0 in 2006) being interest earned on cash deposits made by Global Ship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Interest expense decreased 10%, or $1.5 million, from $15.1 million in 2006 (or 5% of operating revenue) to $13.6 million in 2007 (or 4% of operating revenue). Interest expense relating to the period when vessels were owned by the Predecessor Group accounts were $12.3 million while in the period relating to Global Ship Lease ownership were $1.1 million. The reduction in interest expenses relating to the period when vessels were owned by the Predecessor Group from $15.1 million to $12.3 million is mainly related to (i) debt on </w:t>
      </w:r>
      <w:r>
        <w:rPr>
          <w:rFonts w:ascii="Arial" w:cs="Arial" w:eastAsia="Arial" w:hAnsi="Arial"/>
          <w:sz w:val="16"/>
          <w:szCs w:val="16"/>
          <w:i w:val="1"/>
          <w:iCs w:val="1"/>
          <w:color w:val="auto"/>
        </w:rPr>
        <w:t>CMA CGM La Tour</w:t>
      </w:r>
      <w:r>
        <w:rPr>
          <w:rFonts w:ascii="Arial" w:cs="Arial" w:eastAsia="Arial" w:hAnsi="Arial"/>
          <w:sz w:val="16"/>
          <w:szCs w:val="16"/>
          <w:color w:val="auto"/>
        </w:rPr>
        <w:t xml:space="preserve"> and </w:t>
      </w:r>
      <w:r>
        <w:rPr>
          <w:rFonts w:ascii="Arial" w:cs="Arial" w:eastAsia="Arial" w:hAnsi="Arial"/>
          <w:sz w:val="16"/>
          <w:szCs w:val="16"/>
          <w:i w:val="1"/>
          <w:iCs w:val="1"/>
          <w:color w:val="auto"/>
        </w:rPr>
        <w:t>CMA CGM Manet</w:t>
      </w:r>
      <w:r>
        <w:rPr>
          <w:rFonts w:ascii="Arial" w:cs="Arial" w:eastAsia="Arial" w:hAnsi="Arial"/>
          <w:sz w:val="16"/>
          <w:szCs w:val="16"/>
          <w:color w:val="auto"/>
        </w:rPr>
        <w:t xml:space="preserve"> being repaid at the end of 2006 and (ii) debt on the eight other secondhand vessels in the initial fleet being repaid during 2007, and certain positive currency translation effects on vessel financings. These positive effects were offset by the write off of unamortized deferred financing costs associated with the repaid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Predecessor Group was not subject to taxes on income for the periods presented by the combined financial statements. Global Ship Lease’s tax liability under its time charter business in the period was immaterial.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all preceding items, net income decreased $15.9 million or 49% from $32.7 million in 2006 to $16.8 million in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year ended December 31, 2008 Global Ship Lease’s operating activities were comprised almost entirely of the chartering out its vessels under time charters. The combined financial statements comprise two distinct reporting periods, the Predecessor period before the Merger, which completed on August 14, 2008, and the Successor period from that date.</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Net cash provided by operating activities was $20.7 million in the period from January 1 to August 14, 2008 reflecting net income of $7.4 million, depreciation and amortization expense of $12.6 million, $5.1 million improvement in net working capital less $3.0 million change in fair value of interest rate derivatives net of settlement of hedges which do not qualify for hedge accounting and $1.5 million payment of drydock costs.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cash settlement of interest rate derivatives was $4.9 million. The two newly built vessels were purchased in January for $188.7 million, financed by $188.0 borrowings under the credit facility which had been made in December 2007 with the proceeds being placed on deposit.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net change in cash for the period January 1 to August 14, 2008 was an increase of $14.4 million leaving cash at the end of the period of $16.3 million.</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for the period from August 15 to December 31, 2008 was $14.0 million reflecting the net loss of $44.0 million, depreciation and amortization expense of $8.9 million, $55.5 million non cash change in fair value of interest rate derivatives net of settlement of hedges which do not qualify for hedge accounting, $1.1 million non cash charge for stock based compensation less $7.5 million settlement of accounts payable and other liabilities mainly associated with the Merger.</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cash settlement of interest rate derivatives was $0.6 million. Net current liabilities of $6.5 million (net of cash of $16.3 million) were acquired in the Merger and $317.4 million was released from the trust account. $147.1 million was used to retire stock in connection with the Merger and $115.0 million of long term debt was repaid. Amendment and other fees relating to the credit facility totaling $3.9 million were paid in connection with the Merger.</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Warrant proceeds of $3.0 million were received and placed on restricted deposit. Four vessels were purchased in December 2008 for $257.4 million cash (in addition to the $99 million that had been prepaid through the issuance of 12,375,000 common shares to CMA CGM pursuant to the Merger). The cash payment was mainly financed by additional drawings under the credit facility of $256 million. A deposit of $15.5 million was paid for the two vessels anticipated to be purchased in fourth quarter 2010 and $15.6 million of dividends were paid.</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net change in cash for the period August 15, 2008 to December 31, 2008 was an increase of $25.8 million leaving cash at the end of the period of $26.4 million.</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costs of $5.9 million for the credit facility were paid and $146.2 million debt relating to certain vessels when owned by the Predecessor Group was repaid. The remaining cash outflow of $108.8 million is comprised (i) a 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Overall, the net increase in cash and cash equivalents in 2007 was $1.9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2007 and 2006, which represents mainly the operation of the vessels of Global Ship Lease’s initial fleet by the Predecessor Group but also includes a short period after Global Ship Lease’s acquisition of those 10 vessels in December 2007, the principal sources of liquidity for both the Predecessor Group and Global Ship Lease were loans secured by the vessels and operating cash flows. In addition, to part finance Global Ship Lease’s purchase of the 10 secondhand vessels in December 2007, Global Ship Lease obtained a shareholder loan of $176.9 million from CMA CGM. The remaining financing was provided from drawings under the credit facility.</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2006, the Predecessor Group’s operating activities for the year generated $22.8 million. This amount primarily reflects a profit of $32.7 million, depreciation and amortization expenses of $17.1 million less a $10.0 million change in the fair value of financial derivative instruments settlements of hedges of $6.9 million and payment of $1.0 million for drydocks. Changes in working capital in that year negatively impacted the Predecessor Group’s cash position by $9.1 million, mainly related to the fact that the four additional vessels were deployed on a North Europe to West Africa route where payment delays are typically longer.</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2006, net cash used in the Predecessor Group’s investing activities for the year totaled $106.3 million, which included $107.4 million to acquire the four vessels previously owned by Delmas and $6.9 million received for the settlement of hedges.</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issuance costs of $5.9 million for the credit facility were paid and $146.2 million debt relating to certain vessels when owned by the Predecessor Group was repaid. The remaining cash outflow of $108.8 million is comprised (i) a 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2006, net cash received from Global Ship Lease’s Predecessor Group’s financing activities was $83.5 million. $57.2 million of that amount was received from the issuance of long-term debt, net of $0.7 million issuance costs. $64.6 million of net cash was used for the repayment of capital lease obligations related to the change in financing arrangements for the </w:t>
      </w:r>
      <w:r>
        <w:rPr>
          <w:rFonts w:ascii="Arial" w:cs="Arial" w:eastAsia="Arial" w:hAnsi="Arial"/>
          <w:sz w:val="16"/>
          <w:szCs w:val="16"/>
          <w:i w:val="1"/>
          <w:iCs w:val="1"/>
          <w:color w:val="auto"/>
        </w:rPr>
        <w:t>CMA CGM La Tour</w:t>
      </w:r>
      <w:r>
        <w:rPr>
          <w:rFonts w:ascii="Arial" w:cs="Arial" w:eastAsia="Arial" w:hAnsi="Arial"/>
          <w:sz w:val="16"/>
          <w:szCs w:val="16"/>
          <w:color w:val="auto"/>
        </w:rPr>
        <w:t xml:space="preserve"> and </w:t>
      </w:r>
      <w:r>
        <w:rPr>
          <w:rFonts w:ascii="Arial" w:cs="Arial" w:eastAsia="Arial" w:hAnsi="Arial"/>
          <w:sz w:val="16"/>
          <w:szCs w:val="16"/>
          <w:i w:val="1"/>
          <w:iCs w:val="1"/>
          <w:color w:val="auto"/>
        </w:rPr>
        <w:t>CMA CGM Manet</w:t>
      </w:r>
      <w:r>
        <w:rPr>
          <w:rFonts w:ascii="Arial" w:cs="Arial" w:eastAsia="Arial" w:hAnsi="Arial"/>
          <w:sz w:val="16"/>
          <w:szCs w:val="16"/>
          <w:color w:val="auto"/>
        </w:rPr>
        <w:t xml:space="preserve">. Amounts payable to CMA CGM within stockholders equity increased by $110.0 million largely in connection with the acquisition of the four vessels delivered at the beginning of 2006 and the repayment of the financing of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 Tour </w:t>
      </w:r>
      <w:r>
        <w:rPr>
          <w:rFonts w:ascii="Arial" w:cs="Arial" w:eastAsia="Arial" w:hAnsi="Arial"/>
          <w:sz w:val="16"/>
          <w:szCs w:val="16"/>
          <w:color w:val="auto"/>
        </w:rPr>
        <w:t>and</w:t>
      </w:r>
      <w:r>
        <w:rPr>
          <w:rFonts w:ascii="Arial" w:cs="Arial" w:eastAsia="Arial" w:hAnsi="Arial"/>
          <w:sz w:val="16"/>
          <w:szCs w:val="16"/>
          <w:i w:val="1"/>
          <w:iCs w:val="1"/>
          <w:color w:val="auto"/>
        </w:rPr>
        <w:t xml:space="preserve"> CMA CGM Manet</w:t>
      </w:r>
      <w:r>
        <w:rPr>
          <w:rFonts w:ascii="Arial" w:cs="Arial" w:eastAsia="Arial" w:hAnsi="Arial"/>
          <w:sz w:val="16"/>
          <w:szCs w:val="16"/>
          <w:color w:val="auto"/>
        </w:rPr>
        <w:t>. Repayment of long-term debt totaled $19.1 million in 2006.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Credit Facility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Global Ship Lease has an eight year $800 million senior secured revolving credit facility with Fortis Bank (Nederland) N.V., as Agent, Citibank Global Markets Limited, HSH Nordbank AG, Sumitomo Mitsui Banking Corporation, Brussels Branch, KFW, DnB Nor Bank ASA and Bank of Scotland, which Global Ship Lease refers to as its credit facility. The original credit facility is dated December 10,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Developments Relating to the Leverage Ratio Test</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(defined below) exceeds 75%, the Agent may require a prepayment of the borrowings or delivery of additional security to the extent necessary to reduce the leverage ratio to 75%.</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February 10, 2009, Global Ship Lease and the lenders entered into an addendum to the credit facility (the “Addendum”) to effect amendments to address concerns that the recent downward movements in charter free containership values generally could cause the leverage ratio to exceed 75%. The Addendum suspended the 75% leverage ratio test for the period between April 30, 2009 and April 30, 2010. In lieu thereof, the Addendum provides that if the leverage ratio exceeds 90% during this period, Global Ship Lease is required to deposit 50% of its cash available for distribution into a pledged account. In addition, the Addendum provides that if the leverage ratio exceeds 100% during this period, the Agent may require a prepayment of the borrowings or the delivery of additional security to the extent necessary to reduce the leverage ratio to 100%.</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29, 2009, due to continuing challenges in the ship valuation environment, Global Ship Lease agreed with its lenders to waive for two months the requirement under the credit facility to submit vessel valuations and undertake the leverage ratio test. Valuations were otherwise due by April 30, 2009. The credit facility bears an interest margin of 2.75% during this waiver period. Global Ship Lease has agreed that it will not declare or pay any dividend to common shareholders during this waiver period.</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the date of this Annual Report, Global Ship Lease is in discussions with its lenders to obtain a further amendment to the credit facility to address the situation</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including the issue of whether and on what terms borrowings may be made to purchase the Berlioz in July 2009. No assurances can be made as to the outcome of these discussions and we may not be successful in obtaining further covenant waivers or other modifications. Please see “Item 3 – Key Information - Risk Factors – Risks Related to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Subject to the satisfaction of certain conditions described below, Global Ship Lease is permitted to borrow funds up to the full amount of the credit facility for a period of four years from the closing of the credit facility (i.e. until December 2011). This period was reduced by one year pursuant to the Addendum. After this period, amounts that Global Ship Lease is able to borrow under the credit facility will reduce as discussed below.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 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The Addendum provides that should only one such current valuation be available at the relevant time, if for example all but one approved independent sale and purchase brokers are not prepared to issue valuations due to market disruption, then the result of the valuation that is available is averaged with the last valuations provided. Should no current valuations be available at the relevant time, then the last valuations are used. In these circumstances the borrower is required to seek further current valuations each month. Set forth below is the margin that applies to the applicable leverage ratio. Margins were amended by the Addendum and ratios in excess of 75% were added):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50%</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50% to 60%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60% to 70%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70%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 to 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80% to 85%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85%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Global Ship Lease pays a commitment fee of 0.50% per annum (increased from 0.25% pursuant to the Addendum), which will be payable quarterly in arrears, on the undrawn portion of the credit facility. Global Ship Lease will be responsible for the duly justified costs properly incurred in connection with the establishment and the maintenance of the credit facility.</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Global Ship Lease’s ability to draw funds under its credit facility is subject to its total borrowings under its credit facility not exceeding 70% of the aggregate charter-free market value of the vessels within the security package plus the value of other security held.</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Global Ship Lease’s ability to borrow amounts under its credit facility is also subject to the execution of customary documentation relating to the credit facility, including security documents, satisfaction of certain customary conditions precedent and compliance with terms and conditions included in the loan documents. Its ability to borrow to acquire additional vessels that will be included in the security package under the credit facility will be subject to the subject vessel being a vessel where Global Ship Lease can prove (i) certain financial requirements related to the vessel, (ii) that the vessel is a container carrier of standard design and at least 750 TEU in capacity, (iii) that it is no more than 10 years old at the time of acquisition and (iv) that it is employed by an acceptable charterer. In certain limited circumstances, Global Ship Lease can utilize the credit facility to purchase vessels that will not be required to form part of the security package.</w:t>
      </w:r>
    </w:p>
    <w:p>
      <w:pPr>
        <w:spacing w:after="0" w:line="1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credit facility amount will reduce, commencing December 2011, in 16 equal quarterly installments. Global Ship Lease must repay any amount outstanding that is in excess of the newly-reduced maximum credit facility amount. The amount of each installment will be determined in September 2011 based on the following formula: one-quarter of the amount of the credit facility amount divided by the number equal to 18 minus the average age of all vessels included in the security package weighted by market value. Any amount outstanding under the credit facility at the final maturity date in December 2015 must be repaid in one installment. Global Ship Lease may voluntarily cancel undrawn amounts under the credit facility from time to time in a minimum amount of $5.0 million or in multiples of $2.5 million in excess of such amount.</w:t>
      </w:r>
    </w:p>
    <w:p>
      <w:pPr>
        <w:spacing w:after="0" w:line="14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See “Business Overview—Credit Facility” for further details on Global Ship Lease’s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Global Ship Lease financed the purchase of the 10 secondhand vessels in December 2007 with $213.1 million of borrowings under the credit facility and drawings of $171.9 million under a shareholder loan made between Global Ship Lease and CMA CGM. In addition, Global Ship Lease drew approximately $5.0 million under the shareholder loan to pay lenders’ fees and expenses in connection with the credit facility bringing the total borrowings under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shareholder loan to $176.9 million. Prior to December 31, 2007, Global Ship Lease drew a further $188.0 million under the credit facility, which was placed on restricted cash deposit, in order to pay for the two newly built vessels of Global Ship Lease’s initial fleet purchased in January 2008. Total drawings under the credit facility as of December 31, 2007 were $401.1 million. The shareholder loan of $176.9 million was cancelled on the closing of the Merger and $115 million of the drawings under the credit facility were prepaid.</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Global Ship Lease’s credit facility. As of December 31, 2008, total drawings under the credit facility were $542.1 million.</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Global Ship Lease is in discussions with its lenders to borrow further funds under the credit facility to purchase the CMA CGM Berlioz, the final ship to be purchased under the asset purchase agreement with CMA CGM, in July 2009.</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Further, Global Ship Lease has agreed to purchase two 4,250 TEU newbuildings for $77.4 million per vessel, of which 10% has been paid and 90% will be paid upon delivery, which is expected to be in the fourth quarter of 2010.</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December 31, 2008, Global Ship Lease had $257.9 million of undrawn credit facility capacity which Global Ship Lease believes may be available to fund or part fund future vessel purchases, for working capital, and for other corporate expenses. Should the credit facility not be available to fund or part fund the purchase of these vessels, alternate sources of finance would be required in order to complete the 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Global Ship Lease’s net cash flows from operating activities corresponds directly with the number of vessels under charter, days on-hire, vessel charter rates, operating expenses, drydock costs, interest and other financing costs and general and administrative expenses. Global Ship Lease’s net cash flows from operating activities will not be exposed to the same fluctuations in operating expenses to which the Predecessor Group’s cash flows were subject. Pursuant to Global Ship Lease’s ship management agreements, Global Ship Lease has agreed to pay its Ship Manager an annual management fee of $114,000 per vessel and it will reimburse its Ship Manager for operating costs it incurs on Global Ship Lease’s behalf up to a quarterly cap pursuant to the global expense agreement (other than drydocking expenses and insurance premiums which will not be subject to the cap). Global Ship Lease will collect its charterhire 15 days in advance and pay its estimated ship management costs monthly in advance. Although Global Ship Lease can provide no assurances, it expects that its cash flow from its chartering arrangements will be sufficient to cover its ship management costs and fees, interest payments, commitment fees and other financing costs under its credit facility, insurance premiums, vessel taxes, general and administrative expenses and other costs and any other working capital requirements for the short and medium term and planned drydocking expenses. Based on such arrangements, Global Ship Lease expects that its operating cash flow will be stable for at least the initial three year terms of the ship management agreements and will be sufficient to fund its working capital requirements.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terms of Global Ship Lease’s credit facility, it may not pay dividends if there is a continuing default under the credit facility, if the payment of the dividend would result in a default or breach of any other loan covenant or if Global Ship Lease’s payments for future interest into a pledged retention account are not fully up to date. Furthermore, it is probable that the market value of Global Ship Lease’s vessels will decrease over time, as vessels generally decrease in value as they age. In addition to depreciation over time, the market value of Global Ship Lease’s vessels can fluctuate substantially depending on market supply and demand for vessels. Consequently, the leverage ratio under its credit facility will likely increase over time and may fluctuate significantly due to cycles in the container shipping industry, which may negatively affect Global Ship Lease’s ability to comply with its financial ratio covenants. This, in turn, may impact Global Ship Lease’s ability to pay dividend payments.</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addition, in December, 2011, four years from the date of the closing of the credit facility, the amounts available for borrowing will be permanently reduced. Therefore, unless Global Ship Lease is able to obtain other financing or funding sources or refinance borrowings under Global Ship Lease’s credit facility with new indebtedness that has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later maturity date, then in December 2011, four years after the closing of the Merger, the amount of cash that Global Ship Lease will have available may be decreased by the amount of any principal repayments that Global Ship Lease is required to make.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Further, the $48 million Preferred Shares are mandatorily redeemable at par in August 2011.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Over the five years following the closing of the Merger, Global Ship Lease estimates that the average cost of the first drydocking of each of its vessels will be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$940,000. Global Ship Lease has included a schedule of the next anticipated drydocking date for each of Global Ship Lease’s vessels in the section of this Annual Report entitled “Business Overview</w:t>
      </w:r>
      <w:r>
        <w:rPr>
          <w:rFonts w:ascii="Arial" w:cs="Arial" w:eastAsia="Arial" w:hAnsi="Arial"/>
          <w:sz w:val="18"/>
          <w:szCs w:val="18"/>
          <w:b w:val="1"/>
          <w:bCs w:val="1"/>
          <w:color w:val="auto"/>
        </w:rPr>
        <w:t>—</w:t>
      </w:r>
      <w:r>
        <w:rPr>
          <w:rFonts w:ascii="Arial" w:cs="Arial" w:eastAsia="Arial" w:hAnsi="Arial"/>
          <w:sz w:val="18"/>
          <w:szCs w:val="18"/>
          <w:color w:val="auto"/>
        </w:rPr>
        <w:t>Inspection by Classification Societies.”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necessary, Global Ship Lease may fund its working capital, vessel acquisition and other requirements with borrowings under its credit facility (subject to the restrictions set forth therein). Global Ship Lease’s longer term liquidity requirements include repayment of the principal balance of its credit facility. In addition to funds retained in the business, depending on the availability of the credit facility, Global Ship Lease may require new borrowings, issuances of equity or other securities, or a combination of the former and the latter to meet its obligations and will likely require such further funding to meet its repayment obligations under the credit facility.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This recent period of high growth, combined with operators seeking economies of scale achievable with ever larger vessels, has led to a significant orderbook of new containerships. In December, 2008 the orderbook was estimated to represent approximately 50% of existing global capacity measured in TEU. By May 2009 it had fallen to approximately 45%, with no additional newbuildings contracted in the preceding six months.</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Vessel newbuilding prices, second hand values and charter rates have tended to be closely correlated and are all strongly influenced by the dynamics of supply and demand. A theoretical 3,500 TEU containership newbuilding could have been contracted for approximately $34 million in Q1 2002, with contract prices peaking in Q3 2008 at around $67 million for essentially the same vessel. Over this period, second hand values for a 10 year old unit of comparable size increased from approximately $21 million to $46 million, peaking at around $50 million in Q1 2008. During the same timeframe, spot market charter rates for such a vessel moved from approximately $10,000 per day to $26,000 per day, peaking at $44,000 per day in Q1 2005.</w:t>
      </w:r>
    </w:p>
    <w:p>
      <w:pPr>
        <w:spacing w:after="0" w:line="1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global economic crisis has adversely impacted containerized trade, with negative demand growth widely anticipated for 2009. Liner operators’ published results for Q1 2009 have been poor, reflecting the challenging market environment with both lower trade volumes and significantly reduced freight rates. For charter-owners, the adverse impact of reduced demand will be compounded in the near term by supply-side growth. As of May 2009 approximately 11% of the existing containership fleet was assessed to be idle, with the substantial orderbook still to be delivered. In May 2009, spot market charter rates for a 3,500 TEU vessel were around $6,500 per day. Vessel values have also fallen but an accurate assessment of this decline is hindered by limited liquidity in the sale and purchase market together with the recent freeze in contracting of newbuildings. Vessel values and spot market charter rates are expected to remain under pressure at least through 2009.</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as described under Item 5F (Contractual Obligations) and Item 11 (Quantitative and Qualitative Disclosure About Market Risk), Global Ship Lease does not have any other transactions, obligations or relationships that could be considered material off-balance sheet arrangements.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Contractual Obligations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contractual obligations presented below represent Global Ship Lease’s estimates of future payments under fixed contractual obligations and commitments as of December 31, 2008. Changes in Global Ship Lease’s business needs or in interest rates, as well as actions by third parties and other factors, may cause these estimates to change. These estimates are necessarily subjective and Global Ship Lease’s actual payments in future periods are likely to vary from those presented in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More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than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than 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year</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3-5 years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460" w:type="dxa"/>
            <w:vAlign w:val="bottom"/>
            <w:gridSpan w:val="4"/>
          </w:tcPr>
          <w:p>
            <w:pPr>
              <w:jc w:val="right"/>
              <w:ind w:right="82"/>
              <w:spacing w:after="0" w:line="142" w:lineRule="exact"/>
              <w:rPr>
                <w:sz w:val="20"/>
                <w:szCs w:val="20"/>
                <w:color w:val="auto"/>
              </w:rPr>
            </w:pPr>
            <w:r>
              <w:rPr>
                <w:rFonts w:ascii="Arial" w:cs="Arial" w:eastAsia="Arial" w:hAnsi="Arial"/>
                <w:sz w:val="14"/>
                <w:szCs w:val="14"/>
                <w:b w:val="1"/>
                <w:bCs w:val="1"/>
                <w:color w:val="auto"/>
                <w:w w:val="82"/>
              </w:rPr>
              <w:t>millions of U.S. dollars)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20" w:type="dxa"/>
            <w:vAlign w:val="bottom"/>
          </w:tcPr>
          <w:p>
            <w:pPr>
              <w:spacing w:after="0"/>
              <w:rPr>
                <w:sz w:val="18"/>
                <w:szCs w:val="18"/>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Vessel purchase agreements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r>
      <w:tr>
        <w:trPr>
          <w:trHeight w:val="223"/>
        </w:trPr>
        <w:tc>
          <w:tcPr>
            <w:tcW w:w="7880" w:type="dxa"/>
            <w:vAlign w:val="bottom"/>
            <w:gridSpan w:val="3"/>
          </w:tcPr>
          <w:p>
            <w:pPr>
              <w:spacing w:after="0"/>
              <w:rPr>
                <w:sz w:val="20"/>
                <w:szCs w:val="20"/>
                <w:color w:val="auto"/>
              </w:rPr>
            </w:pPr>
            <w:r>
              <w:rPr>
                <w:rFonts w:ascii="Arial" w:cs="Arial" w:eastAsia="Arial" w:hAnsi="Arial"/>
                <w:sz w:val="18"/>
                <w:szCs w:val="18"/>
                <w:color w:val="auto"/>
              </w:rPr>
              <w:t>Mandatorily Redeemable Preferred Shares and related interest (6)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1,319.0</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Global Ship Lease did not assume any of the Predecessor Group’s debt relating to the vessels in Global Ship Lease’s fleet. Amounts shown in the table reflect debt and interest payable to Fortis Bank (Nederland) N.V., or Agent, Citibank Global Markets Limited, HSH Nordbank AG, Sumitomo Mitsui Banking Corporation, Brussels Branch, KFW, DnB Nor Bank ASA and Bank of Scotland under Global Ship Lease’s $800.0 million credit facility. Interest on the outstanding portion of Global Ship Lease’s credit facility will be charged at the rate of the margin over one, three, six, nine or 12 month LIBOR as determined by the Agent. During the continuance of any principal or interest payment default, the margin will increase by 2%. Global Ship Lease expects that interest on the balance outstanding will be payable at least quarterly. Long term debt obligations includes the estimated effect of the financing of the three contracted vessels.</w:t>
      </w:r>
    </w:p>
    <w:p>
      <w:pPr>
        <w:spacing w:after="0" w:line="3"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estimated contractual interest obligation has been calculated using an assumed all in interest rate of 5.25% being estimated LIBOR of 2.50% plus a spread of 2.75%. The commitment fee payable on the undrawn amount of the credit facility is also included at 0.5%.</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estimated net obligations under Global Ship Lease’s interest rate swaps have been calculated using a LIBOR of 2.5%.</w:t>
      </w:r>
    </w:p>
    <w:p>
      <w:pPr>
        <w:spacing w:after="0" w:line="9" w:lineRule="exact"/>
        <w:rPr>
          <w:rFonts w:ascii="Arial" w:cs="Arial" w:eastAsia="Arial" w:hAnsi="Arial"/>
          <w:sz w:val="18"/>
          <w:szCs w:val="18"/>
          <w:color w:val="auto"/>
        </w:rPr>
      </w:pPr>
    </w:p>
    <w:p>
      <w:pPr>
        <w:jc w:val="both"/>
        <w:ind w:left="460" w:right="14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Obligations under Global Ship Lease’s ship management agreements are based on the assumptions that (a) Global Ship Lease pays the Ship Manager only an annual management fee of $114,000 per vessel and does not include the reimbursement of daily operating costs incurred on Global Ship Lease’s behalf and (b) the final vessel from CMA CGM pursuant to the asset purchase agreement will be delivered in July 2009.</w:t>
      </w:r>
    </w:p>
    <w:p>
      <w:pPr>
        <w:spacing w:after="0" w:line="2"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Global Ship Lease expects to acquire (a) the final vessel under the asset purchase agreement from CMA CGM in July 2009 for $82.0 million and (b) two vessels from German interests in the fourth quarter of 2010 for $77.4 million each (of which 10% has already been paid).</w:t>
      </w:r>
    </w:p>
    <w:p>
      <w:pPr>
        <w:spacing w:after="0" w:line="1"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Series A Preferred Shares are mandatorily redeemable in August 2011 at a cash price of $48 million. The interest obligation has been determined using an all in rate of 4.5% being estimated LIBOR of 2.5% plus the contractual spread of 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2008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Gross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Pribor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Michael S. Gross has been a director of Global Ship Lease since its inception and was appointed Chairman in September 2008. Since July</w:t>
      </w:r>
      <w:r>
        <w:rPr>
          <w:rFonts w:ascii="Arial" w:cs="Arial" w:eastAsia="Arial" w:hAnsi="Arial"/>
          <w:sz w:val="16"/>
          <w:szCs w:val="16"/>
          <w:b w:val="1"/>
          <w:bCs w:val="1"/>
          <w:color w:val="auto"/>
        </w:rPr>
        <w:t xml:space="preserve"> </w:t>
      </w:r>
      <w:r>
        <w:rPr>
          <w:rFonts w:ascii="Arial" w:cs="Arial" w:eastAsia="Arial" w:hAnsi="Arial"/>
          <w:sz w:val="16"/>
          <w:szCs w:val="16"/>
          <w:color w:val="auto"/>
        </w:rPr>
        <w:t>2006, Mr. Gross has been a senior partner in Magnetar Capital Partners LP, the holding company for Magnetar Financial LLC. Since March 2007, Mr. Gross has served as the chairman, chief executive officer and managing member of Solar Capital, LLC. In such capacities, Mr. Gross heads Magnetar Financial LLC’s credit and private investment business. Between February 2004 and February 2006, Mr. Gross was the president and chief executive officer of Apollo Investment Corporation, a publicly traded business development company that he founded and on whose board of directors and investment committee he served as chairman from February 2004 to July 2006, and was the managing partner of Apollo Investment Management, L.P., the investment adviser to Apollo Investment Corporation. From 1990 to February 2006, Mr. Gross was a senior partner at Apollo Management, L.P., a private equity firm which he founded in 1990 with five other persons. In addition, from 2003 to February 2006, Mr. Gross was the managing partner of Apollo Distressed Investment Fund, an investment fund he founded to invest principally in non-control oriented distressed debt and other investment securities of leveraged companies. Mr. Gross currently serves on the boards of directors of Saks, Inc., Alternative Asset Management Acquisition Corp. and Jarden Corporation.</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Howard Boyd has been a director of Global Ship Lease since August 2008. In 1996, Mr. Boyd was named chief executive officer of Safmarine, a</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container 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Since 2004, Mr. Boyd has been a consultant to AP Moller-Maersk, continuing as a director of Safmarine, sitting on the Audit and Remuneration Committees until December 2008. Mr. Boyd has a Bachelor of Commerce from University of Cape Town and qualified as a South African Chartered Accountant.</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Angus R. Frew has been a director of Global Ship Lease since August 2008. Mr. Frew was president and chief executive officer from 2003 until</w:t>
      </w:r>
      <w:r>
        <w:rPr>
          <w:rFonts w:ascii="Arial" w:cs="Arial" w:eastAsia="Arial" w:hAnsi="Arial"/>
          <w:sz w:val="16"/>
          <w:szCs w:val="16"/>
          <w:b w:val="1"/>
          <w:bCs w:val="1"/>
          <w:color w:val="auto"/>
        </w:rPr>
        <w:t xml:space="preserve"> </w:t>
      </w:r>
      <w:r>
        <w:rPr>
          <w:rFonts w:ascii="Arial" w:cs="Arial" w:eastAsia="Arial" w:hAnsi="Arial"/>
          <w:sz w:val="16"/>
          <w:szCs w:val="16"/>
          <w:color w:val="auto"/>
        </w:rPr>
        <w:t>early 2008 of GE SeaCo SRL, a joint venture between GE Capital and Sea Containers Ltd and one of the largest global container leasing companies. Mr. Frew was a director of the Institute of International Container Lessors from 2003 until early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Guy Morel has been a director of Global Ship Lease since August 2008. Mr. Morel is the general secretary of InterManager, the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 of Shipmanagers. From 2005 to 2007, he was a professor of corporate finance and director of development at the International University of Monaco. From 1993 to 2004, he was the president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shipmanagement group, where he was a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 xml:space="preserve">Jeffrey D. Pribor. </w:t>
      </w:r>
      <w:r>
        <w:rPr>
          <w:rFonts w:ascii="Arial" w:cs="Arial" w:eastAsia="Arial" w:hAnsi="Arial"/>
          <w:sz w:val="16"/>
          <w:szCs w:val="16"/>
          <w:color w:val="auto"/>
        </w:rPr>
        <w:t>Jeffrey D. Pribor has been a director of Global Ship Lease since August 2008. Mr. Pribor is currently executive vice president and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General 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 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the Chief Executive Officer of Global Ship Lease. From 1979 to 1996, Mr. Webber</w:t>
      </w:r>
      <w:r>
        <w:rPr>
          <w:rFonts w:ascii="Arial" w:cs="Arial" w:eastAsia="Arial" w:hAnsi="Arial"/>
          <w:sz w:val="18"/>
          <w:szCs w:val="18"/>
          <w:b w:val="1"/>
          <w:bCs w:val="1"/>
          <w:color w:val="auto"/>
        </w:rPr>
        <w:t xml:space="preserve"> </w:t>
      </w:r>
      <w:r>
        <w:rPr>
          <w:rFonts w:ascii="Arial" w:cs="Arial" w:eastAsia="Arial" w:hAnsi="Arial"/>
          <w:sz w:val="18"/>
          <w:szCs w:val="18"/>
          <w:color w:val="auto"/>
        </w:rPr>
        <w:t>worked for 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4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Webber was named, along with his former employer CP Ships Limited and other officers of that company, as a defendant in a securities class action case before the United States District Court for the Middle District of Florida (the “Court”). The consolidated amended class action complaint alleged violations of Section 10(b) and Rule 10b-5 of the Exchange Act against all defendants and Section 20(a) of the Exchange Act against the individual defendants. The parties have reached an agreement to settle this class action proceeding in its entirety. Under the terms of the settlement, Mr. Webber denies all wrongdoing, is not making any payment, and will be fully released from any liability in this matter. The settlement was given final approval by the Court on October 21, 2008. One objector appealed the Court’s final approval of the settlement to the 11th Circuit Court of Appeals. Oral argument was heard by the 11th Circuit on May, 19, 2009 and the parties are currently awaiting a decision on the appeal from that court. Mr. Webber was also named, along with CP Ships Limited and several of its officers and directors, as a defendant in three purported securities class actions pending in Canada. Those actions, which allege similar claims to those raised in the United States securities class action case, are ongoing.</w:t>
      </w:r>
    </w:p>
    <w:p>
      <w:pPr>
        <w:spacing w:after="0" w:line="114"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b w:val="1"/>
          <w:bCs w:val="1"/>
          <w:color w:val="auto"/>
        </w:rPr>
        <w:t xml:space="preserve">Susan J. Cook. </w:t>
      </w:r>
      <w:r>
        <w:rPr>
          <w:rFonts w:ascii="Arial" w:cs="Arial" w:eastAsia="Arial" w:hAnsi="Arial"/>
          <w:sz w:val="15"/>
          <w:szCs w:val="15"/>
          <w:color w:val="auto"/>
        </w:rPr>
        <w:t>Upon the completion of the Merger, Ms. Cook became the Chief Financial Officer of Global Ship Lease. From 1986 to 2006, Ms. Cook worked</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Peninsular 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the Chief Commercial Officer of Global Ship Lease. From 2005 until 2007, Mr. Lister</w:t>
      </w:r>
      <w:r>
        <w:rPr>
          <w:rFonts w:ascii="Arial" w:cs="Arial" w:eastAsia="Arial" w:hAnsi="Arial"/>
          <w:sz w:val="16"/>
          <w:szCs w:val="16"/>
          <w:b w:val="1"/>
          <w:bCs w:val="1"/>
          <w:color w:val="auto"/>
        </w:rPr>
        <w:t xml:space="preserve"> </w:t>
      </w:r>
      <w:r>
        <w:rPr>
          <w:rFonts w:ascii="Arial" w:cs="Arial" w:eastAsia="Arial" w:hAnsi="Arial"/>
          <w:sz w:val="16"/>
          <w:szCs w:val="16"/>
          <w:color w:val="auto"/>
        </w:rPr>
        <w:t>was Senior Vice President at DVB Group Merchant Bank (Asia) Ltd, responsible for developing DVB’s Singapore ship fund and leasing project. Before that, from 2004 to 2005, he worked for the German KG financier and ship owning group Nordcapital as Director of Business Development. From 1991 to 2002,</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Lister worked for a number of shipping companies in both South America and the United States. Mr. Lister graduated from Durham University and holds an MBA from INSEAD.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Chief Technical Officer of Global Ship Lease. Prior to joining Global Ship Lease, Mr. Puri was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 of Global Ship Lease</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Global Ship Lease Services Limited, Global Ship Lease’s wholly owned subsidiary, entered into an employment agreement with Mr. Webber and, pursuant to the terms of an inter-company agreement between Global Ship Lease and Global Ship Lease Services Limited, Mr. Webber serves as Global Ship Lease’s Chief Executive Officer. Pursuant to his employment agreement, Mr. Webber receives an annual salary of £250,000 and will be eligible to receive a bonus payment up to an annual maximum of 50% of his salary at the discretion of Global Ship Lease Services Limited.</w:t>
      </w:r>
    </w:p>
    <w:p>
      <w:pPr>
        <w:spacing w:after="0" w:line="11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Global Ship Lease Services Limited entered into an employment agreement with Ms. Cook and, pursuant to the inter-company agreement, Ms. Cook serves as its Chief Financial Officer. Pursuant to her employment agreement, Ms. Cook receives an annual salary of £135,000 and will be eligible to receive a bonus payment up to an annual maximum of 25% of her salary at the discretion of Global Ship Lease Services Limited.</w:t>
      </w:r>
    </w:p>
    <w:p>
      <w:pPr>
        <w:spacing w:after="0" w:line="14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Global Ship Lease Services Limited entered into an employment agreement with Mr. Lister and, pursuant to the inter-company agreement, Mr. Lister serves as its Chief Commercial Officer. Pursuant to his employment agreement, Mr. Lister receives an annual salary of £135,000 and will be eligible to receive a bonus payment up to an annual maximum of 25% of his salary at the discretion of Global Ship Lease Services Limited. In addition, Mr. Lister received a one-time signing bonus of £35,000.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Global Ship Lease Services Limited entered into an employment agreement with Mr. Puri and, pursuant to the inter-company agreement, Mr. Puri serves as its Chief Technical Officer. Pursuant to his employment agreement, Mr. Lister receives an annual salary of £85,000 and will be eligible to receive a bonus payment up to an annual maximum of 25% of his salary at the discretion of Global Ship Lease Services Limited.</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 of Global Ship Lease</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Chairman of the board of directors receives an annual fee of $150,000, consisting of $75,000 in cash and an annual restricted stock grant with a grant date value of $75,000. The other directors of Global Ship Lease receive an annual fee of $100,000, consisting of $50,000 in cash and an annual restricted stock grant with a grant date value of $50,000. In addition, each director is reimbursed for out-of-pocket expenses in connection with attending meetings of the board of directors or committees.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Global Ship Lease adopted the 2008 Equity Incentive Plan (the “Plan”), which entitles employees, consultants and directors of Global Ship Lease and its subsidiaries to receive options, stock appreciation rights, stock grants, stock units and dividend equivalents. The following description of the Plan is a summary of the material terms of the Plan.</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Plan is administered by the board of directors of Global Ship Lease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that Global Ship Lease is subject to a change of control, the Plan administrator in its discretion may make such adjustments and other substitutions to the Plan and outstanding awards under the Plan as it deems equitable or desirable in its sole discretion.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the Company’s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Global Ship Lease board of directors has granted 375,000 restricted shares to Mr. Webber, 202,500 restricted shares to Ms. Cook and 202,500 restricted shares to Mr. Lister under the Plan, which are expected to vest over a three-year period; one third over 20 days commencing mid September 2009, one third on the second anniversary of the Merger and one third on the third anniversary. Mr. Puri has been granted 80,000 restricted shares, half to vest over 20 days commencing mid September 2009 and half on the second anniversary of the Merger.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Global Ship Lease’s board of directors is divided into three classes with only one class of directors being elected in each year and each class serving a three-year term. The term of office of the first class of directors, consisting of Mr. Morel and Mr. Pribor, expires at the first annual meeting of stockholders. The term of office of the second class of directors, consisting of Mr. Boyd and Mr. Frew, expires at the second annual meeting of stockholders. The term of office of the third class of directors, consisting of Mr. Gross, expires at the third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Global Ship Lease’s board of directors has determined that Messrs. Pribor, Frew and Morel are “independent directors” as such term is defined in Rule 10A-3 of the Exchange Act and the rules of the NYSE.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board of directors has formed an audit committee, a compensation committee, and a governance and nominating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Lease’s audit committee consists of Messrs. Pribor, Frew and Morel, each of whom is “independent” as defined in Rule 10A-3 of the Exchange Act and the rules of the NYSE. In addition, Global Ship Lease’s board of directors has determined that Mr. Pribor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addition, Global Ship Lease has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Global Ship Lease, we have a compensation committee. Global Ship Lease’s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Global Ship Lease’s nominating and corporate governance committee consists of Messrs. Boyd, Gross and Morel. The nominating and corporate governance committee reports to the board of directors on and is responsible for issues succession planning and the appointment, development and performance evaluation of the members of the board and senior executives of Global Ship Lease. It also assesses the adequacy and effectiveness of Global Ship Lease’s corporate governance guidelines, reviewing and recommending changes to the board whenever necessary.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Global Ship Lease has adopted a code of business conduct and ethics (“Code of Ethics”) that applies to its officers, employees and directors. More information on the Code of Ethics and board committee charters is available on Global Ship Lease’s website (www.globalshiplease.com) and in print to any shareholder upon request.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we had four employees.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7.A for information regarding beneficial ownership by our directors and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Global Ship Lease common shares as of May 31, 2009 by:</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known by Global Ship Lease to be the beneficial owner of more than 5% of its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Global Ship Lease’s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Global Ship Lease’s officers and directors as a group.</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Global Ship Lease common shares shown as beneficially owned, subject to applicable community property laws. As of May 31, 2009, an aggregate of 53,786,150 Global Ship Lease Class A and Class B common shares were issued and outstanding.</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Percentage ownership calculations for beneficial ownership excluding IPO warrants, sponsor warrants and Class A warrants are based on 53,786,150 common shares outstanding, which includes Class A and Class B common shares. Percentage ownership calculations for beneficial ownership including IPO warrants, sponsor warrants and Class A warrants are based on 99,505,586 common shares outstanding, which (i) does not include shares underlying the sponsor warrants (since a cashless exercise as of May 31, 2009 would not result in the issuance of any shares), (ii) assumes the exercise in cash of all IPO warrants and all Class A warrants, and (iii) does not include Class A common shares underlying the restricted stock units issued to management.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Approximate Percentage of 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6"/>
              </w:rPr>
              <w:t>Amount and Nature of Beneficial Ownership</w:t>
            </w:r>
          </w:p>
        </w:tc>
        <w:tc>
          <w:tcPr>
            <w:tcW w:w="580" w:type="dxa"/>
            <w:vAlign w:val="bottom"/>
          </w:tcPr>
          <w:p>
            <w:pPr>
              <w:spacing w:after="0"/>
              <w:rPr>
                <w:sz w:val="14"/>
                <w:szCs w:val="14"/>
                <w:color w:val="auto"/>
              </w:rPr>
            </w:pPr>
          </w:p>
        </w:tc>
        <w:tc>
          <w:tcPr>
            <w:tcW w:w="34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5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Including IPO</w:t>
            </w:r>
          </w:p>
        </w:tc>
        <w:tc>
          <w:tcPr>
            <w:tcW w:w="580" w:type="dxa"/>
            <w:vAlign w:val="bottom"/>
          </w:tcPr>
          <w:p>
            <w:pPr>
              <w:spacing w:after="0"/>
              <w:rPr>
                <w:sz w:val="11"/>
                <w:szCs w:val="11"/>
                <w:color w:val="auto"/>
              </w:rPr>
            </w:pPr>
          </w:p>
        </w:tc>
        <w:tc>
          <w:tcPr>
            <w:tcW w:w="2060" w:type="dxa"/>
            <w:vAlign w:val="bottom"/>
            <w:tcBorders>
              <w:top w:val="single" w:sz="8" w:color="auto"/>
            </w:tcBorders>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Including IPO</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5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580" w:type="dxa"/>
            <w:vAlign w:val="bottom"/>
          </w:tcPr>
          <w:p>
            <w:pPr>
              <w:spacing w:after="0"/>
              <w:rPr>
                <w:sz w:val="12"/>
                <w:szCs w:val="12"/>
                <w:color w:val="auto"/>
              </w:rPr>
            </w:pPr>
          </w:p>
        </w:tc>
        <w:tc>
          <w:tcPr>
            <w:tcW w:w="20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4"/>
              </w:rPr>
              <w:t>Warrants, Sponsor</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Class A</w:t>
            </w:r>
          </w:p>
        </w:tc>
        <w:tc>
          <w:tcPr>
            <w:tcW w:w="5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Class</w:t>
            </w:r>
          </w:p>
        </w:tc>
        <w:tc>
          <w:tcPr>
            <w:tcW w:w="580" w:type="dxa"/>
            <w:vAlign w:val="bottom"/>
          </w:tcPr>
          <w:p>
            <w:pPr>
              <w:spacing w:after="0"/>
              <w:rPr>
                <w:sz w:val="12"/>
                <w:szCs w:val="12"/>
                <w:color w:val="auto"/>
              </w:rPr>
            </w:pPr>
          </w:p>
        </w:tc>
        <w:tc>
          <w:tcPr>
            <w:tcW w:w="20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Warrants and Class A</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Warrants and Class</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Merger Warrants</w:t>
            </w:r>
          </w:p>
        </w:tc>
        <w:tc>
          <w:tcPr>
            <w:tcW w:w="5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 Merger Warrants</w:t>
            </w:r>
          </w:p>
        </w:tc>
        <w:tc>
          <w:tcPr>
            <w:tcW w:w="580" w:type="dxa"/>
            <w:vAlign w:val="bottom"/>
          </w:tcPr>
          <w:p>
            <w:pPr>
              <w:spacing w:after="0"/>
              <w:rPr>
                <w:sz w:val="14"/>
                <w:szCs w:val="14"/>
                <w:color w:val="auto"/>
              </w:rPr>
            </w:pPr>
          </w:p>
        </w:tc>
        <w:tc>
          <w:tcPr>
            <w:tcW w:w="20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 Warrants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9,552,757</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13,228,838</w:t>
            </w:r>
          </w:p>
        </w:tc>
        <w:tc>
          <w:tcPr>
            <w:tcW w:w="5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Jeffrey Pribor (3)</w:t>
            </w:r>
          </w:p>
        </w:tc>
        <w:tc>
          <w:tcPr>
            <w:tcW w:w="1340" w:type="dxa"/>
            <w:vAlign w:val="bottom"/>
          </w:tcPr>
          <w:p>
            <w:pPr>
              <w:jc w:val="right"/>
              <w:spacing w:after="0"/>
              <w:rPr>
                <w:sz w:val="20"/>
                <w:szCs w:val="20"/>
                <w:color w:val="auto"/>
              </w:rPr>
            </w:pPr>
            <w:r>
              <w:rPr>
                <w:rFonts w:ascii="Arial" w:cs="Arial" w:eastAsia="Arial" w:hAnsi="Arial"/>
                <w:sz w:val="18"/>
                <w:szCs w:val="18"/>
                <w:color w:val="auto"/>
              </w:rPr>
              <w:t>6,697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6,697</w:t>
            </w:r>
          </w:p>
        </w:tc>
        <w:tc>
          <w:tcPr>
            <w:tcW w:w="2640" w:type="dxa"/>
            <w:vAlign w:val="bottom"/>
            <w:gridSpan w:val="3"/>
          </w:tcPr>
          <w:p>
            <w:pPr>
              <w:jc w:val="right"/>
              <w:ind w:right="620"/>
              <w:spacing w:after="0"/>
              <w:rPr>
                <w:sz w:val="20"/>
                <w:szCs w:val="20"/>
                <w:color w:val="auto"/>
              </w:rPr>
            </w:pPr>
            <w:r>
              <w:rPr>
                <w:rFonts w:ascii="Arial" w:cs="Arial" w:eastAsia="Arial" w:hAnsi="Arial"/>
                <w:sz w:val="18"/>
                <w:szCs w:val="18"/>
                <w:color w:val="auto"/>
              </w:rPr>
              <w:t>0.01%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Boyd (3)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0.01%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Angus R. Frew (3)</w:t>
            </w:r>
          </w:p>
        </w:tc>
        <w:tc>
          <w:tcPr>
            <w:tcW w:w="1340" w:type="dxa"/>
            <w:vAlign w:val="bottom"/>
          </w:tcPr>
          <w:p>
            <w:pPr>
              <w:jc w:val="right"/>
              <w:spacing w:after="0"/>
              <w:rPr>
                <w:sz w:val="20"/>
                <w:szCs w:val="20"/>
                <w:color w:val="auto"/>
              </w:rPr>
            </w:pPr>
            <w:r>
              <w:rPr>
                <w:rFonts w:ascii="Arial" w:cs="Arial" w:eastAsia="Arial" w:hAnsi="Arial"/>
                <w:sz w:val="18"/>
                <w:szCs w:val="18"/>
                <w:color w:val="auto"/>
              </w:rPr>
              <w:t>6,697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6,697</w:t>
            </w:r>
          </w:p>
        </w:tc>
        <w:tc>
          <w:tcPr>
            <w:tcW w:w="2640" w:type="dxa"/>
            <w:vAlign w:val="bottom"/>
            <w:gridSpan w:val="3"/>
          </w:tcPr>
          <w:p>
            <w:pPr>
              <w:jc w:val="right"/>
              <w:ind w:right="620"/>
              <w:spacing w:after="0"/>
              <w:rPr>
                <w:sz w:val="20"/>
                <w:szCs w:val="20"/>
                <w:color w:val="auto"/>
              </w:rPr>
            </w:pPr>
            <w:r>
              <w:rPr>
                <w:rFonts w:ascii="Arial" w:cs="Arial" w:eastAsia="Arial" w:hAnsi="Arial"/>
                <w:sz w:val="18"/>
                <w:szCs w:val="18"/>
                <w:color w:val="auto"/>
              </w:rPr>
              <w:t>0.01%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Morel (3)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0.01%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Ian J. Webber (4)</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 (5)</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Thomas Lister (6)</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 (7)</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(9</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individuals)</w:t>
            </w:r>
          </w:p>
        </w:tc>
        <w:tc>
          <w:tcPr>
            <w:tcW w:w="1340" w:type="dxa"/>
            <w:vAlign w:val="bottom"/>
          </w:tcPr>
          <w:p>
            <w:pPr>
              <w:jc w:val="right"/>
              <w:spacing w:after="0"/>
              <w:rPr>
                <w:sz w:val="20"/>
                <w:szCs w:val="20"/>
                <w:color w:val="auto"/>
              </w:rPr>
            </w:pPr>
            <w:r>
              <w:rPr>
                <w:rFonts w:ascii="Arial" w:cs="Arial" w:eastAsia="Arial" w:hAnsi="Arial"/>
                <w:sz w:val="18"/>
                <w:szCs w:val="18"/>
                <w:color w:val="auto"/>
              </w:rPr>
              <w:t>9,579,545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13,255,626</w:t>
            </w:r>
          </w:p>
        </w:tc>
        <w:tc>
          <w:tcPr>
            <w:tcW w:w="2640" w:type="dxa"/>
            <w:vAlign w:val="bottom"/>
            <w:gridSpan w:val="3"/>
          </w:tcPr>
          <w:p>
            <w:pPr>
              <w:jc w:val="right"/>
              <w:ind w:right="620"/>
              <w:spacing w:after="0"/>
              <w:rPr>
                <w:sz w:val="20"/>
                <w:szCs w:val="20"/>
                <w:color w:val="auto"/>
              </w:rPr>
            </w:pPr>
            <w:r>
              <w:rPr>
                <w:rFonts w:ascii="Arial" w:cs="Arial" w:eastAsia="Arial" w:hAnsi="Arial"/>
                <w:sz w:val="18"/>
                <w:szCs w:val="18"/>
                <w:color w:val="auto"/>
              </w:rPr>
              <w:t>17.81%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24,412,700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27,544,600</w:t>
            </w:r>
          </w:p>
        </w:tc>
        <w:tc>
          <w:tcPr>
            <w:tcW w:w="2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45.39%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Soros Strategic Partners LP/</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SSP Offshore LLC/</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SFM Participation II LLC/</w:t>
            </w: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SFM AH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Soros Fund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Soros/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Soros/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Approximate Percentage of 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6"/>
              </w:rPr>
              <w:t>Amount and Nature of Beneficial Ownership</w:t>
            </w:r>
          </w:p>
        </w:tc>
        <w:tc>
          <w:tcPr>
            <w:tcW w:w="580" w:type="dxa"/>
            <w:vAlign w:val="bottom"/>
          </w:tcPr>
          <w:p>
            <w:pPr>
              <w:spacing w:after="0"/>
              <w:rPr>
                <w:sz w:val="14"/>
                <w:szCs w:val="14"/>
                <w:color w:val="auto"/>
              </w:rPr>
            </w:pPr>
          </w:p>
        </w:tc>
        <w:tc>
          <w:tcPr>
            <w:tcW w:w="344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6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Including IPO</w:t>
            </w:r>
          </w:p>
        </w:tc>
        <w:tc>
          <w:tcPr>
            <w:tcW w:w="580" w:type="dxa"/>
            <w:vAlign w:val="bottom"/>
          </w:tcPr>
          <w:p>
            <w:pPr>
              <w:spacing w:after="0"/>
              <w:rPr>
                <w:sz w:val="11"/>
                <w:szCs w:val="11"/>
                <w:color w:val="auto"/>
              </w:rPr>
            </w:pPr>
          </w:p>
        </w:tc>
        <w:tc>
          <w:tcPr>
            <w:tcW w:w="208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Including IPO</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58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Class A</w:t>
            </w: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Class</w:t>
            </w:r>
          </w:p>
        </w:tc>
        <w:tc>
          <w:tcPr>
            <w:tcW w:w="58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Warrants and Class A</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Warrants and Class</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Merger Warrants</w:t>
            </w:r>
          </w:p>
        </w:tc>
        <w:tc>
          <w:tcPr>
            <w:tcW w:w="6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 Merger Warrants</w:t>
            </w:r>
          </w:p>
        </w:tc>
        <w:tc>
          <w:tcPr>
            <w:tcW w:w="580" w:type="dxa"/>
            <w:vAlign w:val="bottom"/>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Warrants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 Warrants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Jonathan Soros (8)</w:t>
            </w:r>
          </w:p>
        </w:tc>
        <w:tc>
          <w:tcPr>
            <w:tcW w:w="1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5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Integrated Core Strategies (US) LLC/</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Holding Group LP/</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Millennium Management LLC/</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A. Englander (9)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1,113,390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5,321,608</w:t>
            </w:r>
          </w:p>
        </w:tc>
        <w:tc>
          <w:tcPr>
            <w:tcW w:w="2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DePrince, Race &amp; Zollo, Inc. (10)</w:t>
            </w:r>
          </w:p>
        </w:tc>
        <w:tc>
          <w:tcPr>
            <w:tcW w:w="1320" w:type="dxa"/>
            <w:vAlign w:val="bottom"/>
          </w:tcPr>
          <w:p>
            <w:pPr>
              <w:jc w:val="right"/>
              <w:spacing w:after="0"/>
              <w:rPr>
                <w:sz w:val="20"/>
                <w:szCs w:val="20"/>
                <w:color w:val="auto"/>
              </w:rPr>
            </w:pPr>
            <w:r>
              <w:rPr>
                <w:rFonts w:ascii="Arial" w:cs="Arial" w:eastAsia="Arial" w:hAnsi="Arial"/>
                <w:sz w:val="18"/>
                <w:szCs w:val="18"/>
                <w:color w:val="auto"/>
              </w:rPr>
              <w:t>2,153,181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8,293,516</w:t>
            </w:r>
          </w:p>
        </w:tc>
        <w:tc>
          <w:tcPr>
            <w:tcW w:w="2660" w:type="dxa"/>
            <w:vAlign w:val="bottom"/>
            <w:gridSpan w:val="3"/>
          </w:tcPr>
          <w:p>
            <w:pPr>
              <w:jc w:val="right"/>
              <w:ind w:right="640"/>
              <w:spacing w:after="0"/>
              <w:rPr>
                <w:sz w:val="20"/>
                <w:szCs w:val="20"/>
                <w:color w:val="auto"/>
              </w:rPr>
            </w:pPr>
            <w:r>
              <w:rPr>
                <w:rFonts w:ascii="Arial" w:cs="Arial" w:eastAsia="Arial" w:hAnsi="Arial"/>
                <w:sz w:val="18"/>
                <w:szCs w:val="18"/>
                <w:color w:val="auto"/>
              </w:rPr>
              <w:t>4.00%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Marathon Founders, LLC is the record holder of 6,217,712 Class A and Class B common shares and 3,007,288 Class A warrants. Marathon Founders, LLC is owned and controlled by Mr. Gross. As a result, Mr. Gross may be deemed to beneficially own the shares held by Marathon Founders, LLC. In addition, Mr. Gross owns 3,850,000 sponsor warrants, which have been amended to be exercisable only on a cashless basis. On June 4, 2008, Mr. Gross entered into a stock purchase plan with Citi, in accordance with the guidelines of Rule 10b5-1 and the provisions of Rule 10b-18 of the Exchange Act, under which he placed a limit order to purchase up to 2,000,000 shares of Marathon common stock at a price of $8.00 per share or below. Under this plan, 2,000,000 shares were purchased at prices between $7.59 and $7.87 with an average price of $7.84 per share. In addition, in connection with the consummation of the Merger, Mr. Gross purchased 1,325,000 Class A common shares. The business address of Mr. Gross is c/o Marathon Founders, LLC, 500 Park Avenue, 5th Floor, New York, New York 10022.</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Webber serves as Chief Executive Officer of Global Ship Lease. Mr. Webber holds 375,000 restricted stock units. The restricted stock units are not reflected in the table above.</w:t>
      </w:r>
    </w:p>
    <w:p>
      <w:pPr>
        <w:ind w:left="460" w:right="2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Cook serves as Chief Financial Officer and Secretary of Global Ship Lease. Ms. Cook holds 202,500 restricted stock units. The restricted stock units are not reflected in the table above.</w:t>
      </w:r>
    </w:p>
    <w:p>
      <w:pPr>
        <w:ind w:left="460" w:right="4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Lister serves as Chief Commercial Officer of Global Ship Lease. Mr. Lister holds 202,500 restricted stock units. The restricted stock units are not reflected in the table above.</w:t>
      </w: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Puri serves as Chief Technical Officer of Global Ship Lease. Mr. Puri holds 80,000 restricted stock units. The restricted stock units are not reflected in the table above</w:t>
      </w:r>
    </w:p>
    <w:p>
      <w:pPr>
        <w:ind w:left="4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Soros Strategic Partners LP, SSP Offshore LLC, SFM Participation II LLC, SFM AH LLC, Soros Fund Management LLC, George Soros, Robert Soros and Jonathan Soros may be deemed the beneficial owner of 7,500,000 shares (consisting of 3,750,000 shares and 3,750,000 shares issuable upon the exercise of warrants held for the account of SSP Offshore LLC). This information is based on Amendment No. 2 to the Schedule 13G filed with the SEC on January 6, 2009.</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Integrated Core Strategies (US) LLC is the beneficial owner of 5,321,608 Class A common shares (consisting of 1,113,390 Class A common shares and warrants to purchase 4,208,218 Class A common shares). . Millennium Management LLC is the general partner of the managing member of Integrated Core Strategies (US) LLP, and Mr. England is the managing member of Millennium Management LLC. This information is based on Statement of Changes in Beneficial Ownership Form 4 filed with the SEC on June 3,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with the SEC on February 9, 2009.</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4.B for a discussion of our commercial transactions and agreements with CMA CGM.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the time of the Merger, Global Ship Lease entered into a stockholders agreement with CMA CGM and Marathon Founders, LLC, pursuant to which such shareholders agree not to transfer any common shares of Global Ship Lease (excluding Class A common shares underlying the sponsor warrants or received with respect to Marathon securities purchased after Marathon’s initial public offering) prior to the first anniversary of the date of the Merger other than to affiliates or to the members of Marathon Founders, LLC who agree to be subject to such transfer restrictions. Notwithstanding the foregoing, CMA CGM is permitted to transfer (i) up to 4,094,600 Class A common shares after the date that is 120 days after the date of the Merger and (ii) up to 125,000 common shares to its directors and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a period of five years from the date of the Merger, CMA CGM agrees not to:</w:t>
      </w:r>
    </w:p>
    <w:p>
      <w:pPr>
        <w:spacing w:after="0" w:line="90" w:lineRule="exact"/>
        <w:rPr>
          <w:sz w:val="20"/>
          <w:szCs w:val="20"/>
          <w:color w:val="auto"/>
        </w:rPr>
      </w:pPr>
    </w:p>
    <w:p>
      <w:pPr>
        <w:ind w:left="5620" w:right="4760" w:hanging="5045"/>
        <w:spacing w:after="0" w:line="525" w:lineRule="auto"/>
        <w:tabs>
          <w:tab w:leader="none" w:pos="893"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acquire additional common shares or other equity securities of Global Ship Lease; 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Global Ship Lease;</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make, or take any action to solicit, initiate or encourage, any offer or proposal for, or any indication of interest in, a merger, other business combination or other extraordinary transaction involving Global Ship Lease or any of its subsidiaries, or the acquisition of any common shares or other equity interest in, or a substantial portion of the assets of, Global Ship Lease or any of its subsidiaries;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propose any changes to the size or members of the board of directors of Global Ship Lease</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form, join or in any way participate in a “group” (within the meaning of the Exchange Act) with respect to any common shares of Global Ship Lease.</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standstill restrictions will be temporarily released (i) in the event Global Ship Lease or its shareholders receive an unsolicited third party tender offer or exchange offer to acquire at least a majority of the outstanding common shares or there is a public announcement of a proposal or offer, or commencement of a proxy contest, to effect a change of control of Global Ship Lease, until such time as the board of directors of Global Ship Lease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Global Ship Lease agrees to include such standstill exceptions in any shareholder rights plan it may adopt.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time of the Merger, Global Ship Lease entered into a registration rights agreement with CMA CGM, Marathon Investors, LLC, Marathon Founders, LLC and the other initial stockholders of Marathon common stock (including Michael Gross), pursuant to which Global Ship Lease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Global Ship Lease file a shelf registration statement with respect to their common shares as soon as the applicable transfer restrictions under the stockholders agreement expire. In addition, these shareholders also have piggyback registration rights allowing them to participate in offerings by Global Ship Lease and in demand registrations of the other shareholders. Global Ship Lease is obligated to pay all expenses incidental to the registration, excluding underwriter discounts and commissions.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not been involved in any legal proceedings that may have, or have had a significant effect on our business, financial position, results of operations or liquidity, and we are not aware of any proceedings that are pending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in “Business Overview—Credit Facilities” above, Global Ship Lease is in discussions with the lenders to finalize an amendment to the credit facility to take account of the implications on the leverage ratio covenants of recent significant decreases in charter free market values of containerships. The lenders agreed to defer for two months, until June 30, 2009, the requirement to submit updated vessel valuations.</w:t>
      </w:r>
    </w:p>
    <w:p>
      <w:pPr>
        <w:spacing w:after="0" w:line="140"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In connection with the agreement of the two month waiver period, Global Ship Lease has agreed not to declare or pay any dividends to common shareholders during that period. The board of directors intended to review Global Ship Lease’s dividend policy once an amendment to the credit facility is agreed.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Ordinarily, dividends would be declared and paid on Global Ship Lease’s Class A common shares and Class B common shares and units.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dividends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4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addition to the 46,380,194 Class A common shares outstanding at May 31, 2009, there are 7,405,956 subordinated Class B common shares held by Marathon’s initial stockholders and CMA CGM. The terms of the subordinated Class B common shares provide some protection to Class A common shareholders as, during the subordination period, no dividends can be paid on the Class B common shares unless dividends at the rate of $0.23 per share have been paid on all Class A common shares for all quarters. In general, during the subordination period, Global Ship Lease can pay quarterly dividends on its Class A common shares and subordinated Class B common shares from its operating surplus (as defined in the amended and restated articles of incorporation) in the following manner:</w:t>
      </w:r>
    </w:p>
    <w:p>
      <w:pPr>
        <w:spacing w:after="0" w:line="1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will be subordinated to those of holders of Class A common shares until at least the third quarter of 2011 absent a prior change in control of Global Ship Lease.</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Global Ship Lease’s board of directors and will depend on, among other things, its earnings, financial condition and anticipated cash requirements and availability, additional acquisitions of vessels, restrictions under its credit facility, the provisions of Marshall Islands law affecting the payment of distributions to shareholders, required capital and drydocking expenditures, reserves established by its board of directors, increased or unanticipated expenses, a change in its dividend policy, additional borrowings or future issuances of securities and other factors, many of which will be beyond its control.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Global Ship Lease’s ability to pay dividends may be limited by the amount of cash it can generate from operations following the payment of fees and expenses and the establishment of any reserves as well as additional factors unrelated to its profitability, including the terms of any waiver that might be agreed with the lenders under the credit facility. Global Ship Lease is a holding company, and Global Ship Lease will depend on the ability of its subsidiaries to distribute funds to Global Ship Lease in order to satisfy its financial obligations and to pay dividend payments. Further, its board of directors may elect to not distribute any dividends or may significantly reduce the dividends. As a result, the amount of dividends actually paid, if any, may vary from the amount previously paid and such variations may be material. Please see Item 3 – “Key Information - Risk Factors” for a discussion of the risks associated with Global Ship Lease’s ability to pay dividends.</w:t>
      </w:r>
    </w:p>
    <w:p>
      <w:pPr>
        <w:spacing w:after="0" w:line="14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Global Ship Lease believes that, under current U.S. federal income tax law, some portion of the distributions you receive from Global Ship Lease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2010). Please see Item 10E “Tax Consequences of Holding Class A Common Shares—U.S. holders—Taxation of dividends paid on Class A common shares” for information regarding the eligibility requirements for “qualified dividend income” and for a discussion of proposed legislation that, if enacted, would prevent dividends paid by Global Ship Lease from constituting qualified dividend income.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On August 15, 2008, our Class A common shares, warrants and units began trading on the NYSE under the symbols “GSL”, “GSL.WS” and “GSL.U”, respectively. Each of our units consists of one Class A common share and one warrant.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the high and low closing sales price of our Class A common shares, warrants and units, as reported on the NYSE for the periods shown: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60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$7.64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$6.30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$3.60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 (through May 31,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$2.35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602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$1.53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$0.60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$0.28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 (through May 31,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$0.10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20" w:type="dxa"/>
            <w:vAlign w:val="bottom"/>
          </w:tcPr>
          <w:p>
            <w:pPr>
              <w:jc w:val="right"/>
              <w:ind w:right="4512"/>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926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$9.23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December 31, 2008</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$6.99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March 31, 2009</w:t>
            </w:r>
          </w:p>
        </w:tc>
        <w:tc>
          <w:tcPr>
            <w:tcW w:w="9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$3.70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June 30, 2009 (through May 31, 2009)</w:t>
            </w: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$2.16</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10.</w:t>
            </w:r>
          </w:p>
        </w:tc>
        <w:tc>
          <w:tcPr>
            <w:tcW w:w="926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Reference is made to Item 4.B for a description of the time charters, the ship management agreements and the global expense agreement, which are incorporated herein by reference. Reference is made to Item 5.B for a description of our credit facility, which is incorporated herein by reference. Reference is made to Item 6.B for a description of employment agreements, which is incorporated herein by reference. Reference is made to Item 7.B for a description of the registration rights agreement and the stockholders agreement, which are incorporated herein by reference.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Global Ship Lease’s Class A common shares through such entities. Prospective investors may want to consult their tax advisors regarding the specific tax consequences to them of the acquisition, holding or disposition of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 use of a vessel (and thus includes time charter and bareboat charter income). The United States source portion of transportation income includes 50% of the income attributable to voyages that begin or end (but not both) in the United States. Generally, no amount of the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Global Ship Lease does not expect to have any transportation income from voyages that begin and end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Ship Lease does not expect to engage in any activities in the United States or otherwise have a fixed place of business in the United States. Nonetheless, if this situation were to change or Global Ship Lease were to be treated as engaged in a United States trade or business, all or a portion of Global Ship Lease’s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Global Ship Lease at such time as Global Ship Lease’s after-tax effectively connected income is viewed as having been repatriated to Global Ship Lease’s offshore office. The 4% gross basis tax described above is inapplicable to income that is treated as effectively connected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Global Ship Lease is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Global Ship Lease should meet the first requirement for the Section 883 exemption. Additionally, Global Ship Lease intends to comply with the substantiation, reporting and other requirements that are applicable under Section 883 of the Code. As a result, qualification for the Section 883 exemption will turn primarily on Global Ship Lease’s ability to satisfy the second requirement enumerated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50% Ownership Test</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Internal Revenue Service (the “IRS”) that the 50% Ownership Test has been satisfied (as detailed in the Section 883 Regulations). Global Ship Lease does not believe that it will be able to satisfy the 50% Ownership Test due to the widely-held ownership of its Class A common shares and its lack of knowledge of the direct and indirect owners of entities which own its Class A common shares.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CFC Test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Global Ship Lease cannot predict at this time whether it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Publicly Traded Test</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Global Ship Lease’s Class A common shares are listed on the NYSE, and are not listed on any other securities exchange. Therefore, the Class A common shares should be treated as primarily traded on an established securities market in the United States. Moreover, the Class A common shares represent more than 50% of both the voting power and value of all classes of shares of Global Ship Lease.</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6</w:t>
      </w:r>
      <w:r>
        <w:rPr>
          <w:rFonts w:ascii="Arial" w:cs="Arial" w:eastAsia="Arial" w:hAnsi="Arial"/>
          <w:sz w:val="17"/>
          <w:szCs w:val="17"/>
          <w:color w:val="auto"/>
        </w:rPr>
        <w:t xml:space="preserve">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Global Ship Lease anticipates that these trading frequency and trading volume tests will be satisfied each year, satisfaction of these requirements is outside of Global Ship Lease’s control and, hence, no assurances can be provided that Global Ship Lease will satisfy the Publicly Traded Test each year.</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Based on information currently available to Global Ship Lease on its shareholders, it appears that if such shareholders were to retain the Global Ship Lease Class A common shares throughout 2009, the 5% Override Rule likely would apply, and Global Ship Lease would not qualify for the Section 883 exemption. However, it is possible that Global Ship Lease’s ownership may change such that the 5% Override Rule may not apply. The ability to avoid application of the 5% Override Rule will be outside of Global Ship Lease’s control and, as a result, no assurances can be provided that Global Ship Lease will satisfy the Publicly Traded Test for any year.</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Global Ship Lease were not to qualify for the Section 883 exemption in any year, the United States income taxes that become payable could have a negative effect on Global Ship Lease’s business, and could result in decreased earnings available for distribution to Global Ship Lease’s shareholders. However, under the charter agreements, the initial Charterer has agreed to provide reimbursement for any such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Global Ship Lease qualifies for the Section 883 exemption, then gain from the sale of any vessel may be exempt from tax under Section 883. Even if such gain is not exempt from tax under Section 883, Global Ship Lease will not be subject to U.S. federal income taxation with respect to such gain, assuming that Global Ship Lease is not, and has never been, engaged in a U.S. trade or business. Under certain circumstances, if Global Ship Lease is so engaged, gain on sale of vessels could be subject to U.S. federal income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changes made to the Code by the American Jobs Creation Act of 2004, which added Section 7874 of the Code, a foreign corporation which acquires substantially all the properties of a U.S. corporation is generally treated, for U.S. federal tax purposes, as though it were a U.S. corporation if, after the acquisition, at least 80% (by vote or value) of the stock of the foreign corporation is owned by former shareholders of the U.S. corporation by reason of owning stock in the U.S. corporation. Marathon has received a legal opinion of Akin Gump Strauss Hauer &amp; Feld LLP that this rule should not apply to Global Ship Lease following the Merger. The opinions of tax counsel neither bind the IRS nor preclude the IRS or courts from adopting a contrary position. Marathon did not obtain a ruling from the IRS on the application of Section 7874 of the Code to the Merger. Akin Gump Strauss Hauer &amp; Feld LLP has not undertaken any obligation to update its opinion.</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Such opinion relied, in part, on assumptions, representations and other information as to certain factual matters, including the value per share of Global Ship Lease Class B stock and Class C stock relative to the market value per share of Global Ship Lease Class A stock. Valuation is a question of fact and is subjective. If the IRS were successfully to challenge the correctness of any such assumptions, representations or other information, it is possible that Section 7874 of the Code could apply.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there is no definitive legal authority applying the rules under Section 7874 of the Code. Therefore, no assurance can be provided that the IRS will not successfully assert that Global Ship Lease should be treated as a U.S. corporation, in which case Global Ship Lease’s net income would be subject to U.S. federal corporate income tax (with the highest statutory rate currently being 35%).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Global Ship Lease Class A common shares that is:</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a warrant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discussions of the PFIC and CFC rules below, a U.S. holder generally will not recognize gain or loss upon the exercise of a warrant, although it is possible that a holder of a sponsor warrant will recognize compensation income (taxable as ordinary income) in connection with such an exercise. Holders of sponsor warrants may want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consult their tax advisors as to the consequences to them of exercising their sponsor warrants. Class A common shares acquired pursuant to the exercise of a warrant will have a tax basis equal to the U.S. holder’s tax basis in the warrant increased by the exercise price paid to exercise the warrant. The holding period of such Class A common shares would begin on the date following the date of exercise of the warrant (or possibly the date of exercise).</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the extent a U.S. holder is entitled to receive a fractional interest of a share as a result of the exercise of a warrant, Global Ship Lease will round up the number of Class A common shares issued to the U.S. holder to the nearest whole number of Class A common shares. If Global Ship Lease has paid or pays dividends with respect to its Class A common shares within three years of such an exercise, it is possible that the difference between the rounded up number of Class A common shares and the fractional interest of the share could be treated as a taxable share dividend. Accordingly, U.S. holders may want to consult their tax advisors regarding the tax consequences of exercising warrants in light of their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When Global Ship Lease makes a distribution with respect to its Class A common shares, subject to the discussions of the passive foreign investment company, or PFIC, and CFC rules below, a U.S. holder will be required to include in gross income as foreign source dividend income the amount of the distribution to the extent paid out of Global Ship Lease’s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Global Ship Lease pays will generally be taxable at regular corporate rates of up to 35% and generally will not qualify for a dividends-received deduction available for dividends received from United States corporations. In the case of certain non-corporate U.S. holders, dividends that Global Ship Lease pays prior to January 1, 2011 generally will be subject to tax at a maximum rate of 15%, provided that the U.S. holder meets certain holding period and other requirements and Global Ship Lease is not a PFIC in the taxable year in which the dividends are paid or in the immediately preceding taxable year. Legislation has been introduced which, if enacted, would deny the benefit of the 15% maximum rate to dividends that Global Ship Lease pays. Global Ship Lease cannot predict whether such legislation will be enacted, or, if so, what its effective date might be.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its Class A common shares.</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right="480" w:firstLine="8"/>
        <w:spacing w:after="0" w:line="261"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there are legal uncertainties involved in this determination,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that Global Ship Lease owns for the production of this income should not constitute passive assets. Simpson Thacher’s opinion was based on certain representations that Global Ship Lease made to counsel including:</w:t>
      </w:r>
    </w:p>
    <w:p>
      <w:pPr>
        <w:spacing w:after="0" w:line="62" w:lineRule="exact"/>
        <w:rPr>
          <w:sz w:val="20"/>
          <w:szCs w:val="20"/>
          <w:color w:val="auto"/>
        </w:rPr>
      </w:pPr>
    </w:p>
    <w:p>
      <w:pPr>
        <w:ind w:left="900" w:right="1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charters that Global Ship Lease has entered into with CMA CGM were negotiated at arm’s-length, and the terms of the charters are customary for long-term charters of comparable vessels;</w:t>
      </w:r>
    </w:p>
    <w:p>
      <w:pPr>
        <w:spacing w:after="0" w:line="5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ship management agreements and the global expense agreement that Global Ship Lease has entered into with CMA Ships were negotiated at arm’s-length and are reflective of the terms that Global Ship Lease believes could be reached in an agreement between unrelated third parties;</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charters that Global Ship Lease has entered into with CMA CGM and all ship management agreements that Global Ship Lease has entered into with CMA Ships are substantially similar to the charter and the ship management agreement that Global Ship Lease provided to Simpson Thacher for its review;</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vessel in Global Ship Lease’s initial and contracted fleet had, at charter inception, a remaining economic useful life of no less than (a) 30 years minus (b) the age of the vessel at charter inception; and</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payments due to Global Ship Lease under each of the charters with CMA CGM were, at the time each such charter was entered into, substantially in excess of the bareboat charter rate for a comparable vessel.</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Simpson Thacher’s opinion was also based on a representation that Global Ship Lease and Marathon made to counsel that, for each of the ship management agreements with CMA Ships, Global Ship Lease will enter into replacement ship management agreements with ship managers unrelated to CMA Ships or any of its affiliates on or prior to the expiration of each agreement’s initial three year term.</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Based on this opinion (and Global Ship Lease’s expectation that the representations set forth above will apply equally to any future charters that Global Ship Lease enters into, that the terms of any future charters that Global Ship Lease enters into will contain terms that are substantially similar to those contained in the charter that was provided to Simpson Thacher for its review, that Global Ship Lease’s income from its chartering activities will be greater than 25% of Global Ship Lease’s total gross income at all relevant times and that the gross value of Global Ship Lease’s vessels subject to charter will exceed the gross value of all other assets Global Ship Lease owns at all relevant times), Global Ship Lease does not expect that it will constitute a PFIC with respect to any taxable year.</w:t>
      </w:r>
    </w:p>
    <w:p>
      <w:pPr>
        <w:spacing w:after="0" w:line="1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There can be no assurance that the representations made by Global Ship Lease, GSL Holdings, and Marathon will prove correct or that the nature of Global Ship Lease’s assets, income and operations will remain the same in the future (notwithstanding Global Ship Lease’s current expectations). Simpson Thacher has not undertaken any obligation to update its opinion. 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our time charters. No assurance can be given that the IRS or a court of law will accept Simpson Thacher’s position that the charters Global Ship Lease has entered into with CMA CGM constitute service contracts rather than leases for U.S. federal income tax purposes, or that future changes of law will not adversely affect Simpson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Thacher’s opinion. Unlike a ruling, an opinion of counsel represents only that counsel’s best legal judgment (based on the law then in effect) and does not bind the IRS or the courts. Any contest with the IRS may materially and adversely impact the market for the Class A common shares and the prices at which Class A common shares trade. In addition, the costs of any contest with the IRS will result in a reduction in cash available for distribution and thus will be borne indirectly by Global Ship Lease’s shareholders.</w:t>
      </w:r>
    </w:p>
    <w:p>
      <w:pPr>
        <w:spacing w:after="0" w:line="143"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Global Ship Lease were to be classified as a PFIC in any year, each U.S. holder of Global Ship Lease’s Class A common shares will be subject (in that year and all subsequent years) to special rules with respect to: (1) any “excess distribution” (generally defined as any distribution received by a shareholder in a taxable year that is greater than 125% of the average annual distributions received by the shareholder in the three preceding taxable years or, if shorter, the shareholder’s holding period for the Class A common shares), and (2) any gain realized upon the sale or other disposition of the Class A common shares. Under these rules:</w:t>
      </w:r>
    </w:p>
    <w:p>
      <w:pPr>
        <w:spacing w:after="0" w:line="17"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its Class A common shares;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Global Ship Lease was a PFIC will be taxed as ordinary income in the current year; and</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its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order to avoid the application of the PFIC rules, U.S. holders of Global Ship Lease Class A common shares may make a qualified electing fund, or a QEF, election provided in Section 1295 of the Code. In lieu of the PFIC rules discussed above, a U.S. holder that makes a valid QEF election will, in very general terms, be required to include its pro rata share of Global Ship Lease’s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Global Ship Lease later distributes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Global Ship Lease is a PFIC or, if later, the first taxable year for which the U.S. holder held common stock. In this regard, a QEF election is effective only if certain required information is made available by the PFIC. Subsequent to the date that Global Ship Lease first determines that it is a PFIC, Global Ship Lease will use commercially reasonable efforts to provide any U.S. holder of Class A common shares, upon request, with the information necessary for such U.S. holder to make the QEF election. If Global Ship Lease does not believe that it is a PFIC for a particular year but it is ultimately determined that it was a PFIC, it may not be possible for a holder to make a QEF election for such year.</w:t>
      </w:r>
    </w:p>
    <w:p>
      <w:pPr>
        <w:spacing w:after="0" w:line="126" w:lineRule="exact"/>
        <w:rPr>
          <w:sz w:val="20"/>
          <w:szCs w:val="20"/>
          <w:color w:val="auto"/>
        </w:rPr>
      </w:pPr>
    </w:p>
    <w:p>
      <w:pPr>
        <w:jc w:val="both"/>
        <w:ind w:right="80"/>
        <w:spacing w:after="0" w:line="305" w:lineRule="auto"/>
        <w:rPr>
          <w:sz w:val="20"/>
          <w:szCs w:val="20"/>
          <w:color w:val="auto"/>
        </w:rPr>
      </w:pPr>
      <w:r>
        <w:rPr>
          <w:rFonts w:ascii="Arial" w:cs="Arial" w:eastAsia="Arial" w:hAnsi="Arial"/>
          <w:sz w:val="15"/>
          <w:szCs w:val="15"/>
          <w:color w:val="auto"/>
        </w:rPr>
        <w:t>In addition to the QEF election, Section 1296 of the Code permits United States persons to make a “mark-to-market” election with respect to marketable stock in a PFIC. If a U.S. holder of Global Ship Lease Class A common shares makes a mark-to-market election, such U.S. holder generally would, in each taxable year:</w:t>
      </w:r>
    </w:p>
    <w:p>
      <w:pPr>
        <w:ind w:right="80" w:firstLine="8"/>
        <w:spacing w:after="0" w:line="292"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The consequences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previously indicated, if Global Ship Lease were to be classified as a PFIC for a taxable year in which Global Ship Lease pays a dividend or the immediately preceding taxable year, dividends paid by Global Ship Lease would not constitute “qualified dividend income” and, hence, would not be eligible for the reduced rate of U.S. federal income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more than 50% of the voting power or value of Global Ship Lease’s shares is owned by U.S. persons (within the meaning of the Code) who each own (directly or through application of certain rules of attribution) 10% or more of the voting power of the shares, or U.S 10% Holders, Global Ship Lease will be a controlled foreign corporation, or a CFC. If Global Ship Lease is so treated, there will be additional tax consequences to U.S. 10% Holders. In particular, in each year Global Ship Lease is a CFC, such U.S. 10% Holders who directly or indirectly own Global Ship Lease shares on the last day of the year will be required to include in ordinary income their pro rata share of Global Ship Lease’s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Global Ship Lease, but will not include active business income. Global Ship Lease believes, and intends to take the position, that the charters Global Ship Lease has entered into should not generate passive income, and thus the income generated by Global Ship Lease’s charters should not be treated as Subpart F income to its U.S. 10% Holders, although no assurance can be provided that the IRS will not successfully challenge such position.</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if Global Ship Lease is treated as a CFC, gain realized by a U.S. 10% Holder on the sale or other disposition of Class A common shares may be treated as dividend income to the extent of certain accumulated earnings and profits of Global Ship Lease. Moreover, for taxable years of a U.S. 10% Holder in which Global Ship Lease is a CFC, and taxable years of Global Ship Lease that end with or within such taxable years of such U.S. 10% Holders, Global Ship Lease generally will not be treated as a PFIC with respect to Class A common shares held by such U.S. 10% Holder (but may be treated as a PFIC with respect to other U.S. holders). However, it appears that a U.S. 10% Holder of a CFC who disposes of common shares received upon exercise of warrants may be subject to tax treatment under the PFIC regime with respect to such common shares. Each U.S. holder is advised to consult such U.S. holder’s own tax advisor concerning the PFIC and CFC rules with respect to ownership and disposition of Class A common shares received upon the exercise of warrants.</w:t>
      </w:r>
    </w:p>
    <w:p>
      <w:pPr>
        <w:spacing w:after="0" w:line="11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Under the attribution rules provided in the Code, the holder of an option to acquire common shares (including, for this purpose, a warrant) is deemed to own such common shares for purposes of determining whether such holder is a U.S. 10% Holder and for purposes of determining whether Global Ship Lease is a CFC. In applying similar option attribution rules for certain other purposes, the IRS has taken the position (with which some courts have disagreed) that a holder of warrants is treated as owning the common shares subject to such warrants, but that warrants owned by other holders would not be viewed as increasing the total number of outstanding common shares. It is not clear whether, or how, the IRS would seek to apply a similar theory to determine whether a particular shareholder is a U.S. 10% Holder or whether Global Ship Lease is a CFC, nor is it clear whether such a theory would be upheld. If a similar theory were to apply for this purpose, it could substantially increase the likelihood that Global Ship Lease would be a CFC or that a particular U.S. holder would be a U.S. 10% Holder.</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 cannot predict at this time whether it will be a CFC, and satisfaction of the CFC definitional test is outside of Global Ship Lease’s control. U.S. holders may want to consult their own tax advisors concerning the application of the controlled foreign corporation rules to them in light of their particular circumstances.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Global Ship Lease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Global Ship Lease is treated as a U.S. corporation pursuant to Section 7874 of the Code, non-U.S. holders generally will be subject to withholding tax at a rate of 30% on all dividends paid by Global Ship Lease,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Global Ship Lease is exposed to the impact of interest rate changes primarily through its floating-rate borrowings under Global Ship Lease’s credit facility and its $48 million preferred shares. Significant increases in interest rates could adversely affect Global Ship Lease’s results of operations and its ability to service its own debt. The Predecessor Group did not enter into interest rate swap agreements to reduce its exposure to cash flow risks from changing interest rates.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connection with Global Ship Lease’s credit facility and as part of overall risk management, it has entered into interest rate swap agreements to reduce its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Counterparties to these financial instruments expose Global Ship Lease to credit-related losses in the event of non-performance; however, counterparties to these agreements are major financial institutions, and Global Ship Lease considers the risk of loss due to non-performance to be minimal. Global Ship Lease will not require collateral from these institutions. Global Ship Lease will not enter into interest rate swaps for trading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Global Ship Lease’s analysis of the potential effects of variations in market interest rates is based on a sensitivity analysis, which models the effects of potential market interest rate changes on Global Ship Lease’s financial condition and results of operations. The following sensitivity analysis may have limited use as a benchmark and should not be viewed as a forecast as it does not include a variety of other potential factors that could affect Global Ship Lease’s business as a result of changes in interest rates.</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Without applying the effect of any interest rate swap arrangements that Global Ship Lease has entered into in connection with Global Ship Lease’s credit facility, and based on borrowings under the credit facility together with the preferred shares and ignoring cash on deposit as of December 31, 2008, a hypothetical 1% increase in LIBOR would have the impact of reducing Global Ship Lease’s net income, before income taxes, by approximately $5.9 million.</w:t>
      </w:r>
    </w:p>
    <w:p>
      <w:pPr>
        <w:spacing w:after="0" w:line="10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interest rate swaps agreements that Global Ship Lease entered into in connection with the credit facility is intended to minimize the risks associated with Global Ship Lease’s variable rate debt under its credit facility. Global Ship Lease expects that these interest rate swaps will significantly reduce the additional cash interest expense that could be caused by upward changes in variable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shipping industry’s functional currency is the United States dollar. All of Global Ship Lease’s revenues and the majority of Global Ship Lease’s operating costs are in United States dollars. In the future, Global Ship Lease does not expect to be exposed to any significant extent to the impact of changes in foreign currency exchange rates. Consequently, Global Ship Lease does not presently intend to enter into derivative instruments to hedge the foreign currency translation of assets or liabilities or foreign currency transactions nor to use financial instruments for trading or other speculative purposes.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Global Ship Lease’s vessels and the impact of the price of lube oil costs, Global Ship Lease does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are capped as discussed elsewhere in this Annual Report.</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2008,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annual report does not contain a report by management on internal control over financial reporting or an attestation report of our registered public accounting firm. Under normal circumstances, pursuant to Section 404 of the Sarbanes-Oxley Act of 2002 (“Sarbanes-Oxley”), we would be required to furnish a report by management on internal control over financial reporting, which must contain, among other things, an assessment of the effectiveness of our internal control over financial reporting as of the end of that year, including a statement as to whether or not our internal control over financial reporting is effective. However, in Question No. 3 of the Frequently Asked Questions document updated by the staff of the SEC (the “Staff”) in September 2007, the Staff noted that in certain situations, companies are permitted to exclude acquired businesses from the scope of management’s assessment in the first annual report following a material business combination. The Staff stated that if a registrant consummates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material purchase business combination during its fiscal year, it might not always be possible to conduct an assessment of an acquired business’s internal control over financial reporting in the period between the consummation date and the date of management’s assessment. In addition, business combinations of special purpose acquisition companies present situations where excluding the acquired operating company from management’s assessment may not result in a meaningful assessment of internal controls effectiveness, given that the internal controls and processes of the acquired operating company are the only ones remaining after the transaction.</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14, 2008, Global Ship Lease completed a merger with Marathon Acquisition Corp. Marathon Acquisition Corp., the accounting acquirer in the Merger, was previously a blank check company formed in Delaware on April 27, 2006 for the purpose of acquiring, through a merger, stock exchange, asset acquisition, reorganization or similar business combination, one or more operating businesses. Marathon was a company listed on The American Stock Exchange with limited operations and no assets other than cash. Following the Merger, Global Ship Lease listed on the New York Stock Exchange and Marathon ceased to exist.</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combined financial statements presented elsewhere in this annual report include two distinct reporting periods: (i) January 1, 2006 through August 14, 2008 (“Predecessor”) and (ii) August 15, 2008 through December 31, 2008 (“Successor”), which relate to the period preceding and succeeding the Merger, respectively. Our Predecessor was not required to file any periodic or other reports with the SEC and was not subject to the reporting requirements of Section 15(d) of the Exchange Act until August 15, 2008.</w:t>
      </w:r>
    </w:p>
    <w:p>
      <w:pPr>
        <w:spacing w:after="0" w:line="14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Following the Merger, the internal controls and processes operating during the Successor period consisted solely of those of Global Ship Lease, the acquired operating company. The exclusion of the acquired company’s controls and processes from management’s report would result in the exclusion of virtually all controls. Considering the substantial changes in our internal controls and processes and the fact that the Successor’s control environment operated for less than five months during fiscal year 2008, a meaningful assessment of internal controls effectiveness was not feasible and management concluded that Global Ship Lease should omit such an assessment from the first annual report following the Merger.</w:t>
      </w:r>
    </w:p>
    <w:p>
      <w:pPr>
        <w:spacing w:after="0" w:line="1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 order to comply with Section 404 of Sarbanes Oxley, management has begun the necessary system and process documentation and evaluation and will include its report on internal control over financial reporting in its future annual reports beginning with its annual report for the fiscal year ending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Since August 2008, Global Ship Lease has begun documenting its risk assessment, identifying significant accounts and processes and evaluating the design effectiveness of its new internal control environment. In addition, a significant portion of Global Ship Lease’s day-to-day business, consisting of the crewing and technical management of our vessels, is outsourced to a third party ship management company that is privately owned and not otherwise subject to the Sarbanes-Oxley requirements. Management has also begun an analytical review and examination of the information provided by this ship manager to ensure that it is accurate and complete and that Global Ship Lease’s financial statements incorporating such information are correct. Global Ship Lease plans to complete an appropriate, efficient and meaningful assessment of the relevant internal control over financial reporting at the ship manager for its next annual report.</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2008 and 2007 was PricewaterhouseCoopers Audit, France, an independent registered public accounting firm.</w:t>
      </w:r>
    </w:p>
    <w:p>
      <w:pPr>
        <w:spacing w:after="0" w:line="246" w:lineRule="exact"/>
        <w:rPr>
          <w:sz w:val="20"/>
          <w:szCs w:val="20"/>
          <w:color w:val="auto"/>
        </w:rPr>
      </w:pPr>
    </w:p>
    <w:p>
      <w:pPr>
        <w:ind w:right="5300"/>
        <w:spacing w:after="0" w:line="445"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2007 and 2008, the fees rendered by the auditors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61"/>
              <w:spacing w:after="0"/>
              <w:rPr>
                <w:sz w:val="20"/>
                <w:szCs w:val="20"/>
                <w:color w:val="auto"/>
              </w:rPr>
            </w:pPr>
            <w:r>
              <w:rPr>
                <w:rFonts w:ascii="Arial" w:cs="Arial" w:eastAsia="Arial" w:hAnsi="Arial"/>
                <w:sz w:val="14"/>
                <w:szCs w:val="14"/>
                <w:b w:val="1"/>
                <w:bCs w:val="1"/>
                <w:color w:val="auto"/>
              </w:rPr>
              <w:t>2008</w:t>
            </w:r>
          </w:p>
        </w:tc>
        <w:tc>
          <w:tcPr>
            <w:tcW w:w="5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149"/>
        </w:trPr>
        <w:tc>
          <w:tcPr>
            <w:tcW w:w="3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83"/>
              </w:rPr>
              <w:t>(Predecessor for the</w:t>
            </w: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(Successor for the</w:t>
            </w:r>
          </w:p>
        </w:tc>
      </w:tr>
      <w:tr>
        <w:trPr>
          <w:trHeight w:val="149"/>
        </w:trPr>
        <w:tc>
          <w:tcPr>
            <w:tcW w:w="3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period from January 1,</w:t>
            </w: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period from August 15,</w:t>
            </w:r>
          </w:p>
        </w:tc>
      </w:tr>
      <w:tr>
        <w:trPr>
          <w:trHeight w:val="149"/>
        </w:trPr>
        <w:tc>
          <w:tcPr>
            <w:tcW w:w="3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w w:val="88"/>
              </w:rPr>
              <w:t>2008 to August 14,</w:t>
            </w: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2008 to December 31,</w:t>
            </w:r>
          </w:p>
        </w:tc>
      </w:tr>
      <w:tr>
        <w:trPr>
          <w:trHeight w:val="161"/>
        </w:trPr>
        <w:tc>
          <w:tcPr>
            <w:tcW w:w="3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(Predecessor)</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2008)</w:t>
            </w:r>
          </w:p>
        </w:tc>
        <w:tc>
          <w:tcPr>
            <w:tcW w:w="5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878,043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403,250</w:t>
            </w:r>
          </w:p>
        </w:tc>
        <w:tc>
          <w:tcPr>
            <w:tcW w:w="5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342,118</w:t>
            </w:r>
          </w:p>
        </w:tc>
        <w:tc>
          <w:tcPr>
            <w:tcW w:w="2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7,250</w:t>
            </w:r>
          </w:p>
        </w:tc>
        <w:tc>
          <w:tcPr>
            <w:tcW w:w="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5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2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All Other Fees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878,043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442,889</w:t>
            </w:r>
          </w:p>
        </w:tc>
        <w:tc>
          <w:tcPr>
            <w:tcW w:w="5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Audit fees represent professional services rendered for the audit of our combined annual financial statements, the quarterly reviews and services provided by our principal accountant in connection with statutory and regulatory filings or engagements. Included in Audit Fees are professional services rendered in connection with the review of our regulatory filings for the project of initial public offering of our Predecessor in 2007 for $503,000 and the review of our regulatory filings for our merger in the first half of 2008 for $300,000.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combined financial statements which have not been reported under Audit Fees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2008 and 2007 are primarily for tax consultation services.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after the Merger which took place in August 2008.</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14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180" w:type="dxa"/>
            <w:vAlign w:val="bottom"/>
            <w:gridSpan w:val="7"/>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060" w:type="dxa"/>
            <w:vAlign w:val="bottom"/>
            <w:gridSpan w:val="8"/>
          </w:tcPr>
          <w:p>
            <w:pPr>
              <w:spacing w:after="0"/>
              <w:rPr>
                <w:sz w:val="20"/>
                <w:szCs w:val="20"/>
                <w:color w:val="auto"/>
              </w:rPr>
            </w:pPr>
            <w:r>
              <w:rPr>
                <w:rFonts w:ascii="Arial" w:cs="Arial" w:eastAsia="Arial" w:hAnsi="Arial"/>
                <w:sz w:val="18"/>
                <w:szCs w:val="18"/>
                <w:color w:val="auto"/>
                <w:w w:val="98"/>
              </w:rPr>
              <w:t>The following financial statements, together with the report of PricewaterhouseCoopers Audit thereon, are filed as part of this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11060" w:type="dxa"/>
            <w:vAlign w:val="bottom"/>
            <w:gridSpan w:val="8"/>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60" w:type="dxa"/>
            <w:vAlign w:val="bottom"/>
            <w:gridSpan w:val="8"/>
          </w:tcPr>
          <w:p>
            <w:pPr>
              <w:ind w:left="440"/>
              <w:spacing w:after="0"/>
              <w:rPr>
                <w:sz w:val="20"/>
                <w:szCs w:val="20"/>
                <w:color w:val="auto"/>
              </w:rPr>
            </w:pPr>
            <w:r>
              <w:rPr>
                <w:rFonts w:ascii="Arial" w:cs="Arial" w:eastAsia="Arial" w:hAnsi="Arial"/>
                <w:sz w:val="18"/>
                <w:szCs w:val="18"/>
                <w:i w:val="1"/>
                <w:iCs w:val="1"/>
                <w:color w:val="auto"/>
              </w:rPr>
              <w:t>Audited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4180" w:type="dxa"/>
            <w:vAlign w:val="bottom"/>
            <w:tcBorders>
              <w:bottom w:val="single" w:sz="8" w:color="0000EE"/>
            </w:tcBorders>
            <w:gridSpan w:val="2"/>
          </w:tcPr>
          <w:p>
            <w:pPr>
              <w:spacing w:after="0" w:line="184"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Reports of Independent Registered Public Accounting Firm</w:t>
              </w:r>
            </w:hyperlink>
          </w:p>
        </w:tc>
        <w:tc>
          <w:tcPr>
            <w:tcW w:w="6000" w:type="dxa"/>
            <w:vAlign w:val="bottom"/>
            <w:gridSpan w:val="5"/>
          </w:tcPr>
          <w:p>
            <w:pPr>
              <w:spacing w:after="0"/>
              <w:rPr>
                <w:sz w:val="15"/>
                <w:szCs w:val="15"/>
                <w:color w:val="auto"/>
              </w:rPr>
            </w:pPr>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Combined Balance Sheets as at December 31, 2008 and 2007</w:t>
              </w:r>
            </w:hyperlink>
          </w:p>
        </w:tc>
        <w:tc>
          <w:tcPr>
            <w:tcW w:w="58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Combined Statements of Income for the years ended December 31, 2008, 2007 and 2006</w:t>
              </w:r>
            </w:hyperlink>
          </w:p>
        </w:tc>
        <w:tc>
          <w:tcPr>
            <w:tcW w:w="39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Combined Statements of Cash Flows for the years ended December 31, 2008, 2007 and 2006</w:t>
              </w:r>
            </w:hyperlink>
          </w:p>
        </w:tc>
        <w:tc>
          <w:tcPr>
            <w:tcW w:w="36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Combined Statements of Stockholder’s Equity for the years ended December 31, 2008, 2007 and 2006</w:t>
              </w:r>
            </w:hyperlink>
          </w:p>
        </w:tc>
        <w:tc>
          <w:tcPr>
            <w:tcW w:w="29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80" w:type="dxa"/>
            <w:vAlign w:val="bottom"/>
            <w:gridSpan w:val="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Notes to the Combined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F-11</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120" w:type="dxa"/>
            <w:vAlign w:val="bottom"/>
            <w:gridSpan w:val="3"/>
          </w:tcPr>
          <w:p>
            <w:pPr>
              <w:jc w:val="right"/>
              <w:ind w:right="132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4"/>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Specimen Unit certificate (incorporated by reference to Exhibit 4.1 of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Specimen Warrant certificate (incorporated by reference to Exhibit 4.3 of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Warrant Agreement entered into by The Bank of New York and Marathon Acquisition Corp. (incorporated by reference to Exhibit 4.4 of Global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Ship Lease, Inc.’s Registration Statement on 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First Supplemental Warrant Agreement, dated March 18, 2008, between Marathon Acquisition Corp. and the Warrant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8"/>
              </w:rPr>
              <w:t>reference to Exhibit 4.2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Second Supplemental Warrant Agreement, dated March 24, 2008, between Marathon Acquisition Corp. and the Warrant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8"/>
              </w:rPr>
              <w:t>reference to Exhibit 4.3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Third Supplemental Warrant Agreement between Marathon Acquisition Corp. and the Warrant Agent (incorporated by reference to Exhibit 4.1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F-4 (File No. 333-150309) filed on August 7,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and Plan of Merger by and among Marathon Acquisition Corp., GSL Holdings, Inc., Global Ship Lease, Inc. and CMA CGM S.A.,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dated as of March 21, 2008 (incorporated by reference to Exhibit 2.1 of Marathon Acquisition Corp.’s Current Report on Form 8-K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Amendment, dated as of June 2, 2008, to Agreement and Plan of Merger, dated as of March 21, 2008, among Marathon Acquisition Corp., GSL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Holdings, Inc., CMA CGM S.A. and Global Ship Lease, Inc. (incorporated by reference to Exhibit 2.1 of Marathon Acquisition Corp.’s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Form of Registration Rights Agreement between GSL Holdings, Inc., Marathon Founders, LLC, Marathon Investors, LLC, the insiders listed on the</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4"/>
              </w:rPr>
              <w:t>signature page thereto and CMA CGM S.A. (incorporated by reference to Exhibit A-1 to Exhibit 2.1 of Marathon Acquisition Corp.’s Current</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Report on Form 8-K (File No. 001-32983) filed on July 24,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4.5</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Founder Warrant Purchase Agreement, dated as of May 11, 2006, between Marathon Acquisition Corp. and Marathon Investors, LLC (incorporated</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by reference to Exhibit 10.8 of Amendment No. 1 to Marathon Acquisition Corp.’s Registration Statement on Form S-1 (File No. 333-134078) filed</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on June 29,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4.6</w:t>
            </w: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First Supplemental Founder Warrant Purchase Agreement, dated March 18, 2008, between the Marathon Acquisition Corp. and Marathon Investors,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LLC (incorporated by reference to Exhibit 4.1 of Marathon Acquisition Corp.’s Current Report on Form 8-K (File No. 001-32983) filed on March</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25,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4.7</w:t>
            </w: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Founder Unit Purchase Agreement, dated as of May 11, 2006 among Marathon Acquisition Corp. and Marathon Founders, LLC and certain directors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of Marathon (incorporated by reference to Exhibit 10.5 of Amendment No. 1 to Marathon Acquisition Corp.’s Registration Statement on Form S-1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(File No. 333-134078) filed on June 29, 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4.8</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 to</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Exhibit 10.6 of Amendment No. 2 to Marathon Acquisition Corp.’s Registration Statement on Form S-1 (File No. 333-134078) filed on August 1,</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2006).</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4.9</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Form of Transitional Services Agreement between Global Ship Lease Services Limited and CMA CGM S.A. (incorporated by reference to Exhibit</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4.10</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Amended and Restated Asset Purchase Agreement, dated as of December 5, 2007, among Global Ship Lease, Inc. and CMA CGM S.A., Delmas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S.A.S., Pacific I S.N.C. and Pacific II S.N.C. (incorporated by reference to Exhibit 10.7 of Global Ship Lease, Inc.’s Registration Statement on Form</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F-4 (File No. 333-150309) filed on April 18,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4.11</w:t>
            </w: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Form of Second Amended and Restated Asset Purchase Agreement among Global Ship Lease, Inc. and CMA CGM S.A., Delmas S.A.S., Pacific I</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S.N.C. and Pacific II S.N.C. (incorporated by reference to Exhibit A-2 to Exhibit 2.1 of Marathon Acquisition Corp’s Current Report on Form 8-K</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(File No. 001-32983) filed on March 25,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4.12</w:t>
            </w: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Credit Facility, dated as of December 10, 2007, among the Companies Listed In Part 1 of Schedule 1 thereto, Global Ship Lease, Inc., Fortis Bank</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2"/>
              </w:rPr>
              <w:t>(Nederland) N.V., Citigroup Global Markets Limited, HSH Nordbank AG, DNB Nor Bank ASA, Sumitomo Mitsui Banking Corporation, Brussels</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0"/>
              </w:rPr>
              <w:t>Branch (incorporated by reference to Exhibit 10.9 of Amendment No. 3 to Global Ship Lease, Inc.’s Registration Statement on Form F-1 (File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333-147070) filed on November 13, 2007).</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4.13</w:t>
            </w: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Addendum No. 1 to Credit Facility, dated December 10, 2007, among the Companies Listed In Part 1 of Schedule 1 thereto, Global Ship Lease, Inc.,</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99"/>
              </w:rPr>
              <w:t>Fortis Bank (Nederland) N.V., Citigroup Global Markets Limited, HSH Nordbank AG, DNB Nor Bank ASA, Sumitomo Mitsui Banking</w:t>
            </w:r>
          </w:p>
        </w:tc>
      </w:tr>
      <w:tr>
        <w:trPr>
          <w:trHeight w:val="216"/>
        </w:trPr>
        <w:tc>
          <w:tcPr>
            <w:tcW w:w="620" w:type="dxa"/>
            <w:vAlign w:val="bottom"/>
          </w:tcPr>
          <w:p>
            <w:pPr>
              <w:spacing w:after="0"/>
              <w:rPr>
                <w:sz w:val="18"/>
                <w:szCs w:val="18"/>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w w:val="89"/>
              </w:rPr>
              <w:t>Corporation, Brussels Branch (incorporated by reference to Exhibit 10.10 of Global Ship Lease, Inc.’s Registration Statement on Form F-4 (File No.</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333-150309) filed on April 18, 2008).</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4.14</w:t>
            </w:r>
          </w:p>
        </w:tc>
        <w:tc>
          <w:tcPr>
            <w:tcW w:w="10780" w:type="dxa"/>
            <w:vAlign w:val="bottom"/>
          </w:tcPr>
          <w:p>
            <w:pPr>
              <w:ind w:left="300"/>
              <w:spacing w:after="0"/>
              <w:rPr>
                <w:sz w:val="20"/>
                <w:szCs w:val="20"/>
                <w:color w:val="auto"/>
              </w:rPr>
            </w:pPr>
            <w:r>
              <w:rPr>
                <w:rFonts w:ascii="Arial" w:cs="Arial" w:eastAsia="Arial" w:hAnsi="Arial"/>
                <w:sz w:val="18"/>
                <w:szCs w:val="18"/>
                <w:color w:val="auto"/>
                <w:w w:val="88"/>
              </w:rPr>
              <w:t>Form of Guarantee made by Global Ship Lease, Inc. in favor of the charterer listed on Schedule I thereto (incorporated by reference to Exhibit 10.10</w:t>
            </w:r>
          </w:p>
        </w:tc>
      </w:tr>
      <w:tr>
        <w:trPr>
          <w:trHeight w:val="222"/>
        </w:trPr>
        <w:tc>
          <w:tcPr>
            <w:tcW w:w="620" w:type="dxa"/>
            <w:vAlign w:val="bottom"/>
          </w:tcPr>
          <w:p>
            <w:pPr>
              <w:spacing w:after="0"/>
              <w:rPr>
                <w:sz w:val="19"/>
                <w:szCs w:val="19"/>
                <w:color w:val="auto"/>
              </w:rPr>
            </w:pPr>
          </w:p>
        </w:tc>
        <w:tc>
          <w:tcPr>
            <w:tcW w:w="10780" w:type="dxa"/>
            <w:vAlign w:val="bottom"/>
          </w:tcPr>
          <w:p>
            <w:pPr>
              <w:ind w:left="30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65"/>
        </w:trPr>
        <w:tc>
          <w:tcPr>
            <w:tcW w:w="620" w:type="dxa"/>
            <w:vAlign w:val="bottom"/>
          </w:tcPr>
          <w:p>
            <w:pPr>
              <w:spacing w:after="0"/>
              <w:rPr>
                <w:sz w:val="24"/>
                <w:szCs w:val="24"/>
                <w:color w:val="auto"/>
              </w:rPr>
            </w:pPr>
          </w:p>
        </w:tc>
        <w:tc>
          <w:tcPr>
            <w:tcW w:w="10780" w:type="dxa"/>
            <w:vAlign w:val="bottom"/>
          </w:tcPr>
          <w:p>
            <w:pPr>
              <w:ind w:left="5000"/>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right="420" w:hanging="809"/>
        <w:spacing w:after="0" w:line="268" w:lineRule="auto"/>
        <w:tabs>
          <w:tab w:leader="none" w:pos="8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of Guarantee made by the CMA CGM S.A. in favor of Global Ship Lease, Inc. (incorporated by reference to Exhibit 10.11 of Global Ship Lease, Inc.’s Registration Statement on Form F-1 (File No. 333-147070) filed on November 1, 2007).</w:t>
      </w:r>
    </w:p>
    <w:p>
      <w:pPr>
        <w:spacing w:after="0" w:line="78" w:lineRule="exact"/>
        <w:rPr>
          <w:sz w:val="20"/>
          <w:szCs w:val="20"/>
          <w:color w:val="auto"/>
        </w:rPr>
      </w:pPr>
    </w:p>
    <w:p>
      <w:pPr>
        <w:ind w:left="820" w:right="200" w:hanging="809"/>
        <w:spacing w:after="0" w:line="332" w:lineRule="auto"/>
        <w:tabs>
          <w:tab w:leader="none" w:pos="8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Form of Charter Agreement entered into by a subsidiary of Global Ship Lease, Inc. and CMA CGM S.A. or one of its subsidiaries (incorporated by reference to Exhibit 2.1 of Marathon Acquisition Corp.’s Current Report on Form 8-K (File No. 001-32983) filed on March 25, 2008).</w:t>
      </w:r>
    </w:p>
    <w:p>
      <w:pPr>
        <w:spacing w:after="0" w:line="31" w:lineRule="exact"/>
        <w:rPr>
          <w:sz w:val="20"/>
          <w:szCs w:val="20"/>
          <w:color w:val="auto"/>
        </w:rPr>
      </w:pPr>
    </w:p>
    <w:p>
      <w:pPr>
        <w:ind w:left="820" w:right="100" w:hanging="809"/>
        <w:spacing w:after="0" w:line="332" w:lineRule="auto"/>
        <w:tabs>
          <w:tab w:leader="none" w:pos="8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Form of Ship Management Agreement entered into by CMA Ships and a Subsidiary of Global Ship Lease, Inc. (incorporated by reference to Exhibit A-3 to Exhibit 2.1 of Marathon Acquisition Corp.’s Current Report on Form 8-K (File No. 001-32983) filed on March 25, 2008).</w:t>
      </w:r>
    </w:p>
    <w:p>
      <w:pPr>
        <w:spacing w:after="0" w:line="31" w:lineRule="exact"/>
        <w:rPr>
          <w:sz w:val="20"/>
          <w:szCs w:val="20"/>
          <w:color w:val="auto"/>
        </w:rPr>
      </w:pPr>
    </w:p>
    <w:p>
      <w:pPr>
        <w:ind w:left="820" w:right="380" w:hanging="809"/>
        <w:spacing w:after="0" w:line="332" w:lineRule="auto"/>
        <w:tabs>
          <w:tab w:leader="none" w:pos="8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Form of Guarantee made by Global Ship Lease, Inc. in favor of CMA CGM S.A. and CMA Ships (incorporated by reference to Exhibit 10.14 of Global Ship Lease, Inc.’s Registration Statement on Form F-1 (File No. 333-147070) filed on November 1, 2007).</w:t>
      </w:r>
    </w:p>
    <w:p>
      <w:pPr>
        <w:spacing w:after="0" w:line="31"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Form of Guarantee made by CMA CGM S.A. in favor of Global Ship Lease, Inc. and its Subsidiaries (incorporated by reference to Exhibit 1015 of Global Ship Lease, Inc.’s Registration Statement on Form F-1 (File No. 333-147070) filed on November 1, 2007).</w:t>
      </w:r>
    </w:p>
    <w:p>
      <w:pPr>
        <w:spacing w:after="0" w:line="78" w:lineRule="exact"/>
        <w:rPr>
          <w:sz w:val="20"/>
          <w:szCs w:val="20"/>
          <w:color w:val="auto"/>
        </w:rPr>
      </w:pPr>
    </w:p>
    <w:p>
      <w:pPr>
        <w:ind w:left="820" w:right="320" w:hanging="809"/>
        <w:spacing w:after="0" w:line="268" w:lineRule="auto"/>
        <w:tabs>
          <w:tab w:leader="none" w:pos="8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Form of Global Expense Agreement between CMA Ships and Global Ship Lease, Inc. (incorporated by reference to Exhibit 10.16 of Global Ship Lease, Inc.’s Registration Statement on Form F-1 (File No. 333-147070) filed on November 1, 2007).</w:t>
      </w:r>
    </w:p>
    <w:p>
      <w:pPr>
        <w:spacing w:after="0" w:line="78" w:lineRule="exact"/>
        <w:rPr>
          <w:sz w:val="20"/>
          <w:szCs w:val="20"/>
          <w:color w:val="auto"/>
        </w:rPr>
      </w:pPr>
    </w:p>
    <w:p>
      <w:pPr>
        <w:ind w:left="820" w:right="100" w:hanging="809"/>
        <w:spacing w:after="0" w:line="332" w:lineRule="auto"/>
        <w:tabs>
          <w:tab w:leader="none" w:pos="8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Form of Indemnification Agreement entered into between Global Ship Lease, Inc. and each of its directors and officers (incorporated by reference to Exhibit 10.17 of Global Ship Lease, Inc.’s Registration Statement on Form F-1 (File No. 333-147070) filed on November 1, 2007).</w:t>
      </w:r>
    </w:p>
    <w:p>
      <w:pPr>
        <w:spacing w:after="0" w:line="31" w:lineRule="exact"/>
        <w:rPr>
          <w:sz w:val="20"/>
          <w:szCs w:val="20"/>
          <w:color w:val="auto"/>
        </w:rPr>
      </w:pPr>
    </w:p>
    <w:p>
      <w:pPr>
        <w:ind w:left="820" w:hanging="809"/>
        <w:spacing w:after="0" w:line="332" w:lineRule="auto"/>
        <w:tabs>
          <w:tab w:leader="none" w:pos="8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Form of Stockholders Agreement among GSL Holdings, Inc., CMA CGM S.A. and Marathon Founders, LLC (incorporated by reference to Exhibit B to Exhibit 2.1 of Marathon Acquisition Corp.’s Current Report on Form 8-K (File No. 001-32983) filed on June 3, 2008).</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2008 Equity Incentive Plan (incorporated by reference to Exhibit 10.22 of Global Ship Lease, Inc.’s Registration Statement on Form F-1 (File No.</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333-153448) filed on September 12, 2008).</w:t>
      </w:r>
    </w:p>
    <w:p>
      <w:pPr>
        <w:spacing w:after="0" w:line="111" w:lineRule="exact"/>
        <w:rPr>
          <w:sz w:val="20"/>
          <w:szCs w:val="20"/>
          <w:color w:val="auto"/>
        </w:rPr>
      </w:pPr>
    </w:p>
    <w:p>
      <w:pPr>
        <w:ind w:left="820" w:right="380" w:hanging="809"/>
        <w:spacing w:after="0" w:line="268" w:lineRule="auto"/>
        <w:tabs>
          <w:tab w:leader="none" w:pos="8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Form of Employment Agreement of Ian J. Webber (incorporated by reference to Exhibit 10.23 of Amendment No. 3 to Global Ship Lease, Inc.’s Registration Statement on Form F-4 (File No. 333-150309) filed on July 3, 2008).</w:t>
      </w:r>
    </w:p>
    <w:p>
      <w:pPr>
        <w:spacing w:after="0" w:line="78" w:lineRule="exact"/>
        <w:rPr>
          <w:sz w:val="20"/>
          <w:szCs w:val="20"/>
          <w:color w:val="auto"/>
        </w:rPr>
      </w:pPr>
    </w:p>
    <w:p>
      <w:pPr>
        <w:ind w:left="820" w:right="340" w:hanging="809"/>
        <w:spacing w:after="0" w:line="268" w:lineRule="auto"/>
        <w:tabs>
          <w:tab w:leader="none" w:pos="8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Form of Employment Agreement of Susan J. Cook (incorporated by reference to Exhibit 10.24 of Amendment No. 3 to Global Ship Lease, Inc.’s Registration Statement on Form F-4 (File No. 333-150309) filed on July 3, 2008).</w:t>
      </w:r>
    </w:p>
    <w:p>
      <w:pPr>
        <w:spacing w:after="0" w:line="78"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Form of Employment Agreement of Thomas A. Lister (incorporated by reference to Exhibit 10.25 of Amendment No. 3 to Global Ship Lease, Inc.’s Registration Statement on Form F-4 (File No. 333-150309) filed on July 3, 2008).</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Memorandum of Agreement for Hull 789 (incorporated by reference to Exhibit 10.26 of Global Ship Lease, Inc.’s Registration Statement on Form F-1/A (File No. 333-153448) filed on September 18, 2008).</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Memorandum of Agreement for Hull 790 (incorporated by reference to Exhibit 10.27 of Global Ship Lease, Inc.’s Registration Statement on Form F-1/A (File No. 333-153448) filed on September 18, 2008).</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List of Subsidiaries of Global Ship Lease, Inc.</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Code of Ethics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Rule 13a-14(a)/15d-14(a) Certification of Global Ship Lease, Inc.’s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Rule 13a-14(a)/15d-14(a) Certification of Global Ship Lease, Inc.’s Chief Financial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Global Ship Lease, Inc. Certification of Ian J. Webber, Chief Executive Officer, pursuant to 18 U.S.C. Section 1350, as adopted pursuant to Section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Global Ship Lease, Inc. Certification of Susan J. Cook, Chief Financial Officer, pursuant to 18 U.S.C. Section 1350, as adopted pursuant to Section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Consent of PricewaterhouseCoopers Audit to the incorporation by reference of the consolidated financial statements of the Company for the fiscal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Bareboat Charter</w:t>
      </w:r>
      <w:r>
        <w:rPr>
          <w:rFonts w:ascii="Arial" w:cs="Arial" w:eastAsia="Arial" w:hAnsi="Arial"/>
          <w:sz w:val="18"/>
          <w:szCs w:val="18"/>
          <w:color w:val="auto"/>
        </w:rPr>
        <w:t>. A charter of a ship under which the shipowner is usually paid a fixed amount of charterhire for a certain period of time during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Charter owners</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charter owners normally as a daily rate for the use of their containerships by container shipping companies. Charter rates</w:t>
      </w:r>
      <w:r>
        <w:rPr>
          <w:rFonts w:ascii="Arial" w:cs="Arial" w:eastAsia="Arial" w:hAnsi="Arial"/>
          <w:sz w:val="18"/>
          <w:szCs w:val="18"/>
          <w:i w:val="1"/>
          <w:iCs w:val="1"/>
          <w:color w:val="auto"/>
        </w:rPr>
        <w:t xml:space="preserve"> </w:t>
      </w:r>
      <w:r>
        <w:rPr>
          <w:rFonts w:ascii="Arial" w:cs="Arial" w:eastAsia="Arial" w:hAnsi="Arial"/>
          <w:sz w:val="18"/>
          <w:szCs w:val="18"/>
          <w:color w:val="auto"/>
        </w:rPr>
        <w:t>can be on a time 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liners services using its own or chartered ships with fixed port of call schedules. Also known</w:t>
      </w:r>
      <w:r>
        <w:rPr>
          <w:rFonts w:ascii="Arial" w:cs="Arial" w:eastAsia="Arial" w:hAnsi="Arial"/>
          <w:sz w:val="18"/>
          <w:szCs w:val="18"/>
          <w:i w:val="1"/>
          <w:iCs w:val="1"/>
          <w:color w:val="auto"/>
        </w:rPr>
        <w:t xml:space="preserve"> </w:t>
      </w:r>
      <w:r>
        <w:rPr>
          <w:rFonts w:ascii="Arial" w:cs="Arial" w:eastAsia="Arial" w:hAnsi="Arial"/>
          <w:sz w:val="18"/>
          <w:szCs w:val="18"/>
          <w:color w:val="auto"/>
        </w:rPr>
        <w:t>as a liner company or a container operator.</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Drydocking</w:t>
      </w:r>
      <w:r>
        <w:rPr>
          <w:rFonts w:ascii="Arial" w:cs="Arial" w:eastAsia="Arial" w:hAnsi="Arial"/>
          <w:sz w:val="18"/>
          <w:szCs w:val="18"/>
          <w:color w:val="auto"/>
        </w:rPr>
        <w:t>. Placing the ship in a drydock in order to check and repair areas and parts below the water line. During drydockings, which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out periodically, certain mandatory classification society inspections are carried out and relevant certifications are issued. Drydockings for containerships are generally required once every three to five years, one of which must be a Special survey.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of 100 cubic feet to the ton.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construction or just delivered.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Off-hire</w:t>
      </w:r>
      <w:r>
        <w:rPr>
          <w:rFonts w:ascii="Arial" w:cs="Arial" w:eastAsia="Arial" w:hAnsi="Arial"/>
          <w:sz w:val="18"/>
          <w:szCs w:val="18"/>
          <w:color w:val="auto"/>
        </w:rPr>
        <w:t>. The period in which a ship is not available for service under a time charter and, accordingly, the charterer generally is not required to pay the hire</w:t>
      </w:r>
      <w:r>
        <w:rPr>
          <w:rFonts w:ascii="Arial" w:cs="Arial" w:eastAsia="Arial" w:hAnsi="Arial"/>
          <w:sz w:val="18"/>
          <w:szCs w:val="18"/>
          <w:i w:val="1"/>
          <w:iCs w:val="1"/>
          <w:color w:val="auto"/>
        </w:rPr>
        <w:t xml:space="preserve"> </w:t>
      </w:r>
      <w:r>
        <w:rPr>
          <w:rFonts w:ascii="Arial" w:cs="Arial" w:eastAsia="Arial" w:hAnsi="Arial"/>
          <w:sz w:val="18"/>
          <w:szCs w:val="18"/>
          <w:color w:val="auto"/>
        </w:rPr>
        <w:t>rate. Off-hire periods can include days spent on repairs, drydocking and surveys, whether or not scheduled.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Protection and indemnity insurance</w:t>
      </w:r>
      <w:r>
        <w:rPr>
          <w:rFonts w:ascii="Arial" w:cs="Arial" w:eastAsia="Arial" w:hAnsi="Arial"/>
          <w:sz w:val="18"/>
          <w:szCs w:val="18"/>
          <w:color w:val="auto"/>
        </w:rPr>
        <w:t>. Insurance obtained through a mutual association formed by shipowners to provide liability indemnification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liabilities to which they are exposed in the course of their business, and which spreads the liability costs of each member by requiring contribution by all members in the event of a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Ship operating expenses</w:t>
      </w:r>
      <w:r>
        <w:rPr>
          <w:rFonts w:ascii="Arial" w:cs="Arial" w:eastAsia="Arial" w:hAnsi="Arial"/>
          <w:sz w:val="18"/>
          <w:szCs w:val="18"/>
          <w:color w:val="auto"/>
        </w:rPr>
        <w:t>. The costs of operating a ship, primarily consisting of crew wages and associated costs, insurance premiums, ship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fee, lubricants and spare parts, and repair and maintenance costs. Ship operating expenses exclude fuel cost, port expenses, agents’ fees, canal dues and extra war risk insurance, as well as commissions, which are included in “voyage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specifications typically built at the same shipyard.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 and</w:t>
      </w:r>
      <w:r>
        <w:rPr>
          <w:rFonts w:ascii="Arial" w:cs="Arial" w:eastAsia="Arial" w:hAnsi="Arial"/>
          <w:sz w:val="18"/>
          <w:szCs w:val="18"/>
          <w:i w:val="1"/>
          <w:iCs w:val="1"/>
          <w:color w:val="auto"/>
        </w:rPr>
        <w:t xml:space="preserve"> </w:t>
      </w:r>
      <w:r>
        <w:rPr>
          <w:rFonts w:ascii="Arial" w:cs="Arial" w:eastAsia="Arial" w:hAnsi="Arial"/>
          <w:sz w:val="18"/>
          <w:szCs w:val="18"/>
          <w:color w:val="auto"/>
        </w:rPr>
        <w:t>paying ship operating expenses while the charterer is responsible for paying the voyage expenses and additional voyage insurance. The shipowner is paid charterhire, which accrues on a daily basis.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 port expenses, agents’ fees,</w:t>
      </w:r>
      <w:r>
        <w:rPr>
          <w:rFonts w:ascii="Arial" w:cs="Arial" w:eastAsia="Arial" w:hAnsi="Arial"/>
          <w:sz w:val="18"/>
          <w:szCs w:val="18"/>
          <w:i w:val="1"/>
          <w:iCs w:val="1"/>
          <w:color w:val="auto"/>
        </w:rPr>
        <w:t xml:space="preserve"> </w:t>
      </w:r>
      <w:r>
        <w:rPr>
          <w:rFonts w:ascii="Arial" w:cs="Arial" w:eastAsia="Arial" w:hAnsi="Arial"/>
          <w:sz w:val="18"/>
          <w:szCs w:val="18"/>
          <w:color w:val="auto"/>
        </w:rPr>
        <w:t>canal dues, extra war risk insurance and commissions.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 of Global Ship Lease, Inc., and the related combined statements of income, statements of cash flows, and statements of stockholder’s equity present fairly, in all material respects, the combined financial position of Global Ship Lease, Inc. at December 31, 2008, and the results of their operations and their cash flows for the 140 day period ended December 31, 2008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accompanying combined financial statements have been prepared assuming that the Company will continue as a Going Concern. As discussed in Note 2.a to the combined financial statements, the Company is in discussion with its lenders to amend its facility agreement in respect to loan to value test that raises substantial doubt about its ability to continue as a Going Concern. Management’s plans in regard to these matters are also described in Note 2.a. The combined financial statements do not include any adjustments that might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19,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combined balance sheets to the Predecessor of Global Ship Lease, Inc., and the related combined statements of income, statements of cash flows, and statements of stockholder’s equity present fairly, in all material respects, the combined financial position to the Predecessor of Global Ship Lease, Inc. at December 31, 2007, and the results of their operations and their cash flows for each of the two years ended December 31, 2007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19,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3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26,363</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Accounts receivable</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Prepaid expenses</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192,866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24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906,896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475,299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fixed assets</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9"/>
              </w:rPr>
              <w:t>Intangible assets – purchase agreement</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24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933,608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481,759</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966,608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674,625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240" w:type="dxa"/>
            <w:vAlign w:val="bottom"/>
            <w:gridSpan w:val="2"/>
            <w:vMerge w:val="continue"/>
          </w:tcPr>
          <w:p>
            <w:pPr>
              <w:spacing w:after="0"/>
              <w:rPr>
                <w:sz w:val="24"/>
                <w:szCs w:val="24"/>
                <w:color w:val="auto"/>
              </w:rPr>
            </w:pPr>
          </w:p>
        </w:tc>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3240" w:type="dxa"/>
            <w:vAlign w:val="bottom"/>
            <w:gridSpan w:val="2"/>
          </w:tcPr>
          <w:p>
            <w:pPr>
              <w:spacing w:after="0"/>
              <w:rPr>
                <w:sz w:val="20"/>
                <w:szCs w:val="20"/>
                <w:color w:val="auto"/>
              </w:rPr>
            </w:pPr>
            <w:r>
              <w:rPr>
                <w:rFonts w:ascii="Arial" w:cs="Arial" w:eastAsia="Arial" w:hAnsi="Arial"/>
                <w:sz w:val="18"/>
                <w:szCs w:val="18"/>
                <w:color w:val="auto"/>
              </w:rPr>
              <w:t>Current installments of long term debt</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401,100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Accounts payable</w:t>
            </w:r>
          </w:p>
        </w:tc>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10,940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24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542,100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loan</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Preferred shares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36,101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5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652,549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240" w:type="dxa"/>
            <w:vAlign w:val="bottom"/>
            <w:gridSpan w:val="2"/>
            <w:vMerge w:val="continue"/>
          </w:tcPr>
          <w:p>
            <w:pPr>
              <w:spacing w:after="0"/>
              <w:rPr>
                <w:sz w:val="24"/>
                <w:szCs w:val="24"/>
                <w:color w:val="auto"/>
              </w:rPr>
            </w:pPr>
          </w:p>
        </w:tc>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671,569</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587,150</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2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40" w:type="dxa"/>
            <w:vAlign w:val="bottom"/>
            <w:gridSpan w:val="2"/>
          </w:tcPr>
          <w:p>
            <w:pPr>
              <w:jc w:val="right"/>
              <w:ind w:right="1252"/>
              <w:spacing w:after="0"/>
              <w:rPr>
                <w:sz w:val="20"/>
                <w:szCs w:val="20"/>
                <w:color w:val="auto"/>
              </w:rPr>
            </w:pPr>
            <w:r>
              <w:rPr>
                <w:rFonts w:ascii="Arial" w:cs="Arial" w:eastAsia="Arial" w:hAnsi="Arial"/>
                <w:sz w:val="18"/>
                <w:szCs w:val="18"/>
                <w:color w:val="auto"/>
                <w:w w:val="95"/>
              </w:rPr>
              <w:t>See accompanying notes to combined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40" w:type="dxa"/>
            <w:vAlign w:val="bottom"/>
            <w:gridSpan w:val="2"/>
          </w:tcPr>
          <w:p>
            <w:pPr>
              <w:jc w:val="right"/>
              <w:ind w:right="3172"/>
              <w:spacing w:after="0"/>
              <w:rPr>
                <w:sz w:val="20"/>
                <w:szCs w:val="20"/>
                <w:color w:val="auto"/>
              </w:rPr>
            </w:pPr>
            <w:r>
              <w:rPr>
                <w:rFonts w:ascii="Arial" w:cs="Arial" w:eastAsia="Arial" w:hAnsi="Arial"/>
                <w:sz w:val="18"/>
                <w:szCs w:val="18"/>
                <w:color w:val="auto"/>
              </w:rPr>
              <w:t>F-3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73"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(continued)</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79"/>
              </w:rPr>
              <w:t>Successor</w:t>
            </w:r>
          </w:p>
        </w:tc>
        <w:tc>
          <w:tcPr>
            <w:tcW w:w="22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600" w:type="dxa"/>
            <w:vAlign w:val="bottom"/>
            <w:gridSpan w:val="2"/>
          </w:tcPr>
          <w:p>
            <w:pPr>
              <w:spacing w:after="0"/>
              <w:rPr>
                <w:sz w:val="20"/>
                <w:szCs w:val="20"/>
                <w:color w:val="auto"/>
              </w:rPr>
            </w:pPr>
            <w:r>
              <w:rPr>
                <w:rFonts w:ascii="Arial" w:cs="Arial" w:eastAsia="Arial" w:hAnsi="Arial"/>
                <w:sz w:val="18"/>
                <w:szCs w:val="18"/>
                <w:color w:val="auto"/>
              </w:rPr>
              <w:t>Common stock - authorized 100 shares $.01 par value; 100 shares issued and outstanding</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7"/>
              </w:rPr>
              <w:t>Class A Common stock - authorized 214,000,000 shares with a $.01 par value; 33,968,361 shares issued and</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4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89"/>
              </w:rPr>
              <w:t>Class B Common stock - authorized 20,000,000 shares with a $.01 par value; 7,405,956 shares issued and outstanding</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4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C Common stock - authorized 15,000,000 shares with a $.01 par value; 12,375,000 shares issued and</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convertible to class A common shares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4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8600" w:type="dxa"/>
            <w:vAlign w:val="bottom"/>
            <w:gridSpan w:val="2"/>
          </w:tcPr>
          <w:p>
            <w:pPr>
              <w:spacing w:after="0"/>
              <w:rPr>
                <w:sz w:val="20"/>
                <w:szCs w:val="20"/>
                <w:color w:val="auto"/>
              </w:rPr>
            </w:pPr>
            <w:r>
              <w:rPr>
                <w:rFonts w:ascii="Arial" w:cs="Arial" w:eastAsia="Arial" w:hAnsi="Arial"/>
                <w:sz w:val="18"/>
                <w:szCs w:val="18"/>
                <w:color w:val="auto"/>
              </w:rPr>
              <w:t>Retained earnings (deficit)</w:t>
            </w:r>
          </w:p>
        </w:tc>
        <w:tc>
          <w:tcPr>
            <w:tcW w:w="260" w:type="dxa"/>
            <w:vAlign w:val="bottom"/>
          </w:tcPr>
          <w:p>
            <w:pPr>
              <w:spacing w:after="0"/>
              <w:rPr>
                <w:sz w:val="24"/>
                <w:szCs w:val="24"/>
                <w:color w:val="auto"/>
              </w:rPr>
            </w:pPr>
          </w:p>
        </w:tc>
        <w:tc>
          <w:tcPr>
            <w:tcW w:w="14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(9,338)</w:t>
            </w: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for the period</w:t>
            </w:r>
          </w:p>
        </w:tc>
        <w:tc>
          <w:tcPr>
            <w:tcW w:w="260" w:type="dxa"/>
            <w:vAlign w:val="bottom"/>
            <w:shd w:val="clear" w:color="auto" w:fill="CCEEFF"/>
          </w:tcPr>
          <w:p>
            <w:pPr>
              <w:spacing w:after="0"/>
              <w:rPr>
                <w:sz w:val="18"/>
                <w:szCs w:val="18"/>
                <w:color w:val="auto"/>
              </w:rPr>
            </w:pPr>
          </w:p>
        </w:tc>
        <w:tc>
          <w:tcPr>
            <w:tcW w:w="144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(43,970)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Due to CMA CGM</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144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347,810</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295,039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1"/>
              </w:rPr>
              <w:t>$  966,608</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674,625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jc w:val="center"/>
              <w:ind w:left="271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jc w:val="center"/>
              <w:ind w:left="2732"/>
              <w:spacing w:after="0"/>
              <w:rPr>
                <w:sz w:val="20"/>
                <w:szCs w:val="20"/>
                <w:color w:val="auto"/>
              </w:rPr>
            </w:pPr>
            <w:r>
              <w:rPr>
                <w:rFonts w:ascii="Arial" w:cs="Arial" w:eastAsia="Arial" w:hAnsi="Arial"/>
                <w:sz w:val="18"/>
                <w:szCs w:val="18"/>
                <w:color w:val="auto"/>
                <w:w w:val="88"/>
              </w:rPr>
              <w:t>F-4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August 15 to</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Borders>
              <w:right w:val="single" w:sz="8" w:color="auto"/>
            </w:tcBorders>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5"/>
                <w:szCs w:val="5"/>
                <w:color w:val="auto"/>
              </w:rPr>
            </w:pPr>
          </w:p>
        </w:tc>
        <w:tc>
          <w:tcPr>
            <w:tcW w:w="9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August 14,</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1"/>
              </w:rPr>
              <w:t>Successor</w:t>
            </w:r>
          </w:p>
        </w:tc>
        <w:tc>
          <w:tcPr>
            <w:tcW w:w="22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revenue</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2,072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332,186</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39,095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39,095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57,955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335,095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expenses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8,731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(11,908)</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304,945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251,858</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14,854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21,867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47,741</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(13,561)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9"/>
              </w:rPr>
              <w:t>Realized and unrealized (loss) gain on interest rate derivatives</w:t>
            </w:r>
          </w:p>
        </w:tc>
        <w:tc>
          <w:tcPr>
            <w:tcW w:w="214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(55,293)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(43,868)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458"/>
        </w:trPr>
        <w:tc>
          <w:tcPr>
            <w:tcW w:w="49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(43,970)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100" w:type="dxa"/>
            <w:vAlign w:val="bottom"/>
            <w:gridSpan w:val="4"/>
          </w:tcPr>
          <w:p>
            <w:pPr>
              <w:spacing w:after="0"/>
              <w:rPr>
                <w:sz w:val="3"/>
                <w:szCs w:val="3"/>
                <w:color w:val="auto"/>
              </w:rPr>
            </w:pPr>
          </w:p>
        </w:tc>
        <w:tc>
          <w:tcPr>
            <w:tcW w:w="780" w:type="dxa"/>
            <w:vAlign w:val="bottom"/>
            <w:tcBorders>
              <w:top w:val="single" w:sz="8" w:color="auto"/>
              <w:bottom w:val="single" w:sz="8" w:color="auto"/>
            </w:tcBorders>
            <w:gridSpan w:val="2"/>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320" w:type="dxa"/>
            <w:vAlign w:val="bottom"/>
            <w:gridSpan w:val="7"/>
          </w:tcPr>
          <w:p>
            <w:pPr>
              <w:jc w:val="center"/>
              <w:ind w:left="297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F-5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August 15 to</w:t>
            </w:r>
          </w:p>
        </w:tc>
        <w:tc>
          <w:tcPr>
            <w:tcW w:w="2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January 1 to</w:t>
            </w:r>
          </w:p>
        </w:tc>
        <w:tc>
          <w:tcPr>
            <w:tcW w:w="16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5"/>
                <w:szCs w:val="5"/>
                <w:color w:val="auto"/>
              </w:rPr>
            </w:pPr>
          </w:p>
        </w:tc>
        <w:tc>
          <w:tcPr>
            <w:tcW w:w="94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August 14,</w:t>
            </w:r>
          </w:p>
        </w:tc>
        <w:tc>
          <w:tcPr>
            <w:tcW w:w="16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79"/>
              </w:rPr>
              <w:t>Successor</w:t>
            </w:r>
          </w:p>
        </w:tc>
        <w:tc>
          <w:tcPr>
            <w:tcW w:w="4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 (loss) per share in $ per share basic and diluted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  74,170</w:t>
            </w: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$ 167,760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$ 327,000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86"/>
              </w:rPr>
              <w:t>33,800,307</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share amount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nil</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January 1 to</w:t>
            </w:r>
          </w:p>
        </w:tc>
        <w:tc>
          <w:tcPr>
            <w:tcW w:w="100" w:type="dxa"/>
            <w:vAlign w:val="bottom"/>
          </w:tcPr>
          <w:p>
            <w:pPr>
              <w:spacing w:after="0"/>
              <w:rPr>
                <w:sz w:val="14"/>
                <w:szCs w:val="14"/>
                <w:color w:val="auto"/>
              </w:rPr>
            </w:pPr>
          </w:p>
        </w:tc>
        <w:tc>
          <w:tcPr>
            <w:tcW w:w="178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right w:val="single" w:sz="8" w:color="auto"/>
            </w:tcBorders>
            <w:gridSpan w:val="3"/>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5"/>
                <w:szCs w:val="5"/>
                <w:color w:val="auto"/>
              </w:rPr>
            </w:pPr>
          </w:p>
        </w:tc>
        <w:tc>
          <w:tcPr>
            <w:tcW w:w="104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August 14,</w:t>
            </w:r>
          </w:p>
        </w:tc>
        <w:tc>
          <w:tcPr>
            <w:tcW w:w="100" w:type="dxa"/>
            <w:vAlign w:val="bottom"/>
          </w:tcPr>
          <w:p>
            <w:pPr>
              <w:spacing w:after="0"/>
              <w:rPr>
                <w:sz w:val="5"/>
                <w:szCs w:val="5"/>
                <w:color w:val="auto"/>
              </w:rPr>
            </w:pPr>
          </w:p>
        </w:tc>
        <w:tc>
          <w:tcPr>
            <w:tcW w:w="17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(43,970)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16,776</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Unrealized foreign exchange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financial derivative instruments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Intangible liability amortization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Decrease (increase ) in inventories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Periodic costs relating to drydocks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22,844</w:t>
            </w:r>
          </w:p>
        </w:tc>
        <w:tc>
          <w:tcPr>
            <w:tcW w:w="0" w:type="dxa"/>
            <w:vAlign w:val="bottom"/>
          </w:tcPr>
          <w:p>
            <w:pPr>
              <w:spacing w:after="0"/>
              <w:rPr>
                <w:sz w:val="1"/>
                <w:szCs w:val="1"/>
                <w:color w:val="auto"/>
              </w:rPr>
            </w:pPr>
          </w:p>
        </w:tc>
      </w:tr>
      <w:tr>
        <w:trPr>
          <w:trHeight w:val="46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Purchase of other fixed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and vessel prepayments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(272,927)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(183,713)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(113,203)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(Used) in Investing Activities</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37,340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(183,807)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(106,297)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Proceeds from debt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401,100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188,000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(188,000)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Issuance costs of debt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shareholder loans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Proceeds from warrant exercise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Buyback of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(147,053)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(Decrease)/increase in amount due to CMA CGM</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(188,713)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Dividend payments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 term debt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(146,166)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Repayments of capital lease obligations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(64,624)</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83,453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25,758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14,361</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26,363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6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280" w:type="dxa"/>
            <w:vAlign w:val="bottom"/>
            <w:gridSpan w:val="7"/>
          </w:tcPr>
          <w:p>
            <w:pPr>
              <w:jc w:val="center"/>
              <w:ind w:left="301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20" w:type="dxa"/>
            <w:vAlign w:val="bottom"/>
          </w:tcPr>
          <w:p>
            <w:pPr>
              <w:jc w:val="center"/>
              <w:ind w:left="4892"/>
              <w:spacing w:after="0"/>
              <w:rPr>
                <w:sz w:val="20"/>
                <w:szCs w:val="20"/>
                <w:color w:val="auto"/>
              </w:rPr>
            </w:pPr>
            <w:r>
              <w:rPr>
                <w:rFonts w:ascii="Arial" w:cs="Arial" w:eastAsia="Arial" w:hAnsi="Arial"/>
                <w:sz w:val="18"/>
                <w:szCs w:val="18"/>
                <w:color w:val="auto"/>
                <w:w w:val="88"/>
              </w:rPr>
              <w:t>F-7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vMerge w:val="restart"/>
          </w:tcPr>
          <w:p>
            <w:pPr>
              <w:ind w:left="7040"/>
              <w:spacing w:after="0"/>
              <w:rPr>
                <w:sz w:val="20"/>
                <w:szCs w:val="20"/>
                <w:color w:val="auto"/>
              </w:rPr>
            </w:pPr>
            <w:r>
              <w:rPr>
                <w:rFonts w:ascii="Arial" w:cs="Arial" w:eastAsia="Arial" w:hAnsi="Arial"/>
                <w:sz w:val="14"/>
                <w:szCs w:val="14"/>
                <w:b w:val="1"/>
                <w:bCs w:val="1"/>
                <w:color w:val="auto"/>
              </w:rPr>
              <w:t>Note</w:t>
            </w:r>
          </w:p>
        </w:tc>
        <w:tc>
          <w:tcPr>
            <w:tcW w:w="114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1 to</w:t>
            </w:r>
          </w:p>
        </w:tc>
        <w:tc>
          <w:tcPr>
            <w:tcW w:w="200" w:type="dxa"/>
            <w:vAlign w:val="bottom"/>
          </w:tcPr>
          <w:p>
            <w:pPr>
              <w:spacing w:after="0"/>
              <w:rPr>
                <w:sz w:val="14"/>
                <w:szCs w:val="14"/>
                <w:color w:val="auto"/>
              </w:rPr>
            </w:pPr>
          </w:p>
        </w:tc>
        <w:tc>
          <w:tcPr>
            <w:tcW w:w="16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520" w:type="dxa"/>
            <w:vAlign w:val="bottom"/>
            <w:vMerge w:val="continue"/>
          </w:tcPr>
          <w:p>
            <w:pPr>
              <w:spacing w:after="0"/>
              <w:rPr>
                <w:sz w:val="6"/>
                <w:szCs w:val="6"/>
                <w:color w:val="auto"/>
              </w:rPr>
            </w:pPr>
          </w:p>
        </w:tc>
        <w:tc>
          <w:tcPr>
            <w:tcW w:w="1140" w:type="dxa"/>
            <w:vAlign w:val="bottom"/>
            <w:tcBorders>
              <w:right w:val="single" w:sz="8" w:color="auto"/>
            </w:tcBorders>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6"/>
                <w:szCs w:val="6"/>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w w:val="92"/>
              </w:rPr>
              <w:t>August 14,</w:t>
            </w:r>
          </w:p>
        </w:tc>
        <w:tc>
          <w:tcPr>
            <w:tcW w:w="200" w:type="dxa"/>
            <w:vAlign w:val="bottom"/>
          </w:tcPr>
          <w:p>
            <w:pPr>
              <w:spacing w:after="0"/>
              <w:rPr>
                <w:sz w:val="6"/>
                <w:szCs w:val="6"/>
                <w:color w:val="auto"/>
              </w:rPr>
            </w:pPr>
          </w:p>
        </w:tc>
        <w:tc>
          <w:tcPr>
            <w:tcW w:w="16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520" w:type="dxa"/>
            <w:vAlign w:val="bottom"/>
          </w:tcPr>
          <w:p>
            <w:pPr>
              <w:spacing w:after="0"/>
              <w:rPr>
                <w:sz w:val="4"/>
                <w:szCs w:val="4"/>
                <w:color w:val="auto"/>
              </w:rPr>
            </w:pPr>
          </w:p>
        </w:tc>
        <w:tc>
          <w:tcPr>
            <w:tcW w:w="1140" w:type="dxa"/>
            <w:vAlign w:val="bottom"/>
            <w:tcBorders>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ind w:left="7040"/>
              <w:spacing w:after="0"/>
              <w:rPr>
                <w:sz w:val="20"/>
                <w:szCs w:val="20"/>
                <w:color w:val="auto"/>
              </w:rPr>
            </w:pPr>
            <w:r>
              <w:rPr>
                <w:rFonts w:ascii="Arial" w:cs="Arial" w:eastAsia="Arial" w:hAnsi="Arial"/>
                <w:sz w:val="14"/>
                <w:szCs w:val="14"/>
                <w:b w:val="1"/>
                <w:bCs w:val="1"/>
                <w:color w:val="auto"/>
              </w:rPr>
              <w:t>Note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54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Issuance of shares and preferred shares for the acquisition of 100% shares of Global Ship</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216,730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Dividend declared and not yet paid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 during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10,782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12,958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540" w:type="dxa"/>
            <w:vAlign w:val="bottom"/>
            <w:gridSpan w:val="2"/>
          </w:tcPr>
          <w:p>
            <w:pPr>
              <w:spacing w:after="0"/>
              <w:rPr>
                <w:sz w:val="20"/>
                <w:szCs w:val="20"/>
                <w:color w:val="auto"/>
              </w:rPr>
            </w:pPr>
            <w:r>
              <w:rPr>
                <w:rFonts w:ascii="Arial" w:cs="Arial" w:eastAsia="Arial" w:hAnsi="Arial"/>
                <w:sz w:val="18"/>
                <w:szCs w:val="18"/>
                <w:color w:val="auto"/>
              </w:rPr>
              <w:t>Total tonnage tax and income tax paid</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310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right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860" w:type="dxa"/>
            <w:vAlign w:val="bottom"/>
            <w:gridSpan w:val="5"/>
          </w:tcPr>
          <w:p>
            <w:pPr>
              <w:ind w:left="3640"/>
              <w:spacing w:after="0"/>
              <w:rPr>
                <w:sz w:val="20"/>
                <w:szCs w:val="20"/>
                <w:color w:val="auto"/>
              </w:rPr>
            </w:pPr>
            <w:r>
              <w:rPr>
                <w:rFonts w:ascii="Arial" w:cs="Arial" w:eastAsia="Arial" w:hAnsi="Arial"/>
                <w:sz w:val="18"/>
                <w:szCs w:val="18"/>
                <w:color w:val="auto"/>
              </w:rPr>
              <w:t>See accompanying notes to combined financial statements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20" w:type="dxa"/>
            <w:vAlign w:val="bottom"/>
          </w:tcPr>
          <w:p>
            <w:pPr>
              <w:ind w:left="5580"/>
              <w:spacing w:after="0"/>
              <w:rPr>
                <w:sz w:val="20"/>
                <w:szCs w:val="20"/>
                <w:color w:val="auto"/>
              </w:rPr>
            </w:pPr>
            <w:r>
              <w:rPr>
                <w:rFonts w:ascii="Arial" w:cs="Arial" w:eastAsia="Arial" w:hAnsi="Arial"/>
                <w:sz w:val="18"/>
                <w:szCs w:val="18"/>
                <w:color w:val="auto"/>
              </w:rPr>
              <w:t>F-8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at $0.01</w:t>
            </w: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2"/>
                <w:szCs w:val="12"/>
                <w:color w:val="auto"/>
              </w:rPr>
            </w:pP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Due to</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paid in</w:t>
            </w:r>
          </w:p>
        </w:tc>
        <w:tc>
          <w:tcPr>
            <w:tcW w:w="2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Par value</w:t>
            </w:r>
          </w:p>
        </w:tc>
        <w:tc>
          <w:tcPr>
            <w:tcW w:w="28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CMA CGM</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2005</w:t>
            </w: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9,005</w:t>
            </w: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(3,660)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$13,100</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Incorporation of Global Ship Lease,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Inc.</w:t>
            </w:r>
          </w:p>
        </w:tc>
        <w:tc>
          <w:tcPr>
            <w:tcW w:w="900" w:type="dxa"/>
            <w:vAlign w:val="bottom"/>
          </w:tcPr>
          <w:p>
            <w:pPr>
              <w:ind w:left="640"/>
              <w:spacing w:after="0"/>
              <w:rPr>
                <w:sz w:val="20"/>
                <w:szCs w:val="20"/>
                <w:color w:val="auto"/>
              </w:rPr>
            </w:pPr>
            <w:r>
              <w:rPr>
                <w:rFonts w:ascii="Arial" w:cs="Arial" w:eastAsia="Arial" w:hAnsi="Arial"/>
                <w:sz w:val="18"/>
                <w:szCs w:val="18"/>
                <w:color w:val="auto"/>
                <w:w w:val="79"/>
              </w:rPr>
              <w:t>100</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 due from CMA</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CGM</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110,005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Allocation of prior year net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income</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(9,005)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9,005</w:t>
            </w: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Arial" w:cs="Arial" w:eastAsia="Arial" w:hAnsi="Arial"/>
                <w:sz w:val="18"/>
                <w:szCs w:val="18"/>
                <w:color w:val="auto"/>
              </w:rPr>
              <w:t>Effect of derivative instruments</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(3,554)</w:t>
            </w:r>
          </w:p>
        </w:tc>
        <w:tc>
          <w:tcPr>
            <w:tcW w:w="16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Effect of currency translation</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12,423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31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2006</w:t>
            </w: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b w:val="1"/>
                <w:bCs w:val="1"/>
                <w:color w:val="auto"/>
              </w:rPr>
              <w:t>(Predecessor)</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32,677</w:t>
            </w:r>
          </w:p>
        </w:tc>
        <w:tc>
          <w:tcPr>
            <w:tcW w:w="2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115,350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21,969</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169,996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Global Ship Lease,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100</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Change in amount due from CMA</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CGM</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(11,881)</w:t>
            </w: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(32,677)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32,677</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16,776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Effect of derivative instruments</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Effect of currency translation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9,509</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effect of the transfer of the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initial ten vessels in 2007</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26,739</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(26,528)</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323"/>
        </w:trPr>
        <w:tc>
          <w:tcPr>
            <w:tcW w:w="3040" w:type="dxa"/>
            <w:vAlign w:val="bottom"/>
            <w:gridSpan w:val="2"/>
          </w:tcPr>
          <w:p>
            <w:pPr>
              <w:spacing w:after="0"/>
              <w:rPr>
                <w:sz w:val="20"/>
                <w:szCs w:val="20"/>
                <w:color w:val="auto"/>
              </w:rPr>
            </w:pPr>
            <w:r>
              <w:rPr>
                <w:rFonts w:ascii="Arial" w:cs="Arial" w:eastAsia="Arial" w:hAnsi="Arial"/>
                <w:sz w:val="18"/>
                <w:szCs w:val="18"/>
                <w:color w:val="auto"/>
              </w:rPr>
              <w:t>Deemed distribution to CMA CGM</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(96,925)</w:t>
            </w:r>
          </w:p>
        </w:tc>
        <w:tc>
          <w:tcPr>
            <w:tcW w:w="160" w:type="dxa"/>
            <w:vAlign w:val="bottom"/>
          </w:tcPr>
          <w:p>
            <w:pPr>
              <w:spacing w:after="0"/>
              <w:rPr>
                <w:sz w:val="24"/>
                <w:szCs w:val="24"/>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 2007</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100</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162,885</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4,739</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316"/>
        </w:trPr>
        <w:tc>
          <w:tcPr>
            <w:tcW w:w="3040" w:type="dxa"/>
            <w:vAlign w:val="bottom"/>
            <w:gridSpan w:val="2"/>
          </w:tcPr>
          <w:p>
            <w:pPr>
              <w:spacing w:after="0"/>
              <w:rPr>
                <w:sz w:val="20"/>
                <w:szCs w:val="20"/>
                <w:color w:val="auto"/>
              </w:rPr>
            </w:pPr>
            <w:r>
              <w:rPr>
                <w:rFonts w:ascii="Arial" w:cs="Arial" w:eastAsia="Arial" w:hAnsi="Arial"/>
                <w:sz w:val="18"/>
                <w:szCs w:val="18"/>
                <w:color w:val="auto"/>
              </w:rPr>
              <w:t>Change in amount due from CMA</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CGM</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(188,716)</w:t>
            </w: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(188,716)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prior year net income</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(16,776)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w w:val="99"/>
              </w:rPr>
              <w:t>Other effect of the transfer of the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two vessels in 2008</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w w:val="79"/>
              </w:rPr>
              <w:t>651</w:t>
            </w:r>
          </w:p>
        </w:tc>
        <w:tc>
          <w:tcPr>
            <w:tcW w:w="22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4,088</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(4,739)</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322"/>
        </w:trPr>
        <w:tc>
          <w:tcPr>
            <w:tcW w:w="304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Balance at August 14, 2008</w:t>
            </w: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b w:val="1"/>
                <w:bCs w:val="1"/>
                <w:color w:val="auto"/>
              </w:rPr>
              <w:t>(Predecessor)</w:t>
            </w:r>
          </w:p>
        </w:tc>
        <w:tc>
          <w:tcPr>
            <w:tcW w:w="900" w:type="dxa"/>
            <w:vAlign w:val="bottom"/>
          </w:tcPr>
          <w:p>
            <w:pPr>
              <w:ind w:left="640"/>
              <w:spacing w:after="0"/>
              <w:rPr>
                <w:sz w:val="20"/>
                <w:szCs w:val="20"/>
                <w:color w:val="auto"/>
              </w:rPr>
            </w:pPr>
            <w:r>
              <w:rPr>
                <w:rFonts w:ascii="Arial" w:cs="Arial" w:eastAsia="Arial" w:hAnsi="Arial"/>
                <w:sz w:val="18"/>
                <w:szCs w:val="18"/>
                <w:color w:val="auto"/>
                <w:w w:val="79"/>
              </w:rPr>
              <w:t>100</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(94,329)</w:t>
            </w:r>
          </w:p>
        </w:tc>
        <w:tc>
          <w:tcPr>
            <w:tcW w:w="16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2008 include two distinct reporting periods (i) January 1, 2006 through August 14, 2008 (“Predecessor”) and (ii) August 15, 2008 through December 31, 2008 (“Successor”), which relate to the period preceding the merger referred to in note 1 and the period succeeding the merger, respectively. Further, the Company derived virtually all of its revenue in 2008 from chartering out its vessels under long-term fixed rate time charters whereas in 2007 and 2006,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at $0.01</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Due to</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paid in</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 value</w:t>
            </w:r>
          </w:p>
        </w:tc>
        <w:tc>
          <w:tcPr>
            <w:tcW w:w="260" w:type="dxa"/>
            <w:vAlign w:val="bottom"/>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(Deficit)</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CMA CGM</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14, 2008 (Predecessor)</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(94,329)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322"/>
        </w:trPr>
        <w:tc>
          <w:tcPr>
            <w:tcW w:w="3620" w:type="dxa"/>
            <w:vAlign w:val="bottom"/>
            <w:gridSpan w:val="2"/>
          </w:tcPr>
          <w:p>
            <w:pPr>
              <w:spacing w:after="0"/>
              <w:rPr>
                <w:sz w:val="20"/>
                <w:szCs w:val="20"/>
                <w:color w:val="auto"/>
              </w:rPr>
            </w:pPr>
            <w:r>
              <w:rPr>
                <w:rFonts w:ascii="Arial" w:cs="Arial" w:eastAsia="Arial" w:hAnsi="Arial"/>
                <w:sz w:val="18"/>
                <w:szCs w:val="18"/>
                <w:color w:val="auto"/>
              </w:rPr>
              <w:t>Elimination of historical stockholders’ equity</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94,329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0"/>
              </w:rPr>
              <w:t>Recognition of GSL Holdings stockholders’ equity</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pre-merger</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26,685,209</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175,375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181,927</w:t>
            </w:r>
          </w:p>
        </w:tc>
        <w:tc>
          <w:tcPr>
            <w:tcW w:w="0" w:type="dxa"/>
            <w:vAlign w:val="bottom"/>
          </w:tcPr>
          <w:p>
            <w:pPr>
              <w:spacing w:after="0"/>
              <w:rPr>
                <w:sz w:val="1"/>
                <w:szCs w:val="1"/>
                <w:color w:val="auto"/>
              </w:rPr>
            </w:pPr>
          </w:p>
        </w:tc>
      </w:tr>
      <w:tr>
        <w:trPr>
          <w:trHeight w:val="316"/>
        </w:trPr>
        <w:tc>
          <w:tcPr>
            <w:tcW w:w="5180" w:type="dxa"/>
            <w:vAlign w:val="bottom"/>
            <w:gridSpan w:val="5"/>
          </w:tcPr>
          <w:p>
            <w:pPr>
              <w:spacing w:after="0"/>
              <w:rPr>
                <w:sz w:val="20"/>
                <w:szCs w:val="20"/>
                <w:color w:val="auto"/>
              </w:rPr>
            </w:pPr>
            <w:r>
              <w:rPr>
                <w:rFonts w:ascii="Arial" w:cs="Arial" w:eastAsia="Arial" w:hAnsi="Arial"/>
                <w:sz w:val="18"/>
                <w:szCs w:val="18"/>
                <w:color w:val="auto"/>
              </w:rPr>
              <w:t>Issuance of shares and warrants in connection with the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merger (note 3)</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6,778,650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51,672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Class B</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7,405,956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26,043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12,375,000</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89,348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20"/>
              <w:spacing w:after="0"/>
              <w:rPr>
                <w:sz w:val="20"/>
                <w:szCs w:val="20"/>
                <w:color w:val="auto"/>
              </w:rPr>
            </w:pPr>
            <w:r>
              <w:rPr>
                <w:rFonts w:ascii="Arial" w:cs="Arial" w:eastAsia="Arial" w:hAnsi="Arial"/>
                <w:sz w:val="18"/>
                <w:szCs w:val="18"/>
                <w:color w:val="auto"/>
              </w:rPr>
              <w:t>Warrants</w:t>
            </w:r>
          </w:p>
        </w:tc>
        <w:tc>
          <w:tcPr>
            <w:tcW w:w="4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1,184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1"/>
              </w:rPr>
              <w:t>Warrants exercised into Class A shares (note 16)</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504,502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Restricted Stock Units (note 18)</w:t>
            </w:r>
          </w:p>
        </w:tc>
        <w:tc>
          <w:tcPr>
            <w:tcW w:w="4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1,167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(note 16)</w:t>
            </w:r>
          </w:p>
        </w:tc>
        <w:tc>
          <w:tcPr>
            <w:tcW w:w="4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(15,624)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at December 31, 2008 (Successor)</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53,749,317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537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(43,970)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347,810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295,039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80" w:type="dxa"/>
            <w:vAlign w:val="bottom"/>
            <w:gridSpan w:val="10"/>
          </w:tcPr>
          <w:p>
            <w:pPr>
              <w:jc w:val="right"/>
              <w:ind w:right="40"/>
              <w:spacing w:after="0"/>
              <w:rPr>
                <w:sz w:val="20"/>
                <w:szCs w:val="20"/>
                <w:color w:val="auto"/>
              </w:rPr>
            </w:pPr>
            <w:r>
              <w:rPr>
                <w:rFonts w:ascii="Arial" w:cs="Arial" w:eastAsia="Arial" w:hAnsi="Arial"/>
                <w:sz w:val="18"/>
                <w:szCs w:val="18"/>
                <w:color w:val="auto"/>
                <w:w w:val="87"/>
              </w:rPr>
              <w:t>See accompanying notes to combined financial statements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3"/>
          </w:tcPr>
          <w:p>
            <w:pPr>
              <w:ind w:left="360"/>
              <w:spacing w:after="0"/>
              <w:rPr>
                <w:sz w:val="20"/>
                <w:szCs w:val="20"/>
                <w:color w:val="auto"/>
              </w:rPr>
            </w:pPr>
            <w:r>
              <w:rPr>
                <w:rFonts w:ascii="Arial" w:cs="Arial" w:eastAsia="Arial" w:hAnsi="Arial"/>
                <w:sz w:val="18"/>
                <w:szCs w:val="18"/>
                <w:color w:val="auto"/>
              </w:rPr>
              <w:t>F-10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pursuant to an agreement and plan of merger dated March 21, 2008 as amended, which we refer to as the merger agreement. Following the merger, the Company became listed on the New York Stock Exchange on August 15, 2008.</w:t>
      </w:r>
    </w:p>
    <w:p>
      <w:pPr>
        <w:spacing w:after="0" w:line="25" w:lineRule="exact"/>
        <w:rPr>
          <w:rFonts w:ascii="Arial" w:cs="Arial" w:eastAsia="Arial" w:hAnsi="Arial"/>
          <w:sz w:val="18"/>
          <w:szCs w:val="18"/>
          <w:color w:val="auto"/>
        </w:rPr>
      </w:pPr>
    </w:p>
    <w:p>
      <w:pPr>
        <w:ind w:left="460" w:right="340"/>
        <w:spacing w:after="0" w:line="256" w:lineRule="auto"/>
        <w:rPr>
          <w:rFonts w:ascii="Arial" w:cs="Arial" w:eastAsia="Arial" w:hAnsi="Arial"/>
          <w:sz w:val="18"/>
          <w:szCs w:val="18"/>
          <w:color w:val="auto"/>
        </w:rPr>
      </w:pPr>
      <w:r>
        <w:rPr>
          <w:rFonts w:ascii="Arial" w:cs="Arial" w:eastAsia="Arial" w:hAnsi="Arial"/>
          <w:sz w:val="18"/>
          <w:szCs w:val="18"/>
          <w:color w:val="auto"/>
        </w:rPr>
        <w:t>Under the merger agreement, Marathon, a U.S. corporation, first merged with its 100% owned Marshall Islands subsidiary, GSL Holdings, Inc. (“Holdings”), with Holdings continuing as the surviving company. Global Ship Lease, Inc., at that time a subsidiary of CMA CGM, then merged with Holdings, with Holdings again being the surviving company. Holdings was renamed Global Ship Lease, Inc. and became listed on the New York Stock Exchange on August 15, 2008.</w:t>
      </w:r>
    </w:p>
    <w:p>
      <w:pPr>
        <w:spacing w:after="0" w:line="62"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In accordance with SFAS No. 141, “Business Combinations” (“FAS 141”), Marathon (through its subsidiary Holdings) has been treated as the accounting acquirer and Global Ship Lease, Inc. was treated as the acquiree. Under the purchase method of accounting, the identifiable assets and assumed liabilities of Global Ship Lease, Inc. were recorded at their estimated fair values as of the acquisition date. The excess of the fair value of the net acquired assets over the purchase price has been recorded as a pro rata reduction of identified intangible assets, vessels in operation and other fixed assets. Because the activities of Marathon were insignificant prior to the acquisition, Global Ship Lease, Inc. (the acquiree), was determined to be the Predecessor for the purpose of reporting historical financial information.</w:t>
      </w:r>
    </w:p>
    <w:p>
      <w:pPr>
        <w:spacing w:after="0" w:line="39" w:lineRule="exact"/>
        <w:rPr>
          <w:rFonts w:ascii="Arial" w:cs="Arial" w:eastAsia="Arial" w:hAnsi="Arial"/>
          <w:sz w:val="18"/>
          <w:szCs w:val="18"/>
          <w:color w:val="auto"/>
        </w:rPr>
      </w:pPr>
    </w:p>
    <w:p>
      <w:pPr>
        <w:ind w:left="460" w:right="40"/>
        <w:spacing w:after="0" w:line="318" w:lineRule="auto"/>
        <w:rPr>
          <w:rFonts w:ascii="Arial" w:cs="Arial" w:eastAsia="Arial" w:hAnsi="Arial"/>
          <w:sz w:val="18"/>
          <w:szCs w:val="18"/>
          <w:color w:val="auto"/>
        </w:rPr>
      </w:pPr>
      <w:r>
        <w:rPr>
          <w:rFonts w:ascii="Arial" w:cs="Arial" w:eastAsia="Arial" w:hAnsi="Arial"/>
          <w:sz w:val="15"/>
          <w:szCs w:val="15"/>
          <w:color w:val="auto"/>
        </w:rPr>
        <w:t>The financial statements are for the periods August 15, 2008 to December 31, 2008 (period titled “Successor” reflecting results of the combined operations following the merger), January 1, 2008 to August 14, 2008 (period labeled “Predecessor”, reflecting the results of operations as historically reported of Global Ship Lease, Inc. prior to the merger), and the years ended December 31, 2007 and 2006 (also labeled “Predecessor”). Under Predecessor accounting rules, the financial statements include the results of the vessels when they were owned and operated by CMA CGM (rather than Global Ship Lease, Inc.) in its business of carrying containerized cargo prior to their sale to the Company, referred to hereafter as the period of ownership by CMA CGM.</w:t>
      </w:r>
    </w:p>
    <w:p>
      <w:pPr>
        <w:spacing w:after="0" w:line="18" w:lineRule="exact"/>
        <w:rPr>
          <w:rFonts w:ascii="Arial" w:cs="Arial" w:eastAsia="Arial" w:hAnsi="Arial"/>
          <w:sz w:val="18"/>
          <w:szCs w:val="18"/>
          <w:color w:val="auto"/>
        </w:rPr>
      </w:pPr>
    </w:p>
    <w:p>
      <w:pPr>
        <w:ind w:left="460" w:right="200"/>
        <w:spacing w:after="0" w:line="306" w:lineRule="auto"/>
        <w:rPr>
          <w:rFonts w:ascii="Arial" w:cs="Arial" w:eastAsia="Arial" w:hAnsi="Arial"/>
          <w:sz w:val="18"/>
          <w:szCs w:val="18"/>
          <w:color w:val="auto"/>
        </w:rPr>
      </w:pPr>
      <w:r>
        <w:rPr>
          <w:rFonts w:ascii="Arial" w:cs="Arial" w:eastAsia="Arial" w:hAnsi="Arial"/>
          <w:sz w:val="16"/>
          <w:szCs w:val="16"/>
          <w:color w:val="auto"/>
        </w:rPr>
        <w:t>As the merger was consummated on August 14, 2008, the balance sheet as of December 31, 2008 (labeled “Successor”) reflects the acquisition under the purchase method of accounting of all the identified assets and assumed liabilities of Global Ship Lease, Inc. The balance sheet as of December 31, 2007 (labeled “Predecessor”) reflects the historical balance sheet of Global Ship Lease, Inc. as previously reported.</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term “Company” refers to both Successor and Predecessor periods.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Basis of Preparation and Nature of Operations</w:t>
      </w:r>
    </w:p>
    <w:p>
      <w:pPr>
        <w:spacing w:after="0" w:line="9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90"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In accordance with the terms of the waiver the Company agreed on April 29, 2009 with the lenders under its $800 million credit facility agreement (see Note 21), there will be no loan to value test performed during the period April 30, 2009 to June 30, 2009. Loan to value tests would otherwise have been required as at April 30, 2009. The Company is in active discussions with its lenders to amend the facility agreement in respect to loan to value in the light of recent significant falls in charter free market values of containerships. If the Company does not successfully amend the facility agreement by June 30, 2009 or agree a further waiver of the need to perform loan to value tests, and its loan to value ratio is above 100%, the lenders may declare an event of default and accelerate some or all of the debt or require the Company to provide additional security which would raise substantial doubt about our ability to continue as a going concern. Management expects that agreement will be reached and that, in any event, the lenders will not call the debt due to the Company’s stable business model, which is unchanged since the credit facility was agreed and the Company commenced operations and which generates largely predictable cash flows supported by long-term charter and other contracts. Further, the Company was compliant with all of its financial covenants at December 31, 2008 and at the date of issuance of these financial statements. As a result of management’s plan to address the situation, the relevant debt is classified as non-current in the combined balance sheet. The combined financial statements have been prepared assuming that the Company will continue as a going concern. Accordingly, the combined financial statements do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80"/>
        <w:spacing w:after="0" w:line="268" w:lineRule="auto"/>
        <w:rPr>
          <w:sz w:val="20"/>
          <w:szCs w:val="20"/>
          <w:color w:val="auto"/>
        </w:rPr>
      </w:pPr>
      <w:r>
        <w:rPr>
          <w:rFonts w:ascii="Arial" w:cs="Arial" w:eastAsia="Arial" w:hAnsi="Arial"/>
          <w:sz w:val="18"/>
          <w:szCs w:val="18"/>
          <w:color w:val="auto"/>
        </w:rPr>
        <w:t>not include any adjustments relating to the recoverability and classification of recorded asset amounts and classification of liabilities, or any other adjustments that might result should the Company be unable to continue as a going concern.</w:t>
      </w:r>
    </w:p>
    <w:p>
      <w:pPr>
        <w:spacing w:after="0" w:line="17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Nature of Operation</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subject to certain conditions, to acquire 17 containerships from CMA CGM. Of these, 10 were purchased by the Company during December 2007, two in January 2008 and four in December 2008. The remaining vessel is scheduled to be purchased in July 2009. All vessels are, or will be, time chartered to CMA CGM for remaining terms ranging from four to seventeen years. The Company has also entered into an agreement with German interests to acquire in the fourth quarter of 2010 two newbuildings for approximately $77 million per vessel. These vessels will be chartered to ZIM Integrated Shipping Services Limited (“ZISS”) for a period of seven years that could be extended to eight years at ZISS’s option.</w:t>
      </w:r>
    </w:p>
    <w:p>
      <w:pPr>
        <w:spacing w:after="0" w:line="39"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During the period covered by these combined financial statements, the Company operated under two business models. During the period up to the delivery of the 10 vessels in December 2007 and two ships in January 2008 (i.e. all of the year ended December 31, 2006, virtually all of the year ended December 31, 2007 and, for two ships of the fleet, for a few days of January 2008 included in the year ended December 31, 2008) operations involved earning freight revenues from containerized transportation of goods for shippers whilst the vessels were owned by CMA CGM. Following the purchase by the Company of 10 vessels in December 2007 and the further two vessels in January 2008, the activities changed and consisted solely of ownership and provision of vessels to container shipping companies under time charters.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Fleet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 provides information about the 16 vessels in the fleet chartered to CMA CGM and reflected in these combined financial statements: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6"/>
              </w:rPr>
              <w:t>Purchase Date</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9"/>
              </w:rPr>
              <w:t>Capacity</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Charter Remaining</w:t>
            </w:r>
          </w:p>
        </w:tc>
        <w:tc>
          <w:tcPr>
            <w:tcW w:w="52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16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3"/>
              </w:rPr>
              <w:t xml:space="preserve">in TEUs </w:t>
            </w:r>
            <w:r>
              <w:rPr>
                <w:rFonts w:ascii="Arial" w:cs="Arial" w:eastAsia="Arial" w:hAnsi="Arial"/>
                <w:sz w:val="20"/>
                <w:szCs w:val="20"/>
                <w:b w:val="1"/>
                <w:bCs w:val="1"/>
                <w:color w:val="auto"/>
                <w:w w:val="93"/>
                <w:vertAlign w:val="superscript"/>
              </w:rPr>
              <w:t>(1)</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Year Built</w:t>
            </w:r>
          </w:p>
        </w:tc>
        <w:tc>
          <w:tcPr>
            <w:tcW w:w="1760" w:type="dxa"/>
            <w:vAlign w:val="bottom"/>
            <w:gridSpan w:val="2"/>
          </w:tcPr>
          <w:p>
            <w:pPr>
              <w:jc w:val="center"/>
              <w:ind w:right="520"/>
              <w:spacing w:after="0" w:line="176" w:lineRule="exact"/>
              <w:rPr>
                <w:sz w:val="20"/>
                <w:szCs w:val="20"/>
                <w:color w:val="auto"/>
              </w:rPr>
            </w:pPr>
            <w:r>
              <w:rPr>
                <w:rFonts w:ascii="Arial" w:cs="Arial" w:eastAsia="Arial" w:hAnsi="Arial"/>
                <w:sz w:val="13"/>
                <w:szCs w:val="13"/>
                <w:b w:val="1"/>
                <w:bCs w:val="1"/>
                <w:color w:val="auto"/>
                <w:w w:val="91"/>
              </w:rPr>
              <w:t xml:space="preserve">by GSL </w:t>
            </w:r>
            <w:r>
              <w:rPr>
                <w:rFonts w:ascii="Arial" w:cs="Arial" w:eastAsia="Arial" w:hAnsi="Arial"/>
                <w:sz w:val="20"/>
                <w:szCs w:val="20"/>
                <w:b w:val="1"/>
                <w:bCs w:val="1"/>
                <w:color w:val="auto"/>
                <w:w w:val="91"/>
                <w:vertAlign w:val="superscript"/>
              </w:rPr>
              <w:t>(2)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Duration (years)</w:t>
            </w:r>
          </w:p>
        </w:tc>
        <w:tc>
          <w:tcPr>
            <w:tcW w:w="5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4,113</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1997</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4,113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1996</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2,262</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1999</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2,262</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1999</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2003</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2002</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2,207</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2002</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2002</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2,272</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2001</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2,272</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2001</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2007</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January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12</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5,100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2007</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rPr>
              <w:t>January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10,960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2008</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17</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4,298</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2006</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14</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4,045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2006</w:t>
            </w:r>
          </w:p>
        </w:tc>
        <w:tc>
          <w:tcPr>
            <w:tcW w:w="1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December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14</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4,045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2006</w:t>
            </w:r>
          </w:p>
        </w:tc>
        <w:tc>
          <w:tcPr>
            <w:tcW w:w="17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December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14</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90170</wp:posOffset>
            </wp:positionV>
            <wp:extent cx="5143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89"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right="220" w:hanging="446"/>
        <w:spacing w:after="0" w:line="261" w:lineRule="auto"/>
        <w:tabs>
          <w:tab w:leader="none" w:pos="9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The shows purchase dates of vessels related to the Company’s time charter business, which occurred during both the predecessor and successor period</w:t>
      </w:r>
    </w:p>
    <w:p>
      <w:pPr>
        <w:spacing w:after="0" w:line="5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table provides information about the contracted fleet not reflected in these combined financial statements, other than deposits paid on Hull 789 and Hull 790: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Estimated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3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Capacity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Delivery Date</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Duration</w:t>
            </w:r>
          </w:p>
        </w:tc>
        <w:tc>
          <w:tcPr>
            <w:tcW w:w="320" w:type="dxa"/>
            <w:vAlign w:val="bottom"/>
          </w:tcPr>
          <w:p>
            <w:pPr>
              <w:spacing w:after="0"/>
              <w:rPr>
                <w:sz w:val="12"/>
                <w:szCs w:val="12"/>
                <w:color w:val="auto"/>
              </w:rPr>
            </w:pPr>
          </w:p>
        </w:tc>
        <w:tc>
          <w:tcPr>
            <w:tcW w:w="6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Vessel Name</w:t>
            </w:r>
          </w:p>
        </w:tc>
        <w:tc>
          <w:tcPr>
            <w:tcW w:w="960" w:type="dxa"/>
            <w:vAlign w:val="bottom"/>
            <w:gridSpan w:val="2"/>
          </w:tcPr>
          <w:p>
            <w:pPr>
              <w:jc w:val="right"/>
              <w:ind w:right="32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 Built</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 GSL</w:t>
            </w: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Charterer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b w:val="1"/>
                <w:bCs w:val="1"/>
                <w:color w:val="auto"/>
              </w:rPr>
              <w:t>(2)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July 2009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CMA CGM</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$34,000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b w:val="1"/>
                <w:bCs w:val="1"/>
                <w:color w:val="auto"/>
              </w:rPr>
              <w:t>(3)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2010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October 2010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ZISS</w:t>
            </w: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 xml:space="preserve">7-8 </w:t>
            </w:r>
            <w:r>
              <w:rPr>
                <w:rFonts w:ascii="Arial" w:cs="Arial" w:eastAsia="Arial" w:hAnsi="Arial"/>
                <w:sz w:val="11"/>
                <w:szCs w:val="11"/>
                <w:color w:val="auto"/>
                <w:w w:val="94"/>
              </w:rPr>
              <w:t>(4)</w:t>
            </w:r>
          </w:p>
        </w:tc>
        <w:tc>
          <w:tcPr>
            <w:tcW w:w="9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b w:val="1"/>
                <w:bCs w:val="1"/>
                <w:color w:val="auto"/>
              </w:rPr>
              <w:t>(3)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December 2010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ZISS</w:t>
            </w:r>
          </w:p>
        </w:tc>
        <w:tc>
          <w:tcPr>
            <w:tcW w:w="52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7-8</w:t>
            </w:r>
            <w:r>
              <w:rPr>
                <w:rFonts w:ascii="Arial" w:cs="Arial" w:eastAsia="Arial" w:hAnsi="Arial"/>
                <w:sz w:val="10"/>
                <w:szCs w:val="10"/>
                <w:color w:val="auto"/>
              </w:rPr>
              <w:t xml:space="preserve"> (4)</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CMA CGM (note 13)</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13)</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Accounting for the Merger</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On August 14, 2008, pursuant to the terms of the merger agreement, Holdings acquired all of Global Ship Lease, Inc.’s outstanding capital stock for</w:t>
      </w:r>
    </w:p>
    <w:p>
      <w:pPr>
        <w:spacing w:after="0" w:line="38" w:lineRule="exact"/>
        <w:rPr>
          <w:rFonts w:ascii="Arial" w:cs="Arial" w:eastAsia="Arial" w:hAnsi="Arial"/>
          <w:sz w:val="18"/>
          <w:szCs w:val="18"/>
          <w:color w:val="auto"/>
        </w:rPr>
      </w:pPr>
    </w:p>
    <w:p>
      <w:pPr>
        <w:ind w:left="460" w:right="240"/>
        <w:spacing w:after="0" w:line="302" w:lineRule="auto"/>
        <w:rPr>
          <w:rFonts w:ascii="Arial" w:cs="Arial" w:eastAsia="Arial" w:hAnsi="Arial"/>
          <w:sz w:val="18"/>
          <w:szCs w:val="18"/>
          <w:color w:val="auto"/>
        </w:rPr>
      </w:pPr>
      <w:r>
        <w:rPr>
          <w:rFonts w:ascii="Arial" w:cs="Arial" w:eastAsia="Arial" w:hAnsi="Arial"/>
          <w:sz w:val="16"/>
          <w:szCs w:val="16"/>
          <w:color w:val="auto"/>
        </w:rPr>
        <w:t>$235,300 excluding transaction expenses, funded by the issue to CMA CGM of 6,778,650 Class A common shares, 3,934,050 Class B common shares, 12,375,000 Class C common shares, warrants to acquire 3,131,900 Class A common shares with an exercise price of $9.25 and 1,000 Series A preferred shares with a total nominal value of $48,000 and $18,570 in cash. The rights of the different classes of shares are set out in note 16.</w:t>
      </w:r>
    </w:p>
    <w:p>
      <w:pPr>
        <w:spacing w:after="0" w:line="28"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The Company accounted for the business combination under the purchase method as prescribed by FAS 141. Under the purchase method, the identifiable assets acquired and liabilities assumed were recorded at their fair values as of the acquisition date. Any excess of the fair value of the net acquired assets over the purchase price was recorded as a pro rata reduction of identified intangible assets, vessels in operation and other fixed assets.</w:t>
      </w:r>
    </w:p>
    <w:p>
      <w:pPr>
        <w:spacing w:after="0" w:line="10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calculation of allocable purchase price: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Per</w:t>
            </w: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Instruments</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Instrument</w:t>
            </w: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6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Cash payment </w:t>
            </w:r>
            <w:r>
              <w:rPr>
                <w:rFonts w:ascii="Arial" w:cs="Arial" w:eastAsia="Arial" w:hAnsi="Arial"/>
                <w:sz w:val="11"/>
                <w:szCs w:val="11"/>
                <w:color w:val="auto"/>
              </w:rPr>
              <w:t>(1)</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Class A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6,778,650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Class B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3,934,050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Class C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Warrants to acquire Class A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3,131,900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Mandatory redeemable preferred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235,300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Transaction related expenses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249,856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bl>
    <w:p>
      <w:pPr>
        <w:spacing w:after="0" w:line="154"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An amount of $8,056 cash was paid in the successor period</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5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The Class A common shares have been valued at the $7.67 per share average closing price of the common stock (using the average closing price of the five business days on and surrounding the date of the announcement of definitive terms of the Merger i.e. July 24, 2008). The rights of holders of Class B common shares are identical to those of holders of Class A common shares, except that the holders of Class B common shares were not entitled to receive any dividends with respect to any quarter prior to those paid with respect to the fourth quarter of 2008 and their dividend rights will be subordinated to those of holders of Class A common shares until at least the third quarter of 2011. The rights of holders of Class C common shares were identical to those of holders of Class A common shares, except that holders of Class C common shares were not entitled to receive any dividends. The Class C common shares converted into Class A common shares on a one-for-one basis on January 1, 2009. Management estimated the per share value of the Class C common shares at the merger by discounting the share price of $7.67 by the present value of the first two $0.23 dividends foregone in 2008. Management calculated the discount rate of 10.75% by using the average of (a) a 12.6% cost of equity using the dividend growth model (assumes a comparable dividend of 8.6% and long-term dividend growth of 4.0%) and (b) an 8.9% cost of equity using the beta method (4.38% U.S. Risk Free Rate (30-year U.S. Treasury) plus a 5.0% adjusted equity market risk premium). Using this rate, the discount for the present value of the waived dividends is $0.44. This results in an implied share price of $7.23. Management estimated the per share value of the Class B common shares using the same method for the forgone dividends as used for Class C common shares. Management also applied an additional discount for subordinated dividend risk and impaired liquidity. Management estimated this additional discount of 7.8% (or $0.60 per share) by examining trading performance of subordinated share class for precedent transactions. This results in an implied share price of $6.63.</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right="380"/>
        <w:spacing w:after="0" w:line="259" w:lineRule="auto"/>
        <w:rPr>
          <w:rFonts w:ascii="Arial" w:cs="Arial" w:eastAsia="Arial" w:hAnsi="Arial"/>
          <w:sz w:val="18"/>
          <w:szCs w:val="18"/>
          <w:color w:val="auto"/>
        </w:rPr>
      </w:pPr>
      <w:r>
        <w:rPr>
          <w:rFonts w:ascii="Arial" w:cs="Arial" w:eastAsia="Arial" w:hAnsi="Arial"/>
          <w:sz w:val="18"/>
          <w:szCs w:val="18"/>
          <w:color w:val="auto"/>
        </w:rPr>
        <w:t>Warrants issued to CMA CGM as part of the purchase price were valued using the Black-Scholes option pricing model, with an average share price of $7.67 (as described above), expected volatility at 30.0%, a risk free rate of 3.87%, an expected dividend yield of 11.99% over the duration of the instrument, and an expected duration of five years.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fair value of identifiable assets acquired and liabilities assumed at the merger date:</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20" w:type="dxa"/>
            <w:vAlign w:val="bottom"/>
            <w:gridSpan w:val="4"/>
          </w:tcPr>
          <w:p>
            <w:pPr>
              <w:ind w:left="1780"/>
              <w:spacing w:after="0"/>
              <w:rPr>
                <w:sz w:val="20"/>
                <w:szCs w:val="20"/>
                <w:color w:val="auto"/>
              </w:rPr>
            </w:pPr>
            <w:r>
              <w:rPr>
                <w:rFonts w:ascii="Arial" w:cs="Arial" w:eastAsia="Arial" w:hAnsi="Arial"/>
                <w:sz w:val="14"/>
                <w:szCs w:val="14"/>
                <w:b w:val="1"/>
                <w:bCs w:val="1"/>
                <w:color w:val="auto"/>
              </w:rPr>
              <w:t>Fair Value of</w:t>
            </w:r>
          </w:p>
        </w:tc>
        <w:tc>
          <w:tcPr>
            <w:tcW w:w="1480" w:type="dxa"/>
            <w:vAlign w:val="bottom"/>
            <w:gridSpan w:val="4"/>
          </w:tcPr>
          <w:p>
            <w:pPr>
              <w:ind w:left="3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Net Assets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Negative</w:t>
            </w:r>
          </w:p>
        </w:tc>
        <w:tc>
          <w:tcPr>
            <w:tcW w:w="130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w w:val="94"/>
              </w:rPr>
              <w:t>Purchase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acquired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Goodwill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Allocation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Vessels in operation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635,000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(110,921)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Vessel deposit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fixed assets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(401,100)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liabilities – charter agreements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Negative goodwill to be allocated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(119,969)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119,969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249,856</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fair value of the identifiable acquired assets and liabilities has been reduced by $119,969 which equals the estimated excess of the fair value of the net acquired assets over the purchase price. Three asset classes were reduced pro rate: (i) identified intangible assets of $51,750 to $42,707, (ii) other fixed assets from $26 to $21 and (iii) vessels in operation from $635,000 to $524,079.</w:t>
      </w:r>
    </w:p>
    <w:p>
      <w:pPr>
        <w:spacing w:after="0" w:line="59" w:lineRule="exact"/>
        <w:rPr>
          <w:sz w:val="20"/>
          <w:szCs w:val="20"/>
          <w:color w:val="auto"/>
        </w:rPr>
      </w:pPr>
    </w:p>
    <w:p>
      <w:pPr>
        <w:jc w:val="both"/>
        <w:ind w:left="460" w:right="20"/>
        <w:spacing w:after="0" w:line="303" w:lineRule="auto"/>
        <w:rPr>
          <w:sz w:val="20"/>
          <w:szCs w:val="20"/>
          <w:color w:val="auto"/>
        </w:rPr>
      </w:pPr>
      <w:r>
        <w:rPr>
          <w:rFonts w:ascii="Arial" w:cs="Arial" w:eastAsia="Arial" w:hAnsi="Arial"/>
          <w:sz w:val="15"/>
          <w:szCs w:val="15"/>
          <w:color w:val="auto"/>
        </w:rPr>
        <w:t>Derivative instruments were solely comprised of interest rate financial instruments that were recognized at their mark-to-market value. Vessels in operation were written up to their estimated fair market value at the merger date. The intangible asset recognized in connection with the CMA CGM contracted fleet purchase agreement was valued by comparing the acquisition prices as per the agreement and the vessels estimated fair market values at the merger date.</w:t>
      </w:r>
    </w:p>
    <w:p>
      <w:pPr>
        <w:spacing w:after="0" w:line="1" w:lineRule="exact"/>
        <w:rPr>
          <w:sz w:val="20"/>
          <w:szCs w:val="20"/>
          <w:color w:val="auto"/>
        </w:rPr>
      </w:pPr>
    </w:p>
    <w:p>
      <w:pPr>
        <w:ind w:left="460" w:right="480"/>
        <w:spacing w:after="0" w:line="261" w:lineRule="auto"/>
        <w:rPr>
          <w:sz w:val="20"/>
          <w:szCs w:val="20"/>
          <w:color w:val="auto"/>
        </w:rPr>
      </w:pPr>
      <w:r>
        <w:rPr>
          <w:rFonts w:ascii="Arial" w:cs="Arial" w:eastAsia="Arial" w:hAnsi="Arial"/>
          <w:sz w:val="18"/>
          <w:szCs w:val="18"/>
          <w:color w:val="auto"/>
        </w:rPr>
        <w:t>The intangible liability recognized in connection with charter agreements was valued using the market approach where the Company’s actual charter agreements were compared to market rates at the merger date and discounted at a 8.0% interest rate.</w:t>
      </w:r>
    </w:p>
    <w:p>
      <w:pPr>
        <w:spacing w:after="0" w:line="5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In connection with the merger, $317,446 previously held in trust by Marathon was released. These funds were used to repay $115,000 of the assumed credit facility, to purchase $147,053 of shares from shareholders under the merger agreement and a share repurchase program, to pay $18,500 of costs associated with the merger and to pay $18,570 to CMA CGM due under the merger agreement. The balance was held for general working capital purposes including financing the deposits of $15,477 for the two vessels to be purchased in Q4 2010 paid in September 2008.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Unaudited Supplemental Pro Forma Information under FAS 141</w:t>
      </w:r>
    </w:p>
    <w:p>
      <w:pPr>
        <w:spacing w:after="0" w:line="96" w:lineRule="exact"/>
        <w:rPr>
          <w:rFonts w:ascii="Arial" w:cs="Arial" w:eastAsia="Arial" w:hAnsi="Arial"/>
          <w:sz w:val="18"/>
          <w:szCs w:val="18"/>
          <w:color w:val="auto"/>
        </w:rPr>
      </w:pPr>
    </w:p>
    <w:p>
      <w:pPr>
        <w:ind w:left="460" w:right="580"/>
        <w:spacing w:after="0" w:line="268" w:lineRule="auto"/>
        <w:rPr>
          <w:rFonts w:ascii="Arial" w:cs="Arial" w:eastAsia="Arial" w:hAnsi="Arial"/>
          <w:sz w:val="18"/>
          <w:szCs w:val="18"/>
          <w:color w:val="auto"/>
        </w:rPr>
      </w:pPr>
      <w:r>
        <w:rPr>
          <w:rFonts w:ascii="Arial" w:cs="Arial" w:eastAsia="Arial" w:hAnsi="Arial"/>
          <w:sz w:val="18"/>
          <w:szCs w:val="18"/>
          <w:color w:val="auto"/>
        </w:rPr>
        <w:t>The following pro forma information for the years ended December 31, 2008 and 2007 assume that the acquisition of the Company occurred at the beginning of each of the reporting periods being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100,135</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(26,045)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 in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Arial" w:cs="Arial" w:eastAsia="Arial" w:hAnsi="Arial"/>
                <w:sz w:val="18"/>
                <w:szCs w:val="18"/>
                <w:color w:val="auto"/>
              </w:rPr>
              <w:t>Weighted average number of Class A common shares outstanding (a)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33,591,788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33,592,403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33,591,788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44,401,990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20" w:type="dxa"/>
            <w:vAlign w:val="bottom"/>
            <w:gridSpan w:val="4"/>
          </w:tcPr>
          <w:p>
            <w:pPr>
              <w:spacing w:after="0"/>
              <w:rPr>
                <w:sz w:val="20"/>
                <w:szCs w:val="20"/>
                <w:color w:val="auto"/>
              </w:rPr>
            </w:pPr>
            <w:r>
              <w:rPr>
                <w:rFonts w:ascii="Arial" w:cs="Arial" w:eastAsia="Arial" w:hAnsi="Arial"/>
                <w:sz w:val="18"/>
                <w:szCs w:val="18"/>
                <w:color w:val="auto"/>
              </w:rPr>
              <w:t>Weighted average number of Class B common shares outstanding (a)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per share amount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Assuming Class A and B common shares are participating securities under the two-class method.</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Basis of combination</w:t>
      </w:r>
    </w:p>
    <w:p>
      <w:pPr>
        <w:spacing w:after="0" w:line="90"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The accompanying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accounts have been eliminated on consolidation. For the Successor period, the Company’s financial statements have been prepared on a consolidated basis.</w:t>
      </w:r>
    </w:p>
    <w:p>
      <w:pPr>
        <w:spacing w:after="0" w:line="32"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accounting policies for the Company are identical for both the period of ownership by CMA CGM and the Predecessor. The accounting policies have been consistently applied throughout the periods presented.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jc w:val="both"/>
        <w:ind w:left="920" w:right="60"/>
        <w:spacing w:after="0" w:line="256" w:lineRule="auto"/>
        <w:rPr>
          <w:sz w:val="20"/>
          <w:szCs w:val="20"/>
          <w:color w:val="auto"/>
        </w:rPr>
      </w:pPr>
      <w:r>
        <w:rPr>
          <w:rFonts w:ascii="Arial" w:cs="Arial" w:eastAsia="Arial" w:hAnsi="Arial"/>
          <w:sz w:val="18"/>
          <w:szCs w:val="18"/>
          <w:color w:val="auto"/>
        </w:rPr>
        <w:t>The preparation of combined financial statements in conformity with US GAAP requires management to make estimates and assumptions that affect the amounts reported in the combined financial statements and the accompanying notes. It is reasonably possible that actual results differ from those estimates. Allocation methodologies used to prepare the combined financial statements are based on estimates and have been described in the notes, where appropriate.</w:t>
      </w:r>
    </w:p>
    <w:p>
      <w:pPr>
        <w:spacing w:after="0" w:line="184"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other short-term highly liquid investments with original maturities of three months or less.</w:t>
      </w:r>
    </w:p>
    <w:p>
      <w:pPr>
        <w:spacing w:after="0" w:line="17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Cash and cash equivalent subject to restrictions are excluded from cash and cash equivalent in the balance sheet and are presented as restricted cash.</w:t>
      </w:r>
    </w:p>
    <w:p>
      <w:pPr>
        <w:spacing w:after="0" w:line="24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$nil as of December 31, 2008 (2007: $1).</w:t>
      </w:r>
    </w:p>
    <w:p>
      <w:pPr>
        <w:spacing w:after="0" w:line="35"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During the period of operations under ownership by CMA CGM, customers were shippers, comprising exporters and importers, and intermediaries, also known as freight forwarders. At that time, the Company sub 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183"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90"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Inventories consisted of bunkers on board vessels and lubricants in the period when the vessels were owned by CMA CGM. They are valued at cost on a first-in-first-out basis. Inventory costs include the transfer from equity of any gains/losses on qualifying cash flow hedges relating to inventory purchases.</w:t>
      </w:r>
    </w:p>
    <w:p>
      <w:pPr>
        <w:spacing w:after="0" w:line="181"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Vessels are recorded at their acquisition cost (less an amount allocated to dry dock component), less accumulated depreciation and impairment loss, if any. Following the merger described in note 1, the vessels are recorded at their fair value less a proportion of the negative goodwill arising on the acquisition allocated to these vessels.</w:t>
      </w:r>
    </w:p>
    <w:p>
      <w:pPr>
        <w:spacing w:after="0" w:line="59"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70"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2008 was $1,643 (2007: $833 and 2006: $nil). Other borrowing costs are expensed as incurred.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ind w:left="920" w:right="20"/>
        <w:spacing w:after="0" w:line="25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the containerized transportation, the useful life was estimated as 25 years. Following the sale of the vessels to the Company, the nature of operations changed significantly and from this date, the vessels are earning time charter income from the chartering out of the vessels instead of from carrying cargo. On this new basis of operations the useful life was reassessed and estimated to be 30 years.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balance sheet as vessel deposits.</w:t>
      </w:r>
    </w:p>
    <w:p>
      <w:pPr>
        <w:spacing w:after="0" w:line="212"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Vessels are drydocked approximately every five years for major repairs and maintenance that cannot be performed while the vessels are operating. Costs directly associated with the required regulatory inspection of the ship,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amortised on a straight line basis to the anticipated next dry dock.</w:t>
      </w:r>
    </w:p>
    <w:p>
      <w:pPr>
        <w:spacing w:after="0" w:line="153"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Intangible assets – purchase agreement</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connection with the merger (note 1), the Company recognised an intangible asset arising from the comparison of the acquisition prices per the asset purchase agreement and the estimated fair value at the merger date of the vessels yet to be purchased. This intangible asset is not amortized and has or will be transferred to the appropriate vessel on delivery.</w:t>
      </w:r>
    </w:p>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Intangible assets are tested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18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Valuation of long-lived assets</w:t>
      </w:r>
    </w:p>
    <w:p>
      <w:pPr>
        <w:spacing w:after="0" w:line="90" w:lineRule="exact"/>
        <w:rPr>
          <w:sz w:val="20"/>
          <w:szCs w:val="20"/>
          <w:color w:val="auto"/>
        </w:rPr>
      </w:pPr>
    </w:p>
    <w:p>
      <w:pPr>
        <w:jc w:val="both"/>
        <w:ind w:left="920"/>
        <w:spacing w:after="0" w:line="294" w:lineRule="auto"/>
        <w:rPr>
          <w:sz w:val="20"/>
          <w:szCs w:val="20"/>
          <w:color w:val="auto"/>
        </w:rPr>
      </w:pPr>
      <w:r>
        <w:rPr>
          <w:rFonts w:ascii="Arial" w:cs="Arial" w:eastAsia="Arial" w:hAnsi="Arial"/>
          <w:sz w:val="16"/>
          <w:szCs w:val="16"/>
          <w:color w:val="auto"/>
        </w:rPr>
        <w:t>In accordance with SFAS No. 144, “Impairment of long-lived assets”, intangible and fixed assets such as vessels, are reviewed for impairment when events or changes in circumstances indicate that it’s carrying amount may not be recoverable. An impairment loss is recognized when the sum of the expected future cash flows (undiscounted and without interest) from the asset over its estimated remaining useful life is less than its carrying amount. An impairment loss is recorded equal to the amount by which the asset’s carrying amount exceeds its fair value. Fair value is the net present value of future cash flows discounted by an appropriate discount rate.</w:t>
      </w:r>
    </w:p>
    <w:p>
      <w:pPr>
        <w:spacing w:after="0" w:line="15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Interest rate hedging activities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rFonts w:ascii="Arial" w:cs="Arial" w:eastAsia="Arial" w:hAnsi="Arial"/>
          <w:sz w:val="18"/>
          <w:szCs w:val="18"/>
          <w:color w:val="auto"/>
        </w:rPr>
      </w:pPr>
    </w:p>
    <w:p>
      <w:pPr>
        <w:ind w:left="1500" w:right="540"/>
        <w:spacing w:after="0" w:line="306" w:lineRule="auto"/>
        <w:rPr>
          <w:rFonts w:ascii="Arial" w:cs="Arial" w:eastAsia="Arial" w:hAnsi="Arial"/>
          <w:sz w:val="18"/>
          <w:szCs w:val="18"/>
          <w:color w:val="auto"/>
        </w:rPr>
      </w:pPr>
      <w:r>
        <w:rPr>
          <w:rFonts w:ascii="Arial" w:cs="Arial" w:eastAsia="Arial" w:hAnsi="Arial"/>
          <w:sz w:val="16"/>
          <w:szCs w:val="16"/>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Derivative instruments (continued)</w:t>
      </w:r>
    </w:p>
    <w:p>
      <w:pPr>
        <w:spacing w:after="0" w:line="157" w:lineRule="exact"/>
        <w:rPr>
          <w:rFonts w:ascii="Arial" w:cs="Arial" w:eastAsia="Arial" w:hAnsi="Arial"/>
          <w:sz w:val="18"/>
          <w:szCs w:val="18"/>
          <w:color w:val="auto"/>
        </w:rPr>
      </w:pPr>
    </w:p>
    <w:p>
      <w:pPr>
        <w:ind w:left="1480" w:hanging="567"/>
        <w:spacing w:after="0"/>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Interest rate hedging activities (continued)</w:t>
      </w:r>
    </w:p>
    <w:p>
      <w:pPr>
        <w:spacing w:after="0" w:line="157" w:lineRule="exact"/>
        <w:rPr>
          <w:rFonts w:ascii="Arial" w:cs="Arial" w:eastAsia="Arial" w:hAnsi="Arial"/>
          <w:sz w:val="18"/>
          <w:szCs w:val="18"/>
          <w:color w:val="auto"/>
        </w:rPr>
      </w:pPr>
    </w:p>
    <w:p>
      <w:pPr>
        <w:ind w:left="1500" w:right="200"/>
        <w:spacing w:after="0" w:line="256" w:lineRule="auto"/>
        <w:rPr>
          <w:rFonts w:ascii="Arial" w:cs="Arial" w:eastAsia="Arial" w:hAnsi="Arial"/>
          <w:sz w:val="18"/>
          <w:szCs w:val="18"/>
          <w:color w:val="auto"/>
        </w:rPr>
      </w:pPr>
      <w:r>
        <w:rPr>
          <w:rFonts w:ascii="Arial" w:cs="Arial" w:eastAsia="Arial" w:hAnsi="Arial"/>
          <w:sz w:val="18"/>
          <w:szCs w:val="18"/>
          <w:color w:val="auto"/>
        </w:rPr>
        <w:t>The Company’s interest rate derivative instruments do not qualify for hedge accounting. Changes in the fair value, as well as cash settlements of interest rate derivative instruments, are recognized immediately in the statement of income within “Realized and unrealized gain on interest rate derivatives”. Cash flows related to interest rate derivatives (including payments and periodic cash settlements) are included within “Net cash provided (used) by investing activities”.</w:t>
      </w:r>
    </w:p>
    <w:p>
      <w:pPr>
        <w:spacing w:after="0" w:line="62" w:lineRule="exact"/>
        <w:rPr>
          <w:rFonts w:ascii="Arial" w:cs="Arial" w:eastAsia="Arial" w:hAnsi="Arial"/>
          <w:sz w:val="18"/>
          <w:szCs w:val="18"/>
          <w:color w:val="auto"/>
        </w:rPr>
      </w:pPr>
    </w:p>
    <w:p>
      <w:pPr>
        <w:ind w:left="1500"/>
        <w:spacing w:after="0" w:line="268" w:lineRule="auto"/>
        <w:rPr>
          <w:rFonts w:ascii="Arial" w:cs="Arial" w:eastAsia="Arial" w:hAnsi="Arial"/>
          <w:sz w:val="18"/>
          <w:szCs w:val="18"/>
          <w:color w:val="auto"/>
        </w:rPr>
      </w:pPr>
      <w:r>
        <w:rPr>
          <w:rFonts w:ascii="Arial" w:cs="Arial" w:eastAsia="Arial" w:hAnsi="Arial"/>
          <w:sz w:val="18"/>
          <w:szCs w:val="18"/>
          <w:color w:val="auto"/>
        </w:rPr>
        <w:t>The fair value of derivatives is presented on the face of the balance sheet under the line item “Derivative instruments” And are split into their current and non-current portions based on the net cash flows expected within one year.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Commodity hedging activities</w:t>
      </w:r>
    </w:p>
    <w:p>
      <w:pPr>
        <w:spacing w:after="0" w:line="90" w:lineRule="exact"/>
        <w:rPr>
          <w:rFonts w:ascii="Arial" w:cs="Arial" w:eastAsia="Arial" w:hAnsi="Arial"/>
          <w:sz w:val="18"/>
          <w:szCs w:val="18"/>
          <w:color w:val="auto"/>
        </w:rPr>
      </w:pPr>
    </w:p>
    <w:p>
      <w:pPr>
        <w:jc w:val="both"/>
        <w:ind w:left="1500" w:right="400"/>
        <w:spacing w:after="0" w:line="305" w:lineRule="auto"/>
        <w:rPr>
          <w:rFonts w:ascii="Arial" w:cs="Arial" w:eastAsia="Arial" w:hAnsi="Arial"/>
          <w:sz w:val="18"/>
          <w:szCs w:val="18"/>
          <w:color w:val="auto"/>
        </w:rPr>
      </w:pPr>
      <w:r>
        <w:rPr>
          <w:rFonts w:ascii="Arial" w:cs="Arial" w:eastAsia="Arial" w:hAnsi="Arial"/>
          <w:sz w:val="15"/>
          <w:szCs w:val="15"/>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ind w:left="1500"/>
        <w:spacing w:after="0"/>
        <w:rPr>
          <w:rFonts w:ascii="Arial" w:cs="Arial" w:eastAsia="Arial" w:hAnsi="Arial"/>
          <w:sz w:val="18"/>
          <w:szCs w:val="18"/>
          <w:color w:val="auto"/>
        </w:rPr>
      </w:pPr>
      <w:r>
        <w:rPr>
          <w:rFonts w:ascii="Arial" w:cs="Arial" w:eastAsia="Arial" w:hAnsi="Arial"/>
          <w:sz w:val="18"/>
          <w:szCs w:val="18"/>
          <w:color w:val="auto"/>
        </w:rPr>
        <w:t>CMA CGM.</w:t>
      </w:r>
    </w:p>
    <w:p>
      <w:pPr>
        <w:spacing w:after="0" w:line="83" w:lineRule="exact"/>
        <w:rPr>
          <w:rFonts w:ascii="Arial" w:cs="Arial" w:eastAsia="Arial" w:hAnsi="Arial"/>
          <w:sz w:val="18"/>
          <w:szCs w:val="18"/>
          <w:color w:val="auto"/>
        </w:rPr>
      </w:pPr>
    </w:p>
    <w:p>
      <w:pPr>
        <w:ind w:left="1500" w:right="160"/>
        <w:spacing w:after="0" w:line="259" w:lineRule="auto"/>
        <w:rPr>
          <w:rFonts w:ascii="Arial" w:cs="Arial" w:eastAsia="Arial" w:hAnsi="Arial"/>
          <w:sz w:val="18"/>
          <w:szCs w:val="18"/>
          <w:color w:val="auto"/>
        </w:rPr>
      </w:pPr>
      <w:r>
        <w:rPr>
          <w:rFonts w:ascii="Arial" w:cs="Arial" w:eastAsia="Arial" w:hAnsi="Arial"/>
          <w:sz w:val="18"/>
          <w:szCs w:val="18"/>
          <w:color w:val="auto"/>
        </w:rPr>
        <w:t>Voyage operating expenses, incurred during period of operations under ownership by CMA CGM, were highly dependent on the cost of bunkers. During this period, the risk management policy was to hedge the price risk on anticipated bunker consumption through “over-the-counter” derivative instruments such as swaps and options.</w:t>
      </w:r>
    </w:p>
    <w:p>
      <w:pPr>
        <w:spacing w:after="0" w:line="59" w:lineRule="exact"/>
        <w:rPr>
          <w:rFonts w:ascii="Arial" w:cs="Arial" w:eastAsia="Arial" w:hAnsi="Arial"/>
          <w:sz w:val="18"/>
          <w:szCs w:val="18"/>
          <w:color w:val="auto"/>
        </w:rPr>
      </w:pPr>
    </w:p>
    <w:p>
      <w:pPr>
        <w:ind w:left="1500" w:right="60"/>
        <w:spacing w:after="0" w:line="323" w:lineRule="auto"/>
        <w:rPr>
          <w:rFonts w:ascii="Arial" w:cs="Arial" w:eastAsia="Arial" w:hAnsi="Arial"/>
          <w:sz w:val="18"/>
          <w:szCs w:val="18"/>
          <w:color w:val="auto"/>
        </w:rPr>
      </w:pPr>
      <w:r>
        <w:rPr>
          <w:rFonts w:ascii="Arial" w:cs="Arial" w:eastAsia="Arial" w:hAnsi="Arial"/>
          <w:sz w:val="15"/>
          <w:szCs w:val="15"/>
          <w:color w:val="auto"/>
        </w:rPr>
        <w:t>Derivatives were initially recognized at fair value on the date a derivative contract was entered into and were subsequently re-measured at fair value. The method of recognizing the resulting gain or loss depended on whether the derivative was designated as a hedging instrument, and if so, the nature of the item being hedged. Certain derivatives were designated as hedges of highly probable forecast transactions (cash flow hedge). The fair value of derivatives is presented on the face of the balance sheet under the line item “Derivative instruments”.</w:t>
      </w:r>
    </w:p>
    <w:p>
      <w:pPr>
        <w:spacing w:after="0" w:line="16" w:lineRule="exact"/>
        <w:rPr>
          <w:rFonts w:ascii="Arial" w:cs="Arial" w:eastAsia="Arial" w:hAnsi="Arial"/>
          <w:sz w:val="18"/>
          <w:szCs w:val="18"/>
          <w:color w:val="auto"/>
        </w:rPr>
      </w:pPr>
    </w:p>
    <w:p>
      <w:pPr>
        <w:ind w:left="1500" w:right="200"/>
        <w:spacing w:after="0" w:line="259" w:lineRule="auto"/>
        <w:rPr>
          <w:rFonts w:ascii="Arial" w:cs="Arial" w:eastAsia="Arial" w:hAnsi="Arial"/>
          <w:sz w:val="18"/>
          <w:szCs w:val="18"/>
          <w:color w:val="auto"/>
        </w:rPr>
      </w:pPr>
      <w:r>
        <w:rPr>
          <w:rFonts w:ascii="Arial" w:cs="Arial" w:eastAsia="Arial" w:hAnsi="Arial"/>
          <w:sz w:val="18"/>
          <w:szCs w:val="18"/>
          <w:color w:val="auto"/>
        </w:rPr>
        <w:t>The effective portion of changes in the fair value of derivatives that were designated and qualified as cash flow hedges were recognized in equity within “Accumulated other comprehensive income (loss).” The gain or loss relating to the ineffective portion was recognized immediately in the statement of income.</w:t>
      </w:r>
    </w:p>
    <w:p>
      <w:pPr>
        <w:spacing w:after="0" w:line="59" w:lineRule="exact"/>
        <w:rPr>
          <w:rFonts w:ascii="Arial" w:cs="Arial" w:eastAsia="Arial" w:hAnsi="Arial"/>
          <w:sz w:val="18"/>
          <w:szCs w:val="18"/>
          <w:color w:val="auto"/>
        </w:rPr>
      </w:pPr>
    </w:p>
    <w:p>
      <w:pPr>
        <w:ind w:left="1500" w:right="180"/>
        <w:spacing w:after="0" w:line="298" w:lineRule="auto"/>
        <w:rPr>
          <w:rFonts w:ascii="Arial" w:cs="Arial" w:eastAsia="Arial" w:hAnsi="Arial"/>
          <w:sz w:val="18"/>
          <w:szCs w:val="18"/>
          <w:color w:val="auto"/>
        </w:rPr>
      </w:pPr>
      <w:r>
        <w:rPr>
          <w:rFonts w:ascii="Arial" w:cs="Arial" w:eastAsia="Arial" w:hAnsi="Arial"/>
          <w:sz w:val="16"/>
          <w:szCs w:val="16"/>
          <w:color w:val="auto"/>
        </w:rPr>
        <w:t>Amounts accumulated in equity were recycled in the statement of income in the periods when the hedged item affected profit or loss when the forecast transaction that was hedged took place. When the forecast transaction that was hedged resulted in the recognition of a non-financial asset (for example, inventory when bunker purchases were hedged), the gains and losses previously deferred in equity were transferred from equity and included in the initial measurement of the cost of the asset.</w:t>
      </w:r>
    </w:p>
    <w:p>
      <w:pPr>
        <w:spacing w:after="0" w:line="31" w:lineRule="exact"/>
        <w:rPr>
          <w:rFonts w:ascii="Arial" w:cs="Arial" w:eastAsia="Arial" w:hAnsi="Arial"/>
          <w:sz w:val="18"/>
          <w:szCs w:val="18"/>
          <w:color w:val="auto"/>
        </w:rPr>
      </w:pPr>
    </w:p>
    <w:p>
      <w:pPr>
        <w:ind w:left="1500" w:right="240"/>
        <w:spacing w:after="0" w:line="256" w:lineRule="auto"/>
        <w:rPr>
          <w:rFonts w:ascii="Arial" w:cs="Arial" w:eastAsia="Arial" w:hAnsi="Arial"/>
          <w:sz w:val="18"/>
          <w:szCs w:val="18"/>
          <w:color w:val="auto"/>
        </w:rPr>
      </w:pPr>
      <w:r>
        <w:rPr>
          <w:rFonts w:ascii="Arial" w:cs="Arial" w:eastAsia="Arial" w:hAnsi="Arial"/>
          <w:sz w:val="18"/>
          <w:szCs w:val="18"/>
          <w:color w:val="auto"/>
        </w:rPr>
        <w:t>When a hedging instrument expired or was sold, or when a hedge no longer met the criteria for hedge accounting, any cumulative gain or loss existing in equity at that time remained in equity and was recognized when the forecast transaction was ultimately recognized in the statement of income. When a forecast transaction was no longer expected to occur, the cumulative gain or loss that was reported in equity was immediately transferred to the statement of income.</w:t>
      </w:r>
    </w:p>
    <w:p>
      <w:pPr>
        <w:spacing w:after="0" w:line="62" w:lineRule="exact"/>
        <w:rPr>
          <w:rFonts w:ascii="Arial" w:cs="Arial" w:eastAsia="Arial" w:hAnsi="Arial"/>
          <w:sz w:val="18"/>
          <w:szCs w:val="18"/>
          <w:color w:val="auto"/>
        </w:rPr>
      </w:pPr>
    </w:p>
    <w:p>
      <w:pPr>
        <w:ind w:left="1500" w:right="220"/>
        <w:spacing w:after="0" w:line="259" w:lineRule="auto"/>
        <w:rPr>
          <w:rFonts w:ascii="Arial" w:cs="Arial" w:eastAsia="Arial" w:hAnsi="Arial"/>
          <w:sz w:val="18"/>
          <w:szCs w:val="18"/>
          <w:color w:val="auto"/>
        </w:rPr>
      </w:pPr>
      <w:r>
        <w:rPr>
          <w:rFonts w:ascii="Arial" w:cs="Arial" w:eastAsia="Arial" w:hAnsi="Arial"/>
          <w:sz w:val="18"/>
          <w:szCs w:val="18"/>
          <w:color w:val="auto"/>
        </w:rPr>
        <w:t>The statement of income impact (effective and ineffective portion) of bunker hedging activities that qualified as cash flow hedges was presented in the line item “Voyage expenses.” The settlement of transactions that qualified as cash flow hedges was presented within “Net cash provided (used) by operating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Derivative instruments (continued)</w:t>
      </w:r>
    </w:p>
    <w:p>
      <w:pPr>
        <w:spacing w:after="0" w:line="157" w:lineRule="exact"/>
        <w:rPr>
          <w:rFonts w:ascii="Arial" w:cs="Arial" w:eastAsia="Arial" w:hAnsi="Arial"/>
          <w:sz w:val="18"/>
          <w:szCs w:val="18"/>
          <w:color w:val="auto"/>
        </w:rPr>
      </w:pPr>
    </w:p>
    <w:p>
      <w:pPr>
        <w:ind w:left="1480" w:hanging="567"/>
        <w:spacing w:after="0"/>
        <w:tabs>
          <w:tab w:leader="none" w:pos="14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Commodity hedging activities (continued)</w:t>
      </w:r>
    </w:p>
    <w:p>
      <w:pPr>
        <w:spacing w:after="0" w:line="157" w:lineRule="exact"/>
        <w:rPr>
          <w:rFonts w:ascii="Arial" w:cs="Arial" w:eastAsia="Arial" w:hAnsi="Arial"/>
          <w:sz w:val="18"/>
          <w:szCs w:val="18"/>
          <w:color w:val="auto"/>
        </w:rPr>
      </w:pPr>
    </w:p>
    <w:p>
      <w:pPr>
        <w:ind w:left="1500" w:right="180"/>
        <w:spacing w:after="0" w:line="259" w:lineRule="auto"/>
        <w:rPr>
          <w:rFonts w:ascii="Arial" w:cs="Arial" w:eastAsia="Arial" w:hAnsi="Arial"/>
          <w:sz w:val="18"/>
          <w:szCs w:val="18"/>
          <w:color w:val="auto"/>
        </w:rPr>
      </w:pPr>
      <w:r>
        <w:rPr>
          <w:rFonts w:ascii="Arial" w:cs="Arial" w:eastAsia="Arial" w:hAnsi="Arial"/>
          <w:sz w:val="18"/>
          <w:szCs w:val="18"/>
          <w:color w:val="auto"/>
        </w:rPr>
        <w:t>Certain bunker derivative instruments contracted by CMA CGM did not qualify for hedge accounting. These transactions were recorded at fair value within the balance sheet with related gains and losses recorded in earnings. The statement of income impact of such derivatives was presented in the line item “Other operating income (expense).”</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Costs incurred in connection with obtaining long-term debt are recorded as deferred financing costs and are amortized to interest expense over the estimated duration of the related debt. Such costs include fees paid to the lenders or on the lenders’ behalf and associated legal and other professional fees.</w:t>
      </w:r>
    </w:p>
    <w:p>
      <w:pPr>
        <w:spacing w:after="0" w:line="18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Preferred shares have been included within liabilities in the combined balance sheet and preferred share dividends included within interest expense in the combined income statement as their nature is similar to that of a liability rather than equity. Holders of these mandatorily redeemable preferred shares are entitled to receive a quarterly dividend equal to 3-month LIBOR plus 2% of the original issue price and rank senior to the Class A, Class B and Class C common shares with respect to dividend rights and rights upon liquidation, dissolution or winding up of the Company.</w:t>
      </w:r>
    </w:p>
    <w:p>
      <w:pPr>
        <w:spacing w:after="0" w:line="153"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In connection with the merger (note 1), the Company recognised an intangible liability using the market approach wherein the Company’s actual charter agreements were compared to market rates at the merger date.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These intangible lease liabilities are amortized as an increase of time charter revenue over the remaining term of the relevant charter.</w:t>
      </w:r>
    </w:p>
    <w:p>
      <w:pPr>
        <w:spacing w:after="0" w:line="235"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Other comprehensive income (loss), which was reported in the accompanying combined statement of equity, consisted of net income (loss) and other gains and losses affecting equity that, under US GAAP, were excluded from net income (loss). Other comprehensive income (loss) included the effective portion of derivative financial instruments that qualified as hedge accounting which were deferred in accordance with accounting principles described above, and the impact of the translation of foreign currency statements, as certain subsidiary entities had a functional currency different from the U.S. dollar.</w:t>
      </w:r>
    </w:p>
    <w:p>
      <w:pPr>
        <w:spacing w:after="0" w:line="183"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Comparative figures</w:t>
      </w:r>
    </w:p>
    <w:p>
      <w:pPr>
        <w:spacing w:after="0" w:line="90"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Certain of the figures presented in the balance sheet have been reclassified for comparative purposes to conform to the financial statement presentation adopted for the current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left="920" w:right="120"/>
        <w:spacing w:after="0" w:line="323" w:lineRule="auto"/>
        <w:rPr>
          <w:sz w:val="20"/>
          <w:szCs w:val="20"/>
          <w:color w:val="auto"/>
        </w:rPr>
      </w:pPr>
      <w:r>
        <w:rPr>
          <w:rFonts w:ascii="Arial" w:cs="Arial" w:eastAsia="Arial" w:hAnsi="Arial"/>
          <w:sz w:val="15"/>
          <w:szCs w:val="15"/>
          <w:color w:val="auto"/>
        </w:rPr>
        <w:t>Segment information has been prepared on the same basis that it is reported internally to the Company’s chief operating decision maker. The Company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w:t>
      </w:r>
    </w:p>
    <w:p>
      <w:pPr>
        <w:spacing w:after="0" w:line="138"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jc w:val="both"/>
        <w:ind w:left="920" w:right="20"/>
        <w:spacing w:after="0" w:line="298" w:lineRule="auto"/>
        <w:rPr>
          <w:sz w:val="20"/>
          <w:szCs w:val="20"/>
          <w:color w:val="auto"/>
        </w:rPr>
      </w:pPr>
      <w:r>
        <w:rPr>
          <w:rFonts w:ascii="Arial" w:cs="Arial" w:eastAsia="Arial" w:hAnsi="Arial"/>
          <w:sz w:val="16"/>
          <w:szCs w:val="16"/>
          <w:color w:val="auto"/>
        </w:rPr>
        <w:t>The Company charters out its vessels on time charters which involves placing a vessel at a charterer’s disposal for a period of time during which the charterer uses the vessel in return for the payment of a specified daily hire rate. Such revenues are accounted for as operating leases and are therefore recognized on a straight line basis as the average revenues over the rental periods of such charter agreements, as service is performed, except for loss generating time charters, in which case the loss would be recognized in the period when such accumulated loss is determined.</w:t>
      </w:r>
    </w:p>
    <w:p>
      <w:pPr>
        <w:spacing w:after="0" w:line="32"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excluding mainly time based costs such as charter costs, fuel and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15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20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184"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jc w:val="both"/>
        <w:ind w:left="920" w:right="100"/>
        <w:spacing w:after="0" w:line="335" w:lineRule="auto"/>
        <w:rPr>
          <w:sz w:val="20"/>
          <w:szCs w:val="20"/>
          <w:color w:val="auto"/>
        </w:rPr>
      </w:pPr>
      <w:r>
        <w:rPr>
          <w:rFonts w:ascii="Arial" w:cs="Arial" w:eastAsia="Arial" w:hAnsi="Arial"/>
          <w:sz w:val="15"/>
          <w:szCs w:val="15"/>
          <w:color w:val="auto"/>
        </w:rPr>
        <w:t>The Company maintains hull and machinery insurance, war risk insurance, protection and indemnity insurance coverage, increased value insurance, demurrage and defence insurance coverage in amounts considered prudent to cover normal risks in the ordinary course of its operations. Premiums paid in advance to insurance companies are recognized as prepaid expenses and expensed over the period covered by the insurance contract.</w:t>
      </w:r>
    </w:p>
    <w:p>
      <w:pPr>
        <w:spacing w:after="0" w:line="129"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The Company awards restricted stock units to its employees and directors which vest , based on service conditions only, over a period of time up to three years from the award date.</w:t>
      </w:r>
    </w:p>
    <w:p>
      <w:pPr>
        <w:spacing w:after="0" w:line="51" w:lineRule="exact"/>
        <w:rPr>
          <w:sz w:val="20"/>
          <w:szCs w:val="20"/>
          <w:color w:val="auto"/>
        </w:rPr>
      </w:pPr>
    </w:p>
    <w:p>
      <w:pPr>
        <w:jc w:val="both"/>
        <w:ind w:left="920" w:right="50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The Company and its Marshall Island subsidiaries are exempt from taxation in the Marshall Islands. The Company’s Cypriot subsidiaries are liable for a tax based on the tonnage of each vessel. The cost, which is included within operating expenses, totaled $48, $nil and $nil for the years ended December 31, 2008, 2007 and 2006, respectively.</w:t>
      </w:r>
    </w:p>
    <w:p>
      <w:pPr>
        <w:spacing w:after="0" w:line="59"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Company has one subsidiary in the United Kingdom which was incorporated in 2007, where the principal rate of corporate income tax is 28% (2007: 30%, 2006: n.a). This subsidiary earns management and other fees from fellow subsidiary companies.</w:t>
      </w:r>
    </w:p>
    <w:p>
      <w:pPr>
        <w:spacing w:after="0" w:line="5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During the period of the vessels’ ownership by CMA CGM, the Company was liable for a tax based on the tonnage of each vessel. The cost, which is included within general and administrative expenses, totaled $nil, $310 and $200 for the years ended December 31, 2008, 2007 and 2006, respectively.</w:t>
      </w:r>
    </w:p>
    <w:p>
      <w:pPr>
        <w:spacing w:after="0" w:line="59"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However, with regard to a deferred tax asset arising from the recognition of compensation costs for share awards, the Company recognizes a deferred asset based on the compensation cost booked in the reporting period with no adjustment for a valuation allowance, in accordance with the requirements of FAS 123R “Accounting for stock based compensation”,. At December 31, 2008 a deferred tax asset of $293 presented within “Other receivables” was recognized relating to the stock based compensation costs booked in the year.</w:t>
      </w:r>
    </w:p>
    <w:p>
      <w:pPr>
        <w:spacing w:after="0" w:line="159"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combined balance sheet in the line item “dividend payable”.</w:t>
      </w:r>
    </w:p>
    <w:p>
      <w:pPr>
        <w:spacing w:after="0" w:line="172"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In accordance with SFAS No. 128,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15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ind w:left="920" w:right="200"/>
        <w:spacing w:after="0" w:line="289"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(“FAS 157”). FAS 157 enhances existing guidance for measuring assets and liabilities using fair value. Previously, guidance for applying fair value was incorporated in several accounting pronouncements. The new statement provides a single definition of fair value, together with a framework for measuring it, and requires additional disclosure about the use of fair value to measure assets and liabilities. While the statement does not add any new fair value measurements, it did change previous practice. One such change is a requirement to adjust the value of non-vested stock for the effect of the restriction even if the restriction lapses within one year. FAS 157 is effective for financial statements issued for fiscal years beginning after November 15, 2007, and interim periods within those fiscal years. The adoption of FAS 157 on January 1, 2008, did not have a material impact on the combined financial statements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In November 2007, the FASB provided under FASB Staff Position (“FSP”) FSP 157-2 a one year deferral for the implementation of FAS 157 for non-financial assets and liabilities reported or disclosed at fair value in the financial statements on a nonrecurring basis.</w:t>
      </w:r>
    </w:p>
    <w:p>
      <w:pPr>
        <w:spacing w:after="0" w:line="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240" w:top="459" w:right="5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Recently issued accounting standards (continued)</w:t>
      </w:r>
    </w:p>
    <w:p>
      <w:pPr>
        <w:spacing w:after="0" w:line="158"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SFAS No. 141(R), Business Combinations (“SFAS 141(R)”), was issued in December 2007 (“FAS 141(R)”). FAS 141(R) requires that upon initially obtaining control, an acquirer will recognize 100% of the fair values of acquired assets, including goodwill, and assumed liabilities, with only limited exceptions, even if the acquirer has not acquired 100% of its target. Additionally, contingent consideration arrangements will be fair valued at the acquisition date and included on that basis in the purchase price consideration and transaction costs will be expensed as incurred. FAS 141(R) also modifies the recognition for pre-acquisition contingencies, such as environmental or legal issues, restructuring plans and acquired research and development value in purchase accounting. FAS 141(R) amends Statement of Financial Accounting Standards No. 109, Accounting for Income Taxes, to require the acquirer to recognize changes in the amount of its deferred tax benefits that are recognizable because of a business combination either in income from continuing operations in the period of the combination or directly in contributed capital, depending on the circumstances. FAS 141(R) is effective for fiscal years beginning after December 15, 2008. Adoption is prospective and early adoption is not permitted. The Company expects to adopt FAS 141 (R) on January 1, 2009. FAS 141(R)’s impact on accounting for business combinations is dependent upon acquisitions at that time. The Company does not anticipate any material impact from the adoption of FAS 141 (R).</w:t>
      </w:r>
    </w:p>
    <w:p>
      <w:pPr>
        <w:spacing w:after="0" w:line="46" w:lineRule="exact"/>
        <w:rPr>
          <w:sz w:val="20"/>
          <w:szCs w:val="20"/>
          <w:color w:val="auto"/>
        </w:rPr>
      </w:pPr>
    </w:p>
    <w:p>
      <w:pPr>
        <w:ind w:left="920" w:right="80"/>
        <w:spacing w:after="0" w:line="286" w:lineRule="auto"/>
        <w:rPr>
          <w:sz w:val="20"/>
          <w:szCs w:val="20"/>
          <w:color w:val="auto"/>
        </w:rPr>
      </w:pPr>
      <w:r>
        <w:rPr>
          <w:rFonts w:ascii="Arial" w:cs="Arial" w:eastAsia="Arial" w:hAnsi="Arial"/>
          <w:sz w:val="16"/>
          <w:szCs w:val="16"/>
          <w:color w:val="auto"/>
        </w:rPr>
        <w:t>SFAS No. 160, Non-controlling Interests in Consolidated Financial Statements — an amendment of ARB No. 51 (“FAS 160”), was issued in December 2007. FAS 160 clarifies the classification of non-controlling interests in consolidated statements of financial position and the accounting for and reporting of transactions between the reporting entity and holders of such non-controlling interests. Under FAS 160 non-controlling interests are considered equity and should be reported as an element of consolidated equity, net income will encompass the total income of all consolidated subsidiaries and there will be separate disclosure on the face of the income statement of the attribution of that income between the controlling and non-controlling interests, and increases and decreases in the non-controlling ownership interest amount will be accounted for as equity transactions. FAS 160 is effective for the first annual reporting period beginning on or after December 15, 2008, and earlier application is prohibited. FAS 160 is required to be adopted prospectively, except for the reclassification of non controlling interests to equity, separate from the parent’s shareholders’ equity, in the consolidated statement of financial position and recasting consolidated net income (loss) to include net income (loss) attributable to both the controlling and non-controlling interests, both of which are required to be adopted retrospectively. The Company expects to adopt FAS 160 on January 1, 2009 and does not anticipate any material impact of this adoption on its combined financial statements.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March 2008, the FASB issued SFAS No. 161, Disclosures about Derivative Instruments and Hedging Activities – an amendment of SFAS</w:t>
      </w:r>
    </w:p>
    <w:p>
      <w:pPr>
        <w:spacing w:after="0" w:line="38" w:lineRule="exact"/>
        <w:rPr>
          <w:sz w:val="20"/>
          <w:szCs w:val="20"/>
          <w:color w:val="auto"/>
        </w:rPr>
      </w:pPr>
    </w:p>
    <w:p>
      <w:pPr>
        <w:ind w:left="920" w:right="40"/>
        <w:spacing w:after="0" w:line="295" w:lineRule="auto"/>
        <w:rPr>
          <w:sz w:val="20"/>
          <w:szCs w:val="20"/>
          <w:color w:val="auto"/>
        </w:rPr>
      </w:pPr>
      <w:r>
        <w:rPr>
          <w:rFonts w:ascii="Arial" w:cs="Arial" w:eastAsia="Arial" w:hAnsi="Arial"/>
          <w:sz w:val="16"/>
          <w:szCs w:val="16"/>
          <w:color w:val="auto"/>
        </w:rPr>
        <w:t>No. 133, Accounting for Derivative Instruments and Hedging Activities (“FAS 161”). FAS 161 expands disclosures previously required under FAS 133 about how derivatives and hedging activities affect the Company’s financial position, financial performance, and cash flow. FAS 161 is effective for fiscal years beginning after November 15, 2008. The Company expects to adopt FAS 161 on January 1, 2009. FAS 161’s will extend the disclosures provided in notes to the combined financial statements related to derivative instruments and hedging activities.</w:t>
      </w:r>
    </w:p>
    <w:p>
      <w:pPr>
        <w:spacing w:after="0" w:line="34"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In April 2008, the FASB issued FSP No.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 FSP 142-3 is effective for financial statements issued for fiscal years beginning after December 15, 2008. Early adoption is prohibited. The Company does not expect the adoption of FSP 142-3 to have a material impact on its combined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Recently issued accounting standards (continued)</w:t>
      </w:r>
    </w:p>
    <w:p>
      <w:pPr>
        <w:spacing w:after="0" w:line="158"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The FASB issued SFAS No. 162, “The Hierarchy of Generally Accepted Accounting Principles “ (“FAS 162”) in May 2008, which identifies the sources of accounting principles and the framework for selecting the principles to be used in the preparation of financial statements of nongovernmental entities that are presented in conformity with US GAAP. The effective date of FAS 162 is November 15, 2008. The adoption of FAS 162 did not change the Company’s accounting policies nor did it have an effect on its results of operations or financial position.</w:t>
      </w:r>
    </w:p>
    <w:p>
      <w:pPr>
        <w:spacing w:after="0" w:line="32"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In June 2008, the FASB ratified the consensus reached on EITF Issue No. 07-05, “Determining Whether an Instrument (or Embedded Feature) Is Indexed to an Entity’s Own Stock” (“EITF 07-05”). EITF 07-05 clarifies the determination of whether an instrument (or an embedded feature) is indexed to an entity’s own stock, which would qualify as a scope exception under FAS 133. EITF 07-05 is effective for financial statements issued for fiscal years beginning after December 15, 2008. Early adoption for an existing instrument is not permitted. The Company does not expect the adoption of EITF 07-05 to have a material impact on its combined financial statements.</w:t>
      </w:r>
    </w:p>
    <w:p>
      <w:pPr>
        <w:spacing w:after="0" w:line="35"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(“EITF 03-6-1”). FSP EITF 03-6-1 clarifies whether instruments granted in share-based payment transactions should be included in the computation of EPS using the two-class method prior to vesting. The Company is in the process of analyzing the impact of FSP EITF03-6-1, which is effective for financial statements issued for fiscal years beginning after December 15, 2008.</w:t>
      </w:r>
    </w:p>
    <w:p>
      <w:pPr>
        <w:spacing w:after="0" w:line="32" w:lineRule="exact"/>
        <w:rPr>
          <w:sz w:val="20"/>
          <w:szCs w:val="20"/>
          <w:color w:val="auto"/>
        </w:rPr>
      </w:pPr>
    </w:p>
    <w:p>
      <w:pPr>
        <w:ind w:left="920" w:right="24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combined financial statements of the Company.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jc w:val="center"/>
              <w:ind w:left="2732"/>
              <w:spacing w:after="0"/>
              <w:rPr>
                <w:sz w:val="20"/>
                <w:szCs w:val="20"/>
                <w:color w:val="auto"/>
              </w:rPr>
            </w:pPr>
            <w:r>
              <w:rPr>
                <w:rFonts w:ascii="Arial" w:cs="Arial" w:eastAsia="Arial" w:hAnsi="Arial"/>
                <w:sz w:val="18"/>
                <w:szCs w:val="18"/>
                <w:b w:val="1"/>
                <w:bCs w:val="1"/>
                <w:color w:val="auto"/>
                <w:w w:val="88"/>
              </w:rPr>
              <w:t>Global Ship Lease, Inc.</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Pr>
          <w:p>
            <w:pPr>
              <w:jc w:val="center"/>
              <w:ind w:left="2752"/>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Pr>
          <w:p>
            <w:pPr>
              <w:jc w:val="center"/>
              <w:ind w:left="2752"/>
              <w:spacing w:after="0"/>
              <w:rPr>
                <w:sz w:val="20"/>
                <w:szCs w:val="20"/>
                <w:color w:val="auto"/>
              </w:rPr>
            </w:pPr>
            <w:r>
              <w:rPr>
                <w:rFonts w:ascii="Arial" w:cs="Arial" w:eastAsia="Arial" w:hAnsi="Arial"/>
                <w:sz w:val="18"/>
                <w:szCs w:val="18"/>
                <w:color w:val="auto"/>
                <w:w w:val="88"/>
              </w:rPr>
              <w:t>(Expressed in thousands of U.S. dollars)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78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300" w:type="dxa"/>
            <w:vAlign w:val="bottom"/>
            <w:vMerge w:val="restart"/>
          </w:tcPr>
          <w:p>
            <w:pPr>
              <w:spacing w:after="0"/>
              <w:rPr>
                <w:sz w:val="17"/>
                <w:szCs w:val="17"/>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60" w:type="dxa"/>
            <w:vAlign w:val="bottom"/>
            <w:vMerge w:val="restart"/>
          </w:tcPr>
          <w:p>
            <w:pPr>
              <w:spacing w:after="0"/>
              <w:rPr>
                <w:sz w:val="20"/>
                <w:szCs w:val="20"/>
                <w:color w:val="auto"/>
              </w:rPr>
            </w:pPr>
          </w:p>
        </w:tc>
        <w:tc>
          <w:tcPr>
            <w:tcW w:w="7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915,627</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539,350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(8,731)</w:t>
            </w: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(64,051)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906,896</w:t>
            </w:r>
          </w:p>
        </w:tc>
        <w:tc>
          <w:tcPr>
            <w:tcW w:w="5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475,299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84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7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300" w:type="dxa"/>
            <w:vAlign w:val="bottom"/>
            <w:vMerge w:val="restart"/>
          </w:tcPr>
          <w:p>
            <w:pPr>
              <w:spacing w:after="0"/>
              <w:rPr>
                <w:sz w:val="17"/>
                <w:szCs w:val="17"/>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60" w:type="dxa"/>
            <w:vAlign w:val="bottom"/>
            <w:vMerge w:val="restart"/>
          </w:tcPr>
          <w:p>
            <w:pPr>
              <w:spacing w:after="0"/>
              <w:rPr>
                <w:sz w:val="20"/>
                <w:szCs w:val="20"/>
                <w:color w:val="auto"/>
              </w:rPr>
            </w:pPr>
          </w:p>
        </w:tc>
        <w:tc>
          <w:tcPr>
            <w:tcW w:w="7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475,299</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286,229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Depreciation expense (Predecessor)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(12,163)</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in the period (Predecessor)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188,463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Purchase price adjustment (note 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59,302</w:t>
            </w:r>
          </w:p>
        </w:tc>
        <w:tc>
          <w:tcPr>
            <w:tcW w:w="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in the period (Successor)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356,862</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Transfer from intangible assets – purchase agreement (note 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34,867</w:t>
            </w:r>
          </w:p>
        </w:tc>
        <w:tc>
          <w:tcPr>
            <w:tcW w:w="5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expense (Successor)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(8,731)</w:t>
            </w: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906,896</w:t>
            </w:r>
          </w:p>
        </w:tc>
        <w:tc>
          <w:tcPr>
            <w:tcW w:w="5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475,299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all 16 of the vessels delivered to the Company were pledged as collateral under the credit facility agreement.</w:t>
      </w:r>
    </w:p>
    <w:p>
      <w:pPr>
        <w:spacing w:after="0" w:line="113"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In December 2008 the Company took delivery of four of the five vessels in the contracted fleet. Included within additions is an advance payment of $99,000 made during the year and capitalized interest relating to these payments of $1,400 (2007: $833, 2006: $nil)</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960"/>
          </w:cols>
          <w:pgMar w:left="240" w:top="459" w:right="6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Global Ship Lease, Inc.</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740" w:type="dxa"/>
            <w:vAlign w:val="bottom"/>
            <w:gridSpan w:val="2"/>
          </w:tcPr>
          <w:p>
            <w:pPr>
              <w:jc w:val="center"/>
              <w:spacing w:after="0"/>
              <w:rPr>
                <w:sz w:val="20"/>
                <w:szCs w:val="20"/>
                <w:color w:val="auto"/>
              </w:rPr>
            </w:pPr>
            <w:r>
              <w:rPr>
                <w:rFonts w:ascii="Arial" w:cs="Arial" w:eastAsia="Arial" w:hAnsi="Arial"/>
                <w:sz w:val="18"/>
                <w:szCs w:val="18"/>
                <w:color w:val="auto"/>
                <w:w w:val="88"/>
              </w:rPr>
              <w:t>(Expressed in thousands of U.S. dollars)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25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 Deposits</w:t>
            </w: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60" w:type="dxa"/>
            <w:vAlign w:val="bottom"/>
            <w:vMerge w:val="restart"/>
          </w:tcPr>
          <w:p>
            <w:pPr>
              <w:spacing w:after="0"/>
              <w:rPr>
                <w:sz w:val="20"/>
                <w:szCs w:val="20"/>
                <w:color w:val="auto"/>
              </w:rPr>
            </w:pPr>
          </w:p>
        </w:tc>
        <w:tc>
          <w:tcPr>
            <w:tcW w:w="23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Additions in the period</w:t>
            </w:r>
          </w:p>
        </w:tc>
        <w:tc>
          <w:tcPr>
            <w:tcW w:w="574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50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Capitalized interest</w:t>
            </w:r>
          </w:p>
        </w:tc>
        <w:tc>
          <w:tcPr>
            <w:tcW w:w="5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5740" w:type="dxa"/>
            <w:vAlign w:val="bottom"/>
            <w:gridSpan w:val="2"/>
            <w:shd w:val="clear" w:color="auto" w:fill="CCEEFF"/>
          </w:tcPr>
          <w:p>
            <w:pPr>
              <w:ind w:left="564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15,720</w:t>
            </w:r>
          </w:p>
        </w:tc>
        <w:tc>
          <w:tcPr>
            <w:tcW w:w="50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The additions during the period relate to deposits paid for two 4,250 TEU newbuildings the Company has agreed to acquire from German interests for approximately $77 million per vessel. The purchase is subject to the completion of customary additional documentation and closing conditions. The two vessels are scheduled to be delivered in the fourth quarter of 2010. Both vessels will be chartered to ZISS for a term of seven to eight years at a net rate of $28,000 per vessel per day.</w:t>
      </w:r>
    </w:p>
    <w:p>
      <w:pPr>
        <w:spacing w:after="0" w:line="6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Company is not liable to any other prepayments before the delivery of these vessels. Vessel deposits include capitalized interests for an amount of $243 as at December 31, 2008.</w:t>
      </w:r>
    </w:p>
    <w:p>
      <w:pPr>
        <w:spacing w:after="0" w:line="248"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Intangible Assets – Purchase Agreement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3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(note 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42,707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Transfer to vessels in operation</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(34,867)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7,840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Intangible assets relate to the agreement as at August 14, 2008 to purchase five vessels from CMA CGM. These intangible assets are not being amortised but on delivery of the related vessel are or will be allocated to the cost of the purchased vessels on a pro rata basis.</w:t>
      </w:r>
    </w:p>
    <w:p>
      <w:pPr>
        <w:spacing w:after="0" w:line="4"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During the year ended December 31, 2008 four of the five vessels with an intangible asset amount of $34,867 were purchased by the Company. The remaining vessel with a related intangible asset of $7,840 is expected to be delivered to the Company in July 2009.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Derivative Instruments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value of derivative financial instruments contracted by the Company is presented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bunker cost hedging instruments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3"/>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Fair value of interest rate swap hedging instruments – current and non current portions</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(47,041)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(47,041)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73"/>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at December 31, 2008, none of the Company’s derivative instruments qualify for hedge accounting. In the years ended December 31, 2007 and 2006 the net gains recognised in earnings during the period for bunker derivative instruments that qualified as cash flow hedging instruments amounted to $3,083 and $5,499 respectively.</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During 2008 the Company has entered into certain derivative interest rate agreements to fix the interest rate on debt drawn or anticipated to be drawn under its credit facility. A total of $580,000 of anticipated core debt has been swapped into fixed rate debt at a weighted average rate of 3.59%, with details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720" w:type="dxa"/>
            <w:vAlign w:val="bottom"/>
            <w:gridSpan w:val="5"/>
          </w:tcPr>
          <w:p>
            <w:pPr>
              <w:spacing w:after="0"/>
              <w:rPr>
                <w:sz w:val="20"/>
                <w:szCs w:val="20"/>
                <w:color w:val="auto"/>
              </w:rPr>
            </w:pPr>
            <w:r>
              <w:rPr>
                <w:rFonts w:ascii="Arial" w:cs="Arial" w:eastAsia="Arial" w:hAnsi="Arial"/>
                <w:sz w:val="14"/>
                <w:szCs w:val="14"/>
                <w:b w:val="1"/>
                <w:bCs w:val="1"/>
                <w:color w:val="auto"/>
              </w:rPr>
              <w:t>Start Date</w:t>
            </w:r>
          </w:p>
        </w:tc>
        <w:tc>
          <w:tcPr>
            <w:tcW w:w="132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60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Notional Amount</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Fixed Rate %</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16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12, 2008</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March 17, 2013</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May 19, 2008</w:t>
            </w:r>
          </w:p>
        </w:tc>
        <w:tc>
          <w:tcPr>
            <w:tcW w:w="4480" w:type="dxa"/>
            <w:vAlign w:val="bottom"/>
            <w:gridSpan w:val="2"/>
          </w:tcPr>
          <w:p>
            <w:pPr>
              <w:ind w:left="1320"/>
              <w:spacing w:after="0"/>
              <w:rPr>
                <w:sz w:val="20"/>
                <w:szCs w:val="20"/>
                <w:color w:val="auto"/>
              </w:rPr>
            </w:pPr>
            <w:r>
              <w:rPr>
                <w:rFonts w:ascii="Arial" w:cs="Arial" w:eastAsia="Arial" w:hAnsi="Arial"/>
                <w:sz w:val="18"/>
                <w:szCs w:val="18"/>
                <w:color w:val="auto"/>
              </w:rPr>
              <w:t>March 17, 2013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w w:val="79"/>
              </w:rPr>
              <w:t>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20, 2008</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March 17, 2013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November 19, 2008</w:t>
            </w:r>
          </w:p>
        </w:tc>
        <w:tc>
          <w:tcPr>
            <w:tcW w:w="4480" w:type="dxa"/>
            <w:vAlign w:val="bottom"/>
            <w:gridSpan w:val="2"/>
          </w:tcPr>
          <w:p>
            <w:pPr>
              <w:ind w:left="1320"/>
              <w:spacing w:after="0"/>
              <w:rPr>
                <w:sz w:val="20"/>
                <w:szCs w:val="20"/>
                <w:color w:val="auto"/>
              </w:rPr>
            </w:pPr>
            <w:r>
              <w:rPr>
                <w:rFonts w:ascii="Arial" w:cs="Arial" w:eastAsia="Arial" w:hAnsi="Arial"/>
                <w:sz w:val="18"/>
                <w:szCs w:val="18"/>
                <w:color w:val="auto"/>
              </w:rPr>
              <w:t>September 17, 2013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w w:val="79"/>
              </w:rPr>
              <w:t>3.32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March 17, 2013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3.40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December 17, 2008</w:t>
            </w:r>
          </w:p>
        </w:tc>
        <w:tc>
          <w:tcPr>
            <w:tcW w:w="4480" w:type="dxa"/>
            <w:vAlign w:val="bottom"/>
            <w:gridSpan w:val="2"/>
          </w:tcPr>
          <w:p>
            <w:pPr>
              <w:ind w:left="1320"/>
              <w:spacing w:after="0"/>
              <w:rPr>
                <w:sz w:val="20"/>
                <w:szCs w:val="20"/>
                <w:color w:val="auto"/>
              </w:rPr>
            </w:pPr>
            <w:r>
              <w:rPr>
                <w:rFonts w:ascii="Arial" w:cs="Arial" w:eastAsia="Arial" w:hAnsi="Arial"/>
                <w:sz w:val="18"/>
                <w:szCs w:val="18"/>
                <w:color w:val="auto"/>
              </w:rPr>
              <w:t>December 17, 2016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w w:val="93"/>
              </w:rPr>
              <w:t>3.69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December 17, 2016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3.80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December 17, 2008</w:t>
            </w:r>
          </w:p>
        </w:tc>
        <w:tc>
          <w:tcPr>
            <w:tcW w:w="4480" w:type="dxa"/>
            <w:vAlign w:val="bottom"/>
            <w:gridSpan w:val="2"/>
          </w:tcPr>
          <w:p>
            <w:pPr>
              <w:ind w:left="1320"/>
              <w:spacing w:after="0"/>
              <w:rPr>
                <w:sz w:val="20"/>
                <w:szCs w:val="20"/>
                <w:color w:val="auto"/>
              </w:rPr>
            </w:pPr>
            <w:r>
              <w:rPr>
                <w:rFonts w:ascii="Arial" w:cs="Arial" w:eastAsia="Arial" w:hAnsi="Arial"/>
                <w:sz w:val="18"/>
                <w:szCs w:val="18"/>
                <w:color w:val="auto"/>
              </w:rPr>
              <w:t>March 17, 2013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5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w w:val="79"/>
              </w:rPr>
              <w:t>3.40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December 17, 2016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3.70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Arial" w:cs="Arial" w:eastAsia="Arial" w:hAnsi="Arial"/>
                <w:sz w:val="18"/>
                <w:szCs w:val="18"/>
                <w:color w:val="auto"/>
              </w:rPr>
              <w:t>July 15, 2009</w:t>
            </w:r>
          </w:p>
        </w:tc>
        <w:tc>
          <w:tcPr>
            <w:tcW w:w="4480" w:type="dxa"/>
            <w:vAlign w:val="bottom"/>
            <w:gridSpan w:val="2"/>
          </w:tcPr>
          <w:p>
            <w:pPr>
              <w:ind w:left="1320"/>
              <w:spacing w:after="0"/>
              <w:rPr>
                <w:sz w:val="20"/>
                <w:szCs w:val="20"/>
                <w:color w:val="auto"/>
              </w:rPr>
            </w:pPr>
            <w:r>
              <w:rPr>
                <w:rFonts w:ascii="Arial" w:cs="Arial" w:eastAsia="Arial" w:hAnsi="Arial"/>
                <w:sz w:val="18"/>
                <w:szCs w:val="18"/>
                <w:color w:val="auto"/>
              </w:rPr>
              <w:t>June 17, 2014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58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w w:val="79"/>
              </w:rPr>
              <w:t>3.80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4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October 29, 2015</w:t>
            </w:r>
          </w:p>
        </w:tc>
        <w:tc>
          <w:tcPr>
            <w:tcW w:w="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4.25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8"/>
              </w:rPr>
              <w:t>Total / Weighted average rate:</w:t>
            </w:r>
          </w:p>
        </w:tc>
        <w:tc>
          <w:tcPr>
            <w:tcW w:w="6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580,000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has a one time option to cancel the swap as of March 17, 2013</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2008, interest rate derivatives cover $542,100 outstanding credit facility</w:t>
      </w:r>
    </w:p>
    <w:p>
      <w:pPr>
        <w:spacing w:after="0" w:line="84"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As of December 31, 2008 the maximum length of time over which the entity is hedging its interest rate exposure is approximately eight years. In the year ended December 31, 2008 unrealised losses of $52,544 were recognised in earnings relating to derivative instruments, of which there was a $2,749 gain in the Predecessor period and a $55,293 loss in the Successor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tcPr>
          <w:p>
            <w:pPr>
              <w:jc w:val="center"/>
              <w:ind w:left="2592"/>
              <w:spacing w:after="0"/>
              <w:rPr>
                <w:sz w:val="20"/>
                <w:szCs w:val="20"/>
                <w:color w:val="auto"/>
              </w:rPr>
            </w:pPr>
            <w:r>
              <w:rPr>
                <w:rFonts w:ascii="Arial" w:cs="Arial" w:eastAsia="Arial" w:hAnsi="Arial"/>
                <w:sz w:val="18"/>
                <w:szCs w:val="18"/>
                <w:b w:val="1"/>
                <w:bCs w:val="1"/>
                <w:color w:val="auto"/>
                <w:w w:val="88"/>
              </w:rPr>
              <w:t>Global Ship Lease, Inc.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tcPr>
          <w:p>
            <w:pPr>
              <w:jc w:val="center"/>
              <w:ind w:left="2612"/>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20" w:type="dxa"/>
            <w:vAlign w:val="bottom"/>
          </w:tcPr>
          <w:p>
            <w:pPr>
              <w:jc w:val="center"/>
              <w:ind w:left="2612"/>
              <w:spacing w:after="0"/>
              <w:rPr>
                <w:sz w:val="20"/>
                <w:szCs w:val="20"/>
                <w:color w:val="auto"/>
              </w:rPr>
            </w:pPr>
            <w:r>
              <w:rPr>
                <w:rFonts w:ascii="Arial" w:cs="Arial" w:eastAsia="Arial" w:hAnsi="Arial"/>
                <w:sz w:val="18"/>
                <w:szCs w:val="18"/>
                <w:color w:val="auto"/>
                <w:w w:val="88"/>
              </w:rPr>
              <w:t>(Expressed in 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9.</w:t>
            </w:r>
          </w:p>
        </w:tc>
        <w:tc>
          <w:tcPr>
            <w:tcW w:w="79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Financing Costs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380" w:type="dxa"/>
            <w:vAlign w:val="bottom"/>
            <w:vMerge w:val="restart"/>
          </w:tcPr>
          <w:p>
            <w:pPr>
              <w:spacing w:after="0"/>
              <w:rPr>
                <w:sz w:val="17"/>
                <w:szCs w:val="17"/>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80" w:type="dxa"/>
            <w:vAlign w:val="bottom"/>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60" w:type="dxa"/>
            <w:vAlign w:val="bottom"/>
            <w:vMerge w:val="restart"/>
          </w:tcPr>
          <w:p>
            <w:pPr>
              <w:spacing w:after="0"/>
              <w:rPr>
                <w:sz w:val="20"/>
                <w:szCs w:val="20"/>
                <w:color w:val="auto"/>
              </w:rPr>
            </w:pPr>
          </w:p>
        </w:tc>
        <w:tc>
          <w:tcPr>
            <w:tcW w:w="7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Pr>
          <w:p>
            <w:pPr>
              <w:ind w:left="440"/>
              <w:spacing w:after="0"/>
              <w:rPr>
                <w:sz w:val="20"/>
                <w:szCs w:val="20"/>
                <w:color w:val="auto"/>
              </w:rPr>
            </w:pPr>
            <w:r>
              <w:rPr>
                <w:rFonts w:ascii="Arial" w:cs="Arial" w:eastAsia="Arial" w:hAnsi="Arial"/>
                <w:sz w:val="18"/>
                <w:szCs w:val="18"/>
                <w:color w:val="auto"/>
              </w:rPr>
              <w:t>Amortization expense included within interest expense (Predecessor)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 in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Pr>
          <w:p>
            <w:pPr>
              <w:ind w:left="440"/>
              <w:spacing w:after="0"/>
              <w:rPr>
                <w:sz w:val="20"/>
                <w:szCs w:val="20"/>
                <w:color w:val="auto"/>
              </w:rPr>
            </w:pPr>
            <w:r>
              <w:rPr>
                <w:rFonts w:ascii="Arial" w:cs="Arial" w:eastAsia="Arial" w:hAnsi="Arial"/>
                <w:sz w:val="18"/>
                <w:szCs w:val="18"/>
                <w:color w:val="auto"/>
              </w:rPr>
              <w:t>Purchase price adjustment (note3)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(5,391)</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expense included within interest expense (Successor)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3,657</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Intangible Liability – Charter Agreements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79"/>
              </w:rPr>
              <w:t>Successor</w:t>
            </w:r>
          </w:p>
        </w:tc>
        <w:tc>
          <w:tcPr>
            <w:tcW w:w="3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(note3)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28,023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in period</w:t>
            </w: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27,956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Intangible liabilities relate to management’s estimate of fair value of below-market charters at the date of the merger (note 1) on August 14, 2008. The intangible liabilities will be amortized for each vessel over the remaining life of the charter. The fair value was estimated by management based on its experience with regard to availability of similar vessels, costs to build new vessels and current market demand. The contracted lease rates were compared to the estimated current market lease rates for similar vessels. The estimated lease intangibles were computed by discounting the difference in the projected lease cash flows using a discount rate of 8.0% and the length of the charter as the relevant time period.</w:t>
      </w:r>
    </w:p>
    <w:p>
      <w:pPr>
        <w:spacing w:after="0" w:line="35"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Amortization of the intangible liabilities for the 12 initial vessels began on the date following the merger and for the four vessels delivered to the company in December 2008 on delivery to the Company. Amortization for the vessel due to be delivered in July 2009 will commence on delivery to the Company.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b w:val="1"/>
                <w:bCs w:val="1"/>
                <w:color w:val="auto"/>
                <w:w w:val="76"/>
              </w:rPr>
              <w:t>Successor</w:t>
            </w:r>
          </w:p>
        </w:tc>
        <w:tc>
          <w:tcPr>
            <w:tcW w:w="4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+ 0.75% to 1.10% (below)</w:t>
            </w:r>
          </w:p>
        </w:tc>
        <w:tc>
          <w:tcPr>
            <w:tcW w:w="21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4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current installments of long-term debt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(401,100)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542,100</w:t>
            </w:r>
          </w:p>
        </w:tc>
        <w:tc>
          <w:tcPr>
            <w:tcW w:w="44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established a $800,000 senior secured credit facility with Fortis Bank, Citibank, HSH Nordbank, Sumitomo Mitsui, KFW and DnB Nor Bank. The margin applicable on interest payable under the credit facility varies from 0.75% to 1.10% depending on the “leverage ratio”, which is the ratio of the balance outstanding on the credit facility to the aggregate market value of the vessels, as determined from time to time. The Company also pays a commitment fee of 0.25% per annum based on the undrawn portion of the credit facility, which amounted to $257,900 at December 31, 2008. Further to the amendment of the terms of the credit facility as described below and in note 21 “Subsequent events”, the credit facility amount will reduce commencing four years from the date of the closing of the facility, which was in December 2007 in 16 quarterly installments.</w:t>
      </w:r>
    </w:p>
    <w:p>
      <w:pPr>
        <w:spacing w:after="0" w:line="3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This credit facility is secured by, inter alia, first priority mortgages on each of the vessels in the security package, a pledge of shares of the vessel owning subsidiaries as well as assignments of earnings and insurances. The financial covenants within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 The credit facility also has a loan to value maintenance covenant of 75%.</w:t>
      </w:r>
    </w:p>
    <w:p>
      <w:pPr>
        <w:spacing w:after="0" w:line="62"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On February 10, 2009, the Company announced it had amended the terms of its $800,000 credit facility agreement. Further details are provided in note 21 “Subsequent events”.</w:t>
      </w:r>
    </w:p>
    <w:p>
      <w:pPr>
        <w:spacing w:after="0" w:line="248"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Other operating (income) expense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Other operating (income) expense is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5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1240" w:type="dxa"/>
            <w:vAlign w:val="bottom"/>
            <w:gridSpan w:val="2"/>
            <w:shd w:val="clear" w:color="auto" w:fill="CCEEFF"/>
          </w:tcPr>
          <w:p>
            <w:pPr>
              <w:ind w:left="1160"/>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Realized (gains) losses on bunker derivative instruments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160"/>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(11,908)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CMA CGM is presented as a related party as it was, until the merger, the parent company of Global Ship Lease, Inc. and at December 31, 2008 is a significant shareholder of the Company, owning certain Class A common shares representing a 23.9% voting interest in the Company and all 12,375,000 Class C common shares which converted to Class A common shares on January 1, 2009.</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Amounts due to CMA CGM companies are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Loan - 5.25% per annum ((a) below)</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Accrued related party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 below)</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5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520" w:type="dxa"/>
            <w:vAlign w:val="bottom"/>
            <w:tcBorders>
              <w:right w:val="single" w:sz="8" w:color="auto"/>
            </w:tcBorders>
          </w:tcPr>
          <w:p>
            <w:pPr>
              <w:spacing w:after="0"/>
              <w:rPr>
                <w:sz w:val="24"/>
                <w:szCs w:val="24"/>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179,455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restart"/>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 below)</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5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7980" w:type="dxa"/>
            <w:vAlign w:val="bottom"/>
            <w:gridSpan w:val="4"/>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958</w:t>
            </w:r>
          </w:p>
        </w:tc>
        <w:tc>
          <w:tcPr>
            <w:tcW w:w="520" w:type="dxa"/>
            <w:vAlign w:val="bottom"/>
            <w:tcBorders>
              <w:right w:val="single" w:sz="8" w:color="auto"/>
            </w:tcBorders>
          </w:tcPr>
          <w:p>
            <w:pPr>
              <w:spacing w:after="0"/>
              <w:rPr>
                <w:sz w:val="24"/>
                <w:szCs w:val="24"/>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right="140" w:hanging="446"/>
        <w:spacing w:after="0" w:line="253"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Under a shareholder’s loan agreement dated December 11, 2007, CMA CGM provided to the Predecessor a credit facility of $250,000. The amount of the loan outstanding on August 14, 2008 of $176,875 was cancelled upon completion of the merger (note 1). The loan was unsecured and bore interest at 5.25% per annum.</w:t>
      </w:r>
    </w:p>
    <w:p>
      <w:pPr>
        <w:ind w:left="900" w:right="240" w:hanging="446"/>
        <w:spacing w:after="0" w:line="323"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CMA CGM subsidiaries provide Global Ship Lease, Inc. and its subsidiaries with certain ship management services related to the operation of the Company’s fleet. The current account at December 31, 2008 and 2007 related to amounts payable by or recoverable from CMA CGM.</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Purchase Agreement</w:t>
      </w:r>
    </w:p>
    <w:p>
      <w:pPr>
        <w:spacing w:after="0" w:line="9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As reported in note 2, the Company entered into an asset purchase agreement with CMA CGM on December 5, 2007. Pursuant to this agreement, during December 2007, the Company purchased 10 secondhand vessels for a total price of $385,000 and in January 2008, the Company purchased two newly built vessels for a total price of $188,000. In December 2008 the Company purchased four vessels for a total price of $354,780 of which $99,000 was prepaid by virtue of the 12,375,000 Class C common shares in the Company issued to CMA CGM in the merger (note 3).</w:t>
      </w:r>
    </w:p>
    <w:p>
      <w:pPr>
        <w:spacing w:after="0" w:line="32"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Under the asset purchase agreement, the Company is committed, subject to financing, to purchasing a further vessel from CMA CGM for a price of $82,000, with an expected purchase date of July 2009.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jc w:val="both"/>
        <w:ind w:left="460" w:right="340"/>
        <w:spacing w:after="0" w:line="298" w:lineRule="auto"/>
        <w:rPr>
          <w:sz w:val="20"/>
          <w:szCs w:val="20"/>
          <w:color w:val="auto"/>
        </w:rPr>
      </w:pPr>
      <w:r>
        <w:rPr>
          <w:rFonts w:ascii="Arial" w:cs="Arial" w:eastAsia="Arial" w:hAnsi="Arial"/>
          <w:sz w:val="16"/>
          <w:szCs w:val="16"/>
          <w:color w:val="auto"/>
        </w:rPr>
        <w:t>All 16 vessels owned during the period were time chartered to CMA CGM. Of the three vessels due to be delivered during 2009 to 2010, one has been chartered to CMA CGM. Under the time charters, hire is paid in advance and the daily rate is fixed for the duration of the charter. The charters are for remaining periods of between four and seventeen years. Of the $1,808,305 maximum future charter hire receivable for the total fleet set out in note 14, $1,665,113 relates to the 17 ships chartered or to be chartered to CMA CGM (including the vessel due for delivery).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Related Party Transactions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Ship Management Agreement</w:t>
      </w:r>
    </w:p>
    <w:p>
      <w:pPr>
        <w:spacing w:after="0" w:line="96"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The Company outsources day to day technical management of its vessels to a ship manager that is closely supervised by the Company’s own staff. The ship manager for the initial and contracted fleet (excluding the two vessels to be purchased from German interests) is CMA Ships Ltd, a wholly owned subsidiary of CMA CGM. CMA CGM guarantees the performance of all services and any payment due to the Company by the ship manager pursuant to the ship management agreements. The ship management agreements are for a period of three years from the date of delivery of the vessels to Global Ship Lease, Inc. and its subsidiaries, although they can be terminated early by the Company in certain circumstances.</w:t>
      </w:r>
    </w:p>
    <w:p>
      <w:pPr>
        <w:spacing w:after="0" w:line="34" w:lineRule="exact"/>
        <w:rPr>
          <w:rFonts w:ascii="Arial" w:cs="Arial" w:eastAsia="Arial" w:hAnsi="Arial"/>
          <w:sz w:val="18"/>
          <w:szCs w:val="18"/>
          <w:color w:val="auto"/>
        </w:rPr>
      </w:pPr>
    </w:p>
    <w:p>
      <w:pPr>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Company pays CMA Ships an annual management fee of $114 per vessel and reimburses costs incurred on its behalf mainly being for the provision of crew and lubricating oils and routine maintenance. Such reimbursement is subject to a cap of between $5.4 and $8.8 per day depending on the vessel. The impact of the cap is determined quarterly and for the fleet as a whole. Ship management fees expensed for the year ended December 31, 2008 amounted to $848 for the Successor period and $528 for the Predecessor period (2007: $49, 2006: $nil).</w:t>
      </w:r>
    </w:p>
    <w:p>
      <w:pPr>
        <w:spacing w:after="0" w:line="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286" w:lineRule="exact"/>
        <w:rPr>
          <w:rFonts w:ascii="Arial" w:cs="Arial" w:eastAsia="Arial" w:hAnsi="Arial"/>
          <w:sz w:val="18"/>
          <w:szCs w:val="18"/>
          <w:color w:val="auto"/>
        </w:rPr>
      </w:pPr>
    </w:p>
    <w:p>
      <w:pPr>
        <w:ind w:left="460" w:right="8460" w:hanging="452"/>
        <w:spacing w:after="0" w:line="417" w:lineRule="auto"/>
        <w:tabs>
          <w:tab w:leader="none" w:pos="449" w:val="left"/>
        </w:tabs>
        <w:numPr>
          <w:ilvl w:val="0"/>
          <w:numId w:val="110"/>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60" w:right="80"/>
        <w:spacing w:after="0" w:line="259" w:lineRule="auto"/>
        <w:rPr>
          <w:rFonts w:ascii="Arial" w:cs="Arial" w:eastAsia="Arial" w:hAnsi="Arial"/>
          <w:sz w:val="15"/>
          <w:szCs w:val="15"/>
          <w:color w:val="auto"/>
        </w:rPr>
      </w:pPr>
      <w:r>
        <w:rPr>
          <w:rFonts w:ascii="Arial" w:cs="Arial" w:eastAsia="Arial" w:hAnsi="Arial"/>
          <w:sz w:val="18"/>
          <w:szCs w:val="18"/>
          <w:color w:val="auto"/>
        </w:rPr>
        <w:t>As reported in note 2, the Company has contracted to purchase a further vessel from CMA CGM at a cost of $82,000. In addition, the Company is committed to purchasing two vessels from German interests in the fourth quarter of 2010 for approximately $77,000 each. A deposit of 10% has been paid for these two vessels.</w:t>
      </w:r>
    </w:p>
    <w:p>
      <w:pPr>
        <w:spacing w:after="0" w:line="215"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60" w:right="80"/>
        <w:spacing w:after="0" w:line="298" w:lineRule="auto"/>
        <w:rPr>
          <w:rFonts w:ascii="Arial" w:cs="Arial" w:eastAsia="Arial" w:hAnsi="Arial"/>
          <w:sz w:val="15"/>
          <w:szCs w:val="15"/>
          <w:color w:val="auto"/>
        </w:rPr>
      </w:pPr>
      <w:r>
        <w:rPr>
          <w:rFonts w:ascii="Arial" w:cs="Arial" w:eastAsia="Arial" w:hAnsi="Arial"/>
          <w:sz w:val="16"/>
          <w:szCs w:val="16"/>
          <w:color w:val="auto"/>
        </w:rPr>
        <w:t>The Company has entered into long term charters for its vessels owned at December 31, 2008. The charter hire (including those relating to vessels due for delivery in 2009 and 2010), is paid in advance and the daily rate is fixed for the duration of the charter. The charters are for periods of between five and 17 years and the maximum annual charter hire receivable for the fleet of 16 vessels as at December 31, 2008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Fleet operated as at</w:t>
            </w:r>
          </w:p>
        </w:tc>
        <w:tc>
          <w:tcPr>
            <w:tcW w:w="5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Total fleet to</w:t>
            </w: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December 31, 2008</w:t>
            </w:r>
          </w:p>
        </w:tc>
        <w:tc>
          <w:tcPr>
            <w:tcW w:w="5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be operated</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64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144,347</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2010</w:t>
            </w: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2012</w:t>
            </w: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7"/>
              </w:rPr>
              <w:t>2013 and thereafter</w:t>
            </w:r>
          </w:p>
        </w:tc>
        <w:tc>
          <w:tcPr>
            <w:tcW w:w="6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938,891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1,145,087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1,515,990</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1,808,305</w:t>
            </w:r>
          </w:p>
        </w:tc>
        <w:tc>
          <w:tcPr>
            <w:tcW w:w="20" w:type="dxa"/>
            <w:vAlign w:val="bottom"/>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740" w:type="dxa"/>
            <w:vAlign w:val="bottom"/>
            <w:gridSpan w:val="2"/>
          </w:tcPr>
          <w:p>
            <w:pPr>
              <w:ind w:left="3500"/>
              <w:spacing w:after="0"/>
              <w:rPr>
                <w:sz w:val="20"/>
                <w:szCs w:val="20"/>
                <w:color w:val="auto"/>
              </w:rPr>
            </w:pPr>
            <w:r>
              <w:rPr>
                <w:rFonts w:ascii="Arial" w:cs="Arial" w:eastAsia="Arial" w:hAnsi="Arial"/>
                <w:sz w:val="18"/>
                <w:szCs w:val="18"/>
                <w:color w:val="auto"/>
              </w:rPr>
              <w:t>F-32</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63"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 in the table below includes (i) the elimination of the Containerized Transportation activity performed by the Predecessor up to August 14, 2008 and (ii) the IPO and merger costs expensed by the Predecessor.</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years ended December 31, 2008, 2007 and 2006 the activities can be analyzed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Period August 15 to</w:t>
            </w: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Period January 1 to August 14</w:t>
            </w:r>
          </w:p>
        </w:tc>
        <w:tc>
          <w:tcPr>
            <w:tcW w:w="200" w:type="dxa"/>
            <w:vAlign w:val="bottom"/>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18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4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79"/>
              </w:rPr>
              <w:t>Successor</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Predecessor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Time</w:t>
            </w: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Time</w:t>
            </w: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Time</w:t>
            </w: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Time</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Charter</w:t>
            </w:r>
          </w:p>
        </w:tc>
        <w:tc>
          <w:tcPr>
            <w:tcW w:w="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Charter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Adjustment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Charter</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Adjustment</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8"/>
              </w:rPr>
              <w:t>Charter</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Adjustment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55,883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57,955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2,909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332,186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335,095</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299,599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299,599</w:t>
            </w:r>
          </w:p>
        </w:tc>
        <w:tc>
          <w:tcPr>
            <w:tcW w:w="0" w:type="dxa"/>
            <w:vAlign w:val="bottom"/>
          </w:tcPr>
          <w:p>
            <w:pPr>
              <w:spacing w:after="0"/>
              <w:rPr>
                <w:sz w:val="1"/>
                <w:szCs w:val="1"/>
                <w:color w:val="auto"/>
              </w:rPr>
            </w:pPr>
          </w:p>
        </w:tc>
      </w:tr>
      <w:tr>
        <w:trPr>
          <w:trHeight w:val="464"/>
        </w:trPr>
        <w:tc>
          <w:tcPr>
            <w:tcW w:w="3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4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249,457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249,457</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213,143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4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11,904</w:t>
            </w: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17,893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18,074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23,219</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23,959</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22,628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11,902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12,163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16,119</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16,664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jc w:val="right"/>
              <w:spacing w:after="0"/>
              <w:rPr>
                <w:sz w:val="20"/>
                <w:szCs w:val="20"/>
                <w:color w:val="auto"/>
              </w:rPr>
            </w:pPr>
            <w:r>
              <w:rPr>
                <w:rFonts w:ascii="Arial" w:cs="Arial" w:eastAsia="Arial" w:hAnsi="Arial"/>
                <w:sz w:val="18"/>
                <w:szCs w:val="18"/>
                <w:color w:val="auto"/>
              </w:rPr>
              <w:t>3,712</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2,306</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3,814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17,421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17,751</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11,331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(2,341)</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(11,908)</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24,241</w:t>
            </w: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31,914</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4,174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36,088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1,692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303,253</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304,945</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251,858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251,858</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23,969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21,867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28,933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30,150</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47,741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47,741</w:t>
            </w:r>
          </w:p>
        </w:tc>
        <w:tc>
          <w:tcPr>
            <w:tcW w:w="0" w:type="dxa"/>
            <w:vAlign w:val="bottom"/>
          </w:tcPr>
          <w:p>
            <w:pPr>
              <w:spacing w:after="0"/>
              <w:rPr>
                <w:sz w:val="1"/>
                <w:szCs w:val="1"/>
                <w:color w:val="auto"/>
              </w:rPr>
            </w:pPr>
          </w:p>
        </w:tc>
      </w:tr>
      <w:tr>
        <w:trPr>
          <w:trHeight w:val="457"/>
        </w:trPr>
        <w:tc>
          <w:tcPr>
            <w:tcW w:w="3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424</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(3,842)</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(17,600)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(17,600)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(13,354)</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(15,064)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(15,064)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Realised and unrealised gain on</w:t>
            </w:r>
          </w:p>
        </w:tc>
        <w:tc>
          <w:tcPr>
            <w:tcW w:w="1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14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(55,293)</w:t>
            </w:r>
          </w:p>
        </w:tc>
        <w:tc>
          <w:tcPr>
            <w:tcW w:w="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2,749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2,749</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(expense) before income taxes</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(43,868)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16,682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16,796</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32,677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458"/>
        </w:trPr>
        <w:tc>
          <w:tcPr>
            <w:tcW w:w="31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4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 (expense)</w:t>
            </w:r>
          </w:p>
        </w:tc>
        <w:tc>
          <w:tcPr>
            <w:tcW w:w="14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(43,970)</w:t>
            </w: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16,682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16,776</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32,677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F-33</w:t>
            </w:r>
          </w:p>
        </w:tc>
        <w:tc>
          <w:tcPr>
            <w:tcW w:w="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60" w:right="100"/>
        <w:spacing w:after="0" w:line="254" w:lineRule="auto"/>
        <w:rPr>
          <w:rFonts w:ascii="Arial" w:cs="Arial" w:eastAsia="Arial" w:hAnsi="Arial"/>
          <w:sz w:val="18"/>
          <w:szCs w:val="18"/>
          <w:color w:val="auto"/>
        </w:rPr>
      </w:pPr>
      <w:r>
        <w:rPr>
          <w:rFonts w:ascii="Arial" w:cs="Arial" w:eastAsia="Arial" w:hAnsi="Arial"/>
          <w:sz w:val="18"/>
          <w:szCs w:val="18"/>
          <w:color w:val="auto"/>
        </w:rPr>
        <w:t>At December 31, 2008 the Company has three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and that Class B common share holders are not entitled to dividends for any period prior to the fourth quarter of 2008. The rights of holders of Class C common shares are identical to those of holders of Class A common shares, except that holders of Class C common shares are not entitled to receive any dividends. The Class C common shares converted into Class A common shares on a one-for-one basis on January 1, 2009.</w:t>
      </w:r>
    </w:p>
    <w:p>
      <w:pPr>
        <w:spacing w:after="0" w:line="63" w:lineRule="exact"/>
        <w:rPr>
          <w:rFonts w:ascii="Arial" w:cs="Arial" w:eastAsia="Arial" w:hAnsi="Arial"/>
          <w:sz w:val="18"/>
          <w:szCs w:val="18"/>
          <w:color w:val="auto"/>
        </w:rPr>
      </w:pPr>
    </w:p>
    <w:p>
      <w:pPr>
        <w:ind w:left="460" w:right="1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on August 14, 2011 and are required to be redeemed earlier using the proceeds of the exercise of any Public Warrants. The shares are redeemed each time that proceeds from the exercise of warrants reach $5,000. As at December 31, 2008 total proceeds received from the exercise of warrants classified in the balance sheet as restricted cash were $3,026, and therefore none of the preferred shares were redeemed. Series A preferred shares are classified as a liability. The dividend that preferred shares holders are entitled to receive quarterly is presented as part of interest expense.</w:t>
      </w:r>
    </w:p>
    <w:p>
      <w:pPr>
        <w:spacing w:after="0" w:line="34" w:lineRule="exact"/>
        <w:rPr>
          <w:rFonts w:ascii="Arial" w:cs="Arial" w:eastAsia="Arial" w:hAnsi="Arial"/>
          <w:sz w:val="18"/>
          <w:szCs w:val="18"/>
          <w:color w:val="auto"/>
        </w:rPr>
      </w:pPr>
    </w:p>
    <w:p>
      <w:pPr>
        <w:ind w:left="460" w:right="20"/>
        <w:spacing w:after="0" w:line="298" w:lineRule="auto"/>
        <w:rPr>
          <w:rFonts w:ascii="Arial" w:cs="Arial" w:eastAsia="Arial" w:hAnsi="Arial"/>
          <w:sz w:val="18"/>
          <w:szCs w:val="18"/>
          <w:color w:val="auto"/>
        </w:rPr>
      </w:pPr>
      <w:r>
        <w:rPr>
          <w:rFonts w:ascii="Arial" w:cs="Arial" w:eastAsia="Arial" w:hAnsi="Arial"/>
          <w:sz w:val="16"/>
          <w:szCs w:val="16"/>
          <w:color w:val="auto"/>
        </w:rPr>
        <w:t>In addition to the Class A, B and C common shares and the Series A Preferred shares, there are 39,531 Public Warrants which have an expiry of August 14, 2010 and give the holder the right to purchase one Class A common share at a price of $6 per share and 5,500 Sponsor Warrants which have similar terms to the Public Warrants except that the exercise must be on a cashless basis. Further, there are 6,188 Class A Warrants which expire on September 1, 2011 and give the holders the right to purchase one Class A common share at a price of $9.25 per share.</w:t>
      </w:r>
    </w:p>
    <w:p>
      <w:pPr>
        <w:spacing w:after="0" w:line="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On September 30, 2008 500,102 Public Warrants were exercised at a price of $6 each and 500,102 Class A common shares issued.</w:t>
      </w:r>
    </w:p>
    <w:p>
      <w:pPr>
        <w:spacing w:after="0" w:line="90" w:lineRule="exact"/>
        <w:rPr>
          <w:rFonts w:ascii="Arial" w:cs="Arial" w:eastAsia="Arial" w:hAnsi="Arial"/>
          <w:sz w:val="18"/>
          <w:szCs w:val="18"/>
          <w:color w:val="auto"/>
        </w:rPr>
      </w:pPr>
    </w:p>
    <w:p>
      <w:pPr>
        <w:ind w:left="460" w:right="520"/>
        <w:spacing w:after="0" w:line="268" w:lineRule="auto"/>
        <w:rPr>
          <w:rFonts w:ascii="Arial" w:cs="Arial" w:eastAsia="Arial" w:hAnsi="Arial"/>
          <w:sz w:val="18"/>
          <w:szCs w:val="18"/>
          <w:color w:val="auto"/>
        </w:rPr>
      </w:pPr>
      <w:r>
        <w:rPr>
          <w:rFonts w:ascii="Arial" w:cs="Arial" w:eastAsia="Arial" w:hAnsi="Arial"/>
          <w:sz w:val="18"/>
          <w:szCs w:val="18"/>
          <w:color w:val="auto"/>
        </w:rPr>
        <w:t>On September 22, 2008 the Company’s Board declared a starting dividend of $0.23 per Class A common share that was paid on October 14, 2008 to Class A common shareholders and unit holders of record on October 2, 2008.</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On October 22, 2008, 4,400 Public Warrants were exercised at a price of $6 each and 4,400 Class A common shares issued.</w:t>
      </w:r>
    </w:p>
    <w:p>
      <w:pPr>
        <w:spacing w:after="0" w:line="9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On November 13, 2008 the Company’s Board declared a third quarter dividend of $0.23 per Class A common share that was paid on November 28, 2008 to Class A common shareholders and unit holders of record as of November 21,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60" w:right="100"/>
        <w:spacing w:after="0" w:line="253" w:lineRule="auto"/>
        <w:rPr>
          <w:rFonts w:ascii="Arial" w:cs="Arial" w:eastAsia="Arial" w:hAnsi="Arial"/>
          <w:sz w:val="18"/>
          <w:szCs w:val="18"/>
          <w:color w:val="auto"/>
        </w:rPr>
      </w:pPr>
      <w:r>
        <w:rPr>
          <w:rFonts w:ascii="Arial" w:cs="Arial" w:eastAsia="Arial" w:hAnsi="Arial"/>
          <w:sz w:val="18"/>
          <w:szCs w:val="18"/>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During the Predecessor period ended August 14, 2008, initial payments on derivatives of $4,730 were made (Nil for the Successor period ended December 31, 2008).</w:t>
      </w:r>
    </w:p>
    <w:p>
      <w:pPr>
        <w:spacing w:after="0" w:line="6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loss on interest rate derivatives for the year ended December 31, 2008 was $51,770.</w:t>
      </w:r>
    </w:p>
    <w:p>
      <w:pPr>
        <w:spacing w:after="0" w:line="59"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Effective January 1, 2008, the Company adopted SFAS No. 157, “Fair Value Measurements” (“SFAS No. 157”). The fair value hierarchy under SFAS No. 157 has three levels based on the reliability of the inputs used to determine fair value as follows: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1.</w:t>
      </w:r>
      <w:r>
        <w:rPr>
          <w:rFonts w:ascii="Arial" w:cs="Arial" w:eastAsia="Arial" w:hAnsi="Arial"/>
          <w:sz w:val="15"/>
          <w:szCs w:val="15"/>
          <w:color w:val="auto"/>
        </w:rPr>
        <w:t>Observable inputs such as quoted prices in active markets;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2.</w:t>
      </w:r>
      <w:r>
        <w:rPr>
          <w:rFonts w:ascii="Arial" w:cs="Arial" w:eastAsia="Arial" w:hAnsi="Arial"/>
          <w:sz w:val="15"/>
          <w:szCs w:val="15"/>
          <w:color w:val="auto"/>
        </w:rPr>
        <w:t>Inputs, other than the quoted prices in active markets, that are observable either directly or indirectly; and</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3.</w:t>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90" w:lineRule="exact"/>
        <w:rPr>
          <w:rFonts w:ascii="Arial" w:cs="Arial" w:eastAsia="Arial" w:hAnsi="Arial"/>
          <w:sz w:val="18"/>
          <w:szCs w:val="18"/>
          <w:color w:val="auto"/>
        </w:rPr>
      </w:pPr>
    </w:p>
    <w:p>
      <w:pPr>
        <w:ind w:left="460" w:right="16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2008 there was a liability of $47,041. The fair value of the Company’s derivative instruments is the estimated amount that the Company would receive or pay to terminate the agreements at the reporting date, taking into account interest rates at that date.</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60" w:right="320"/>
        <w:spacing w:after="0" w:line="332" w:lineRule="auto"/>
        <w:rPr>
          <w:rFonts w:ascii="Arial" w:cs="Arial" w:eastAsia="Arial" w:hAnsi="Arial"/>
          <w:sz w:val="18"/>
          <w:szCs w:val="18"/>
          <w:color w:val="auto"/>
        </w:rPr>
      </w:pPr>
      <w:r>
        <w:rPr>
          <w:rFonts w:ascii="Arial" w:cs="Arial" w:eastAsia="Arial" w:hAnsi="Arial"/>
          <w:sz w:val="16"/>
          <w:szCs w:val="16"/>
          <w:color w:val="auto"/>
        </w:rPr>
        <w:t>In August 2008, the Company’s Board adopted the 2008 Equity Incentive Plan (the “Plan”), which entitles employees, consultants and Directors of the Company and its subsidiaries to receive options, stock appreciation rights, stock grants, stock units and dividend equivalents.</w:t>
      </w:r>
    </w:p>
    <w:p>
      <w:pPr>
        <w:spacing w:after="0" w:line="4" w:lineRule="exact"/>
        <w:rPr>
          <w:rFonts w:ascii="Arial" w:cs="Arial" w:eastAsia="Arial" w:hAnsi="Arial"/>
          <w:sz w:val="18"/>
          <w:szCs w:val="18"/>
          <w:color w:val="auto"/>
        </w:rPr>
      </w:pPr>
    </w:p>
    <w:p>
      <w:pPr>
        <w:ind w:left="460" w:right="40"/>
        <w:spacing w:after="0" w:line="306" w:lineRule="auto"/>
        <w:rPr>
          <w:rFonts w:ascii="Arial" w:cs="Arial" w:eastAsia="Arial" w:hAnsi="Arial"/>
          <w:sz w:val="18"/>
          <w:szCs w:val="18"/>
          <w:color w:val="auto"/>
        </w:rPr>
      </w:pPr>
      <w:r>
        <w:rPr>
          <w:rFonts w:ascii="Arial" w:cs="Arial" w:eastAsia="Arial" w:hAnsi="Arial"/>
          <w:sz w:val="16"/>
          <w:szCs w:val="16"/>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w:t>
      </w:r>
    </w:p>
    <w:p>
      <w:pPr>
        <w:spacing w:after="0" w:line="25" w:lineRule="exact"/>
        <w:rPr>
          <w:rFonts w:ascii="Arial" w:cs="Arial" w:eastAsia="Arial" w:hAnsi="Arial"/>
          <w:sz w:val="18"/>
          <w:szCs w:val="18"/>
          <w:color w:val="auto"/>
        </w:rPr>
      </w:pPr>
    </w:p>
    <w:p>
      <w:pPr>
        <w:ind w:left="460" w:right="620"/>
        <w:spacing w:after="0" w:line="268" w:lineRule="auto"/>
        <w:rPr>
          <w:rFonts w:ascii="Arial" w:cs="Arial" w:eastAsia="Arial" w:hAnsi="Arial"/>
          <w:sz w:val="18"/>
          <w:szCs w:val="18"/>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Share-based compensation (continued)</w:t>
      </w:r>
    </w:p>
    <w:p>
      <w:pPr>
        <w:spacing w:after="0" w:line="96"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On August 14, 2008 the Company granted a total of 780,000 restricted share units under the Plan to the Chief Executive Officer, Chief Financial Officer and Chief Commercial Officer. The shares vest over a period of three years; one third on the first anniversary of the merger, one third on the second anniversary and one third on the third anniversary.</w:t>
      </w:r>
    </w:p>
    <w:p>
      <w:pPr>
        <w:spacing w:after="0" w:line="59"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On November 12, 2008 the Company granted 80,000 restricted share units under the Plan to the Chief Technical Officer. The shares vest over a period of two years; half on the first anniversary of the merger and half on the second anniversary.</w:t>
      </w:r>
    </w:p>
    <w:p>
      <w:pPr>
        <w:spacing w:after="0" w:line="50" w:lineRule="exact"/>
        <w:rPr>
          <w:rFonts w:ascii="Arial" w:cs="Arial" w:eastAsia="Arial" w:hAnsi="Arial"/>
          <w:sz w:val="18"/>
          <w:szCs w:val="18"/>
          <w:color w:val="auto"/>
        </w:rPr>
      </w:pPr>
    </w:p>
    <w:p>
      <w:pPr>
        <w:ind w:left="460" w:right="400"/>
        <w:spacing w:after="0" w:line="268" w:lineRule="auto"/>
        <w:rPr>
          <w:rFonts w:ascii="Arial" w:cs="Arial" w:eastAsia="Arial" w:hAnsi="Arial"/>
          <w:sz w:val="18"/>
          <w:szCs w:val="18"/>
          <w:color w:val="auto"/>
        </w:rPr>
      </w:pPr>
      <w:r>
        <w:rPr>
          <w:rFonts w:ascii="Arial" w:cs="Arial" w:eastAsia="Arial" w:hAnsi="Arial"/>
          <w:sz w:val="18"/>
          <w:szCs w:val="18"/>
          <w:color w:val="auto"/>
        </w:rPr>
        <w:t>On November 12, 2008 the Company granted 37,671 restricted share units under the Plan to the Directors of the Company which vested on January 1, 2009.</w:t>
      </w:r>
    </w:p>
    <w:p>
      <w:pPr>
        <w:spacing w:after="0" w:line="50" w:lineRule="exact"/>
        <w:rPr>
          <w:rFonts w:ascii="Arial" w:cs="Arial" w:eastAsia="Arial" w:hAnsi="Arial"/>
          <w:sz w:val="18"/>
          <w:szCs w:val="18"/>
          <w:color w:val="auto"/>
        </w:rPr>
      </w:pPr>
    </w:p>
    <w:p>
      <w:pPr>
        <w:ind w:left="460" w:right="420"/>
        <w:spacing w:after="0" w:line="268" w:lineRule="auto"/>
        <w:rPr>
          <w:rFonts w:ascii="Arial" w:cs="Arial" w:eastAsia="Arial" w:hAnsi="Arial"/>
          <w:sz w:val="18"/>
          <w:szCs w:val="18"/>
          <w:color w:val="auto"/>
        </w:rPr>
      </w:pPr>
      <w:r>
        <w:rPr>
          <w:rFonts w:ascii="Arial" w:cs="Arial" w:eastAsia="Arial" w:hAnsi="Arial"/>
          <w:sz w:val="18"/>
          <w:szCs w:val="18"/>
          <w:color w:val="auto"/>
        </w:rPr>
        <w:t>The fair value of the restricted share units on issue is calculated by multiplying the number of share units by the share value at the grant date, which is discounted for dividends forfeited over the vesting period.</w:t>
      </w:r>
    </w:p>
    <w:p>
      <w:pPr>
        <w:spacing w:after="0" w:line="50" w:lineRule="exact"/>
        <w:rPr>
          <w:rFonts w:ascii="Arial" w:cs="Arial" w:eastAsia="Arial" w:hAnsi="Arial"/>
          <w:sz w:val="18"/>
          <w:szCs w:val="18"/>
          <w:color w:val="auto"/>
        </w:rPr>
      </w:pPr>
    </w:p>
    <w:p>
      <w:pPr>
        <w:ind w:left="460" w:right="400"/>
        <w:spacing w:after="0" w:line="268" w:lineRule="auto"/>
        <w:rPr>
          <w:rFonts w:ascii="Arial" w:cs="Arial" w:eastAsia="Arial" w:hAnsi="Arial"/>
          <w:sz w:val="18"/>
          <w:szCs w:val="18"/>
          <w:color w:val="auto"/>
        </w:rPr>
      </w:pPr>
      <w:r>
        <w:rPr>
          <w:rFonts w:ascii="Arial" w:cs="Arial" w:eastAsia="Arial" w:hAnsi="Arial"/>
          <w:sz w:val="18"/>
          <w:szCs w:val="18"/>
          <w:color w:val="auto"/>
        </w:rPr>
        <w:t>There were no other awards granted by the Company during this period. There were no share based compensation schemes in place in the predecessor periods, and therefore no comparatives are provided.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40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2007</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Granted – August 14, 2008</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w w:val="95"/>
              </w:rPr>
              <w:t>780,000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516"/>
              <w:spacing w:after="0"/>
              <w:rPr>
                <w:sz w:val="20"/>
                <w:szCs w:val="20"/>
                <w:color w:val="auto"/>
              </w:rPr>
            </w:pPr>
            <w:r>
              <w:rPr>
                <w:rFonts w:ascii="Arial" w:cs="Arial" w:eastAsia="Arial" w:hAnsi="Arial"/>
                <w:sz w:val="18"/>
                <w:szCs w:val="18"/>
                <w:color w:val="auto"/>
                <w:w w:val="85"/>
              </w:rPr>
              <w:t>7.37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Granted – November 12, 2008</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5"/>
              </w:rPr>
              <w:t>117,671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85"/>
              </w:rPr>
              <w:t>2.80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2008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897,671</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center"/>
              <w:ind w:left="516"/>
              <w:spacing w:after="0"/>
              <w:rPr>
                <w:sz w:val="20"/>
                <w:szCs w:val="20"/>
                <w:color w:val="auto"/>
              </w:rPr>
            </w:pPr>
            <w:r>
              <w:rPr>
                <w:rFonts w:ascii="Arial" w:cs="Arial" w:eastAsia="Arial" w:hAnsi="Arial"/>
                <w:sz w:val="18"/>
                <w:szCs w:val="18"/>
                <w:b w:val="1"/>
                <w:bCs w:val="1"/>
                <w:color w:val="auto"/>
                <w:w w:val="85"/>
              </w:rPr>
              <w:t>6.77</w:t>
            </w:r>
          </w:p>
        </w:tc>
        <w:tc>
          <w:tcPr>
            <w:tcW w:w="20" w:type="dxa"/>
            <w:vAlign w:val="bottom"/>
          </w:tcPr>
          <w:p>
            <w:pPr>
              <w:spacing w:after="0"/>
              <w:rPr>
                <w:sz w:val="18"/>
                <w:szCs w:val="18"/>
                <w:color w:val="auto"/>
              </w:rPr>
            </w:pPr>
          </w:p>
        </w:tc>
      </w:tr>
    </w:tbl>
    <w:p>
      <w:pPr>
        <w:spacing w:after="0" w:line="86"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The fair value at the grant dates are $7.37 for the grants on August 14, 2008 and $2.80 for the grants on November 12, 2008, both of which are the average closing prices for the common stock surrounding those dates. The share values are discounted by 10.75% (the same rate used to discount the Class C shares in the purchase price allocation) and for the estimated $0.23 quarterly dividend over the relevant vesting periods.</w:t>
      </w:r>
    </w:p>
    <w:p>
      <w:pPr>
        <w:spacing w:after="0" w:line="2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shares calculated thereon is recognized as compensation costs in the income statement over the vesting period. During the period August 14, 2008 to December 31, 2008, the Company recognized a total of $1,167 share based compensation costs (2007: Nil). As at December 31, 2008, there was a total of $3,363 unrecognized compensation costs relating to the above share based awards (2007: Nil). The remaining costs are expected to be recognized over a period of 32 months.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Risks associated with concentration</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rFonts w:ascii="Arial" w:cs="Arial" w:eastAsia="Arial" w:hAnsi="Arial"/>
          <w:sz w:val="18"/>
          <w:szCs w:val="18"/>
          <w:color w:val="auto"/>
        </w:rPr>
      </w:pPr>
    </w:p>
    <w:p>
      <w:pPr>
        <w:ind w:left="900" w:right="340" w:hanging="446"/>
        <w:spacing w:after="0" w:line="357" w:lineRule="auto"/>
        <w:tabs>
          <w:tab w:leader="none" w:pos="90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There is a concentration of credit risk with respect to cash and cash equivalents at December 31, 2008 to the extent that substantially all of the amounts are deposited with one bank. However, the Company believes this risk is remote as the bank is a high credit quality financial institution.</w:t>
      </w:r>
    </w:p>
    <w:p>
      <w:pPr>
        <w:ind w:left="900" w:hanging="446"/>
        <w:spacing w:after="0"/>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currently derives 100% of its revenue from CMA CGM which is itself exposed to the slowdown in the container market industry.</w:t>
      </w:r>
    </w:p>
    <w:p>
      <w:pPr>
        <w:spacing w:after="0" w:line="113" w:lineRule="exact"/>
        <w:rPr>
          <w:rFonts w:ascii="Arial" w:cs="Arial" w:eastAsia="Arial" w:hAnsi="Arial"/>
          <w:sz w:val="16"/>
          <w:szCs w:val="16"/>
          <w:color w:val="auto"/>
        </w:rPr>
      </w:pPr>
    </w:p>
    <w:p>
      <w:pPr>
        <w:ind w:left="900" w:right="38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ability of the Company to fund its future acquisition of vessels is dependent upon the Company’s lenders to fulfil their obligations under the credit facility.</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60" w:right="40"/>
        <w:spacing w:after="0" w:line="255" w:lineRule="auto"/>
        <w:rPr>
          <w:rFonts w:ascii="Arial" w:cs="Arial" w:eastAsia="Arial" w:hAnsi="Arial"/>
          <w:sz w:val="18"/>
          <w:szCs w:val="18"/>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 At December 31, 2008, there were 45,031,348 warrants to purchase Class A common shares outstanding, including 5,500,000 sponsor warrants (which must be exercised on a cashless basis), at an exercise price of $6, and there were 860,000 restricted stock units authorized as part of management’s equity incentive plan. As of December 31, 2008 only Class A and B common shares are participating securities.</w:t>
      </w:r>
    </w:p>
    <w:p>
      <w:pPr>
        <w:spacing w:after="0" w:line="61"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diluted weighted average number of Class A common shares outstanding as at December 31, 2008 is the same as the basic weighted average number of shares. As there is a loss in the period ended December 31, 2008 it is considered anti dilutive to include instruments that convert to Class A common shares.</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Class B</w:t>
      </w:r>
    </w:p>
    <w:p>
      <w:pPr>
        <w:spacing w:after="0" w:line="90" w:lineRule="exact"/>
        <w:rPr>
          <w:rFonts w:ascii="Arial" w:cs="Arial" w:eastAsia="Arial" w:hAnsi="Arial"/>
          <w:sz w:val="18"/>
          <w:szCs w:val="18"/>
          <w:color w:val="auto"/>
        </w:rPr>
      </w:pPr>
    </w:p>
    <w:p>
      <w:pPr>
        <w:ind w:left="460" w:right="60"/>
        <w:spacing w:after="0" w:line="332" w:lineRule="auto"/>
        <w:rPr>
          <w:rFonts w:ascii="Arial" w:cs="Arial" w:eastAsia="Arial" w:hAnsi="Arial"/>
          <w:sz w:val="18"/>
          <w:szCs w:val="18"/>
          <w:color w:val="auto"/>
        </w:rPr>
      </w:pPr>
      <w:r>
        <w:rPr>
          <w:rFonts w:ascii="Arial" w:cs="Arial" w:eastAsia="Arial" w:hAnsi="Arial"/>
          <w:sz w:val="16"/>
          <w:szCs w:val="16"/>
          <w:color w:val="auto"/>
        </w:rPr>
        <w:t>The Merger created 7,405,956 shares of Class B common shares. Class B common shareholders were not entitled to receive dividends in respect of income prior to the fourth quarter of 2008 and their dividend rights is be subordinated to those of holders of Class A common shares.</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left="900" w:right="100" w:hanging="446"/>
        <w:spacing w:after="0" w:line="288"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February 10, 2009 the Company announced it had amended the terms of its $800 million credit agreement. Under the amendment, the maximum permitted loan to value maintenance ratio will be increased to 100%, from 75% previously, applicable for test dates in the period April 30, 2009 to April 30, 2010. During this period, the Company will have no restrictions on its ability to distribute dividends unless the loan to value ratio exceeds 90%, at which point the Company will be required to place 50% of its quarterly cash available for distribution in a pledged account. The pledged account would be released back to the Company if loan to value falls back below 90% during a subsequent valuation period. As part of the amended facility, the Company has agreed to increase the margin of interest paid on the existing loan to value pricing grid by 50 basis points, and the grid has been extended to accommodate higher loan to value ratios. The facility will now bear an interest margin ranging from 1.25% to 2.75% over LIBOR, depending on loan to value. In addition, the commitment fee will increase to 0.50% from 0.25% and the maximum availability under the credit facility will begin to amortize from December 2011 rather than December 2012 previously.</w:t>
      </w:r>
    </w:p>
    <w:p>
      <w:pPr>
        <w:spacing w:after="0" w:line="38"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February 10, 2009, the Company announced a fourth quarter dividend of $0.23 per Class A common share, unit and Class B share that will be paid on March 5, 2009 to Class A common shareholders and unit holders and Class B shareholders of record as of February 20, 2009.</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April 29, 2009, the Company agreed a further amendment to the terms of its $800 million credit agreement in the light of recent significant falls in charter free market values of containerships. During the period from April 30, 2009 to June 30, 2009 there will be no new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valuations and the loan to value test will not be performed. Global Ship Lease, Inc. will not declare or pay any dividends to its common shareholders during the period and the facility will bear an interest margin of 2.75%. The Company is in active discussion with its bank group to agree a resolution to the loan to value maintenance covenant and amend the credit facility agreement to levels that Global Ship Lease, Inc. expects to be able to comply with in future periods.</w:t>
      </w:r>
    </w:p>
    <w:p>
      <w:pPr>
        <w:spacing w:after="0" w:line="62" w:lineRule="exact"/>
        <w:rPr>
          <w:sz w:val="20"/>
          <w:szCs w:val="20"/>
          <w:color w:val="auto"/>
        </w:rPr>
      </w:pPr>
    </w:p>
    <w:p>
      <w:pPr>
        <w:ind w:left="900" w:right="32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stated in note 16, the 12,375,000 Class C common shares held by CMA CGM converted on a one for one basis to Class A common shares on January 1, 2009.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8.1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b w:val="1"/>
                <w:bCs w:val="1"/>
                <w:color w:val="auto"/>
              </w:rPr>
              <w:t>LIST OF SUBSIDIARIES OF GLOBAL SHIP LEASE, INC.</w:t>
            </w:r>
          </w:p>
        </w:tc>
      </w:tr>
      <w:tr>
        <w:trPr>
          <w:trHeight w:val="353"/>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8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Global</w:t>
            </w:r>
          </w:p>
        </w:tc>
        <w:tc>
          <w:tcPr>
            <w:tcW w:w="2600" w:type="dxa"/>
            <w:vAlign w:val="bottom"/>
          </w:tcPr>
          <w:p>
            <w:pPr>
              <w:ind w:left="140"/>
              <w:spacing w:after="0" w:line="201" w:lineRule="exact"/>
              <w:rPr>
                <w:sz w:val="20"/>
                <w:szCs w:val="20"/>
                <w:color w:val="auto"/>
              </w:rPr>
            </w:pPr>
            <w:r>
              <w:rPr>
                <w:rFonts w:ascii="Arial" w:cs="Arial" w:eastAsia="Arial" w:hAnsi="Arial"/>
                <w:sz w:val="18"/>
                <w:szCs w:val="18"/>
                <w:color w:val="auto"/>
              </w:rPr>
              <w:t>Ship Lease Services Limited</w:t>
            </w:r>
          </w:p>
        </w:tc>
        <w:tc>
          <w:tcPr>
            <w:tcW w:w="3080" w:type="dxa"/>
            <w:vAlign w:val="bottom"/>
          </w:tcPr>
          <w:p>
            <w:pPr>
              <w:spacing w:after="0"/>
              <w:rPr>
                <w:sz w:val="17"/>
                <w:szCs w:val="17"/>
                <w:color w:val="auto"/>
              </w:rPr>
            </w:pPr>
          </w:p>
        </w:tc>
        <w:tc>
          <w:tcPr>
            <w:tcW w:w="1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United Kingdom</w:t>
            </w:r>
          </w:p>
        </w:tc>
        <w:tc>
          <w:tcPr>
            <w:tcW w:w="520" w:type="dxa"/>
            <w:vAlign w:val="bottom"/>
          </w:tcPr>
          <w:p>
            <w:pPr>
              <w:spacing w:after="0"/>
              <w:rPr>
                <w:sz w:val="17"/>
                <w:szCs w:val="17"/>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2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3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4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5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6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7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8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9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10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11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12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13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14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15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16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Global Ship Lease 17 Limited</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Cyprus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GSL Alcazar Inc.</w:t>
            </w:r>
          </w:p>
        </w:tc>
        <w:tc>
          <w:tcPr>
            <w:tcW w:w="30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9"/>
              </w:rPr>
              <w:t>Republic of the Marshall Islands</w:t>
            </w: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GSL Château d’If Inc.</w:t>
            </w:r>
          </w:p>
        </w:tc>
        <w:tc>
          <w:tcPr>
            <w:tcW w:w="30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w w:val="89"/>
              </w:rPr>
              <w:t>Republic of the Marshall Islands</w:t>
            </w:r>
          </w:p>
        </w:tc>
      </w:tr>
    </w:tbl>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17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Board of Directors of Global Ship Lease, Inc. (the “Corporation”) has adopted this Code of Business Conduct and Ethics (the “Code”) for all of the Corporation’s employees, directors, officers and agents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CONFLICTS OF INTEREST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conflict of interest occurs when an Employee’s private interests interfere, or even appear to interfere, with the interests of the Corporation as a whole. While it is not possible to describe every situation in which a conflict of interest may arise, Employees must never use or attempt to use their position with the Corporation to obtain improper personal benefits. Any Employee who is aware of a conflict of interest, or is concerned that a conflict might develop, should discuss the matter with the Audit Committee or counsel to the Corporation immediately.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CORPORATE OPPORTUNITIES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Employees owe a duty to advance the legitimate interests of the Corporation when the opportunities to do so arise. Employees may not take for themselves opportunities that are discovered through the use of corporate property, information or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RELATED PARTY TRANSACTIONS</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All transactions between the Corporation and any of its officers, directors and employees or their respective affiliates shall be on terms believed by the Corporation to be no less favorable than are available from unaffiliated third parties and such transactions will require prior written approval, in each instance by a majority of the Corporation’s uninterested “independent” directors, as defined in the New York Stock Exchange listing standards, or the members of the Corporation’s board of directors who do not have an interest in the transaction, in either case who had access, at the Corporation’s expense, to its attorneys or independent legal counsel.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CONFIDENTIALITY AND PRIVACY</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It is important that Employees protect the confidentiality of Corporation information. Employees may have access to proprietary and confidential information concerning the Corporation’s business, clients and suppliers. Confidential information includes such items as non-public information concerning the Corporation’s business, financial results and prospects and potential corporate transactions. Employees are required to keep such information confidential during employment as well as thereafter, and not to use, disclose, or communicate that confidential information other than in the course of employment. The consequences to the Corporation and the Employee concerned can be severe where there is unauthorized disclosure of any non-public, privileged or proprietary information.</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ensure the confidentiality of any personal information collected and to comply with applicable laws, any Employee in possession of non-public, personal information about the Corporation’s customers, potential customers or Employees must maintain the highest degree of confidentiality and must not disclose any personal information unless authorization is obtained.</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 HONESTY AND FAIR DEALING</w:t>
      </w:r>
    </w:p>
    <w:p>
      <w:pPr>
        <w:spacing w:after="0" w:line="9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Employees must endeavor to deal honestly, ethically and fairly with the Corporation’s customers, suppliers, competitors and employees. No Employee should take unfair advantage of anyone through manipulation, concealment, abuse of privileged information, misrepresentation of material facts, or any other unfair-dealing practice. Honest conduct is considered to be conduct that is free from fraud or deception. Ethical conduct is considered to be conduct conforming to accepted professional standards of conduct. Further, no Employee may take, directly or indirectly, any action to coerce, manipulate, mislead or fraudulently influence the Corporation’s independent auditors in the performance of their audit or review of the Corporation’s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PROTECTION AND PROPER USE OF COMPANY ASSETS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Corporation’s assets are only to be used for legitimate business purposes and only by authorized Employees or their designees. This applies to tangible assets (such as office equipment, telephone, copy machines, etc.) and intangible assets (such as trade secrets and confidential information). Employees have a responsibility to protect the Corporation’s assets from theft and loss and to ensure their efficient use. Theft, carelessness and waste have a direct impact on the Corporation’s profitability. If you become aware of theft, waste or misuse of the Corporation’s assets you should report this to your manager.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COMPLIANCE WITH LAWS, RULES AND REGULATIONS</w:t>
      </w:r>
    </w:p>
    <w:p>
      <w:pPr>
        <w:spacing w:after="0" w:line="9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It is the Corporation’s policy to comply with all applicable laws, rules and regulations. It is the personal responsibility of each Employee to adhere to the standards and restrictions imposed by those laws, rules and regulations, and in particular, those relating to accounting and auditing matters.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Any Employee who is unsure whether a situation violates any applicable law, rule, regulation or Corporation policy should contact the Corporation’s outside legal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SECURITIES TRADING</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public company, the Corporation is subject to a number of laws concerning the sale and purchase of its shares and other publicly traded securities. Corporation policy prohibits Employees and their family members from trading securities while in possession of material, non-public information relating to the Corporation or any other company, including a customer or supplier that has a significant relationship with the Corporation. Information is “material” when there is a substantial likelihood that a reasonable investor would consider the information important in deciding whether to buy, hold or sell securities. In short, any information that could reasonably affect the price of securities is material. Information is considered to be “public” only when it has been released to the public through appropriate channels and enough time has elapsed to permit the investment market to absorb and evaluate the information. If an Employee’s and/or any of their family members have any doubt as to whether they possess material nonpublic information, they should contact either the Chief Executive Officer or the Chief Financial Officer, and the advice of legal counsel may be sought.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IX. DISCLOSURE</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Employees are responsible for ensuring that the disclosure in the Corporation’s periodic reports is full, fair, accurate, timely and understandable. In doing so, Employees shall take such action as is reasonably appropriate to: (i) establish and comply with disclosure controls and procedures and accounting and financial controls that are designed to ensure that material information relating to the Corporation is made known to them; (ii) confirm that the Corporation’s periodic reports comply with applicable law, rules and regulations; and (iii) ensure that information contained in the Corporation’s periodic reports fairly presents in all material respects the financial condition and results of operations of the Corporation. Employees will not knowingly: (i) make, or permit or direct another to make, materially false or misleading entries in the Corporation’s, or any of its subsidiary’s, financial statements or records; (ii) fail to correct materially false and misleading financial statements or records; (iii) sign, or permit another to sign, a document containing materially false and misleading information; or (iv) falsely respond, or fail to respond, to specific inquiries of the Corporation’s independent auditor or outside legal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PROCEDURES REGARDING WAIVERS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Because of the importance of the matters involved in this Code, waivers will be granted only in limited circumstances and where such circumstances would support a waiver. Waivers of the Code may only be made by the Audit Committee and will be disclosed by the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INTERNAL REPORTING AND WHISTLEBLOWER POLICY</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Employees shall take all appropriate action to stop any known misconduct by fellow Employees or other Corporation personnel that violate this Code. Employees shall report any known or suspected misconduct to the Chairman of the Audit Committee or the Corporation’s outside legal counsel. This requirement of all Employees is designed to provide a channel of communication for Employees and others who have concerns about the conduct of the Corporation or any of its Employees, including with respect to the Corporation’s accounting controls or auditing matters. The Corporation will not retaliate or allow retaliation for reports made in good faith.</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Any Employee may report to the Audit Committee openly, confidentially or anonymously any accounting allegation or legal allegation or report of a retaliatory act. Accounting allegations, legal allegations and reports of a retaliatory act can be made in writing to Global Ship Lease, Inc., Attn: Audit Committee, Global Ship Lease Services Limited, 10 Greycoat Place, London SW1P 1SB. Such reports can also be made directly to management either (a) confidentially by contacting the Corporation’s Chief Financial Officer in writing or in person at Global Ship Lease, Inc., Attn: Chief Financial Officer, Global Ship Lease Services Limited, 10 Greycoat Place, London SW1P 1SB, or (b) by contacting the Chairman of the Audit Committee or the responsible partner at the Corporation’s outside counsel, as advised from time to time. Employees may make a report at this number without divulging their name. The information in the report will be provided to management or, if requested by the individual making the report, the Audit Committee as promptly as practicable. The Corporation strictly prohibits any retaliation for good faith reporting of a possible violation of law, ethics or Corporation policy, no matter whom the report concerns.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June 25,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June 25,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2008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June 25,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2008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June 25,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of Global Ship Lease, Inc. of our reports dated June 19, 2009 relating to the combined financial statements of Global Ship Lease, Inc., and its Predecessor, which appears in the Annual Report to Shareholders, which is incorporated in this Annual Report on Form 20-F.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1)"/>
      <w:numFmt w:val="lowerRoman"/>
      <w:start w:val="2"/>
    </w:lvl>
  </w:abstractNum>
  <w:abstractNum w:abstractNumId="7">
    <w:nsid w:val="5FF87E05"/>
    <w:multiLevelType w:val="hybridMultilevel"/>
    <w:lvl w:ilvl="0">
      <w:lvlJc w:val="left"/>
      <w:lvlText w:val="(%1)"/>
      <w:numFmt w:val="decimal"/>
      <w:start w:val="1"/>
    </w:lvl>
  </w:abstractNum>
  <w:abstractNum w:abstractNumId="8">
    <w:nsid w:val="2F305DEF"/>
    <w:multiLevelType w:val="hybridMultilevel"/>
    <w:lvl w:ilvl="0">
      <w:lvlJc w:val="left"/>
      <w:lvlText w:val="(%1)"/>
      <w:numFmt w:val="decimal"/>
      <w:start w:val="2"/>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
      <w:numFmt w:val="bullet"/>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1)"/>
      <w:numFmt w:val="decimal"/>
      <w:start w:val="2"/>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1)"/>
      <w:numFmt w:val="decimal"/>
      <w:start w:val="2"/>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1)"/>
      <w:numFmt w:val="decimal"/>
      <w:start w:val="2"/>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1)"/>
      <w:numFmt w:val="lowerLetter"/>
      <w:start w:val="1"/>
    </w:lvl>
  </w:abstractNum>
  <w:abstractNum w:abstractNumId="60">
    <w:nsid w:val="46B7D447"/>
    <w:multiLevelType w:val="hybridMultilevel"/>
    <w:lvl w:ilvl="0">
      <w:lvlJc w:val="left"/>
      <w:lvlText w:val="(%1)"/>
      <w:numFmt w:val="lowerLetter"/>
      <w:start w:val="2"/>
    </w:lvl>
  </w:abstractNum>
  <w:abstractNum w:abstractNumId="61">
    <w:nsid w:val="4A2AC315"/>
    <w:multiLevelType w:val="hybridMultilevel"/>
    <w:lvl w:ilvl="0">
      <w:lvlJc w:val="left"/>
      <w:lvlText w:val="%1."/>
      <w:numFmt w:val="decimal"/>
      <w:start w:val="2"/>
    </w:lvl>
  </w:abstractNum>
  <w:abstractNum w:abstractNumId="62">
    <w:nsid w:val="39EE015C"/>
    <w:multiLevelType w:val="hybridMultilevel"/>
    <w:lvl w:ilvl="0">
      <w:lvlJc w:val="left"/>
      <w:lvlText w:val="(%1)"/>
      <w:numFmt w:val="decimal"/>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3"/>
    </w:lvl>
  </w:abstractNum>
  <w:abstractNum w:abstractNumId="65">
    <w:nsid w:val="43F18422"/>
    <w:multiLevelType w:val="hybridMultilevel"/>
    <w:lvl w:ilvl="0">
      <w:lvlJc w:val="left"/>
      <w:lvlText w:val="(%1)"/>
      <w:numFmt w:val="decimal"/>
      <w:start w:val="1"/>
    </w:lvl>
  </w:abstractNum>
  <w:abstractNum w:abstractNumId="66">
    <w:nsid w:val="60EF0119"/>
    <w:multiLevelType w:val="hybridMultilevel"/>
    <w:lvl w:ilvl="0">
      <w:lvlJc w:val="left"/>
      <w:lvlText w:val="%1."/>
      <w:numFmt w:val="decimal"/>
      <w:start w:val="3"/>
    </w:lvl>
  </w:abstractNum>
  <w:abstractNum w:abstractNumId="67">
    <w:nsid w:val="26F324BA"/>
    <w:multiLevelType w:val="hybridMultilevel"/>
    <w:lvl w:ilvl="0">
      <w:lvlJc w:val="left"/>
      <w:lvlText w:val="%1."/>
      <w:numFmt w:val="decimal"/>
      <w:start w:val="3"/>
    </w:lvl>
  </w:abstractNum>
  <w:abstractNum w:abstractNumId="68">
    <w:nsid w:val="7F01579B"/>
    <w:multiLevelType w:val="hybridMultilevel"/>
    <w:lvl w:ilvl="0">
      <w:lvlJc w:val="left"/>
      <w:lvlText w:val="%1"/>
      <w:numFmt w:val="decimal"/>
      <w:start w:val="1"/>
    </w:lvl>
    <w:lvl w:ilvl="1">
      <w:lvlJc w:val="left"/>
      <w:lvlText w:val="(%2)"/>
      <w:numFmt w:val="lowerLetter"/>
      <w:start w:val="1"/>
    </w:lvl>
  </w:abstractNum>
  <w:abstractNum w:abstractNumId="69">
    <w:nsid w:val="49DA307D"/>
    <w:multiLevelType w:val="hybridMultilevel"/>
    <w:lvl w:ilvl="0">
      <w:lvlJc w:val="left"/>
      <w:lvlText w:val="%1."/>
      <w:numFmt w:val="decimal"/>
      <w:start w:val="4"/>
    </w:lvl>
    <w:lvl w:ilvl="1">
      <w:lvlJc w:val="left"/>
      <w:lvlText w:val="(%2)"/>
      <w:numFmt w:val="lowerLetter"/>
      <w:start w:val="1"/>
    </w:lvl>
  </w:abstractNum>
  <w:abstractNum w:abstractNumId="70">
    <w:nsid w:val="7055A5F5"/>
    <w:multiLevelType w:val="hybridMultilevel"/>
    <w:lvl w:ilvl="0">
      <w:lvlJc w:val="left"/>
      <w:lvlText w:val="%1."/>
      <w:numFmt w:val="decimal"/>
      <w:start w:val="4"/>
    </w:lvl>
  </w:abstractNum>
  <w:abstractNum w:abstractNumId="71">
    <w:nsid w:val="5FB8370B"/>
    <w:multiLevelType w:val="hybridMultilevel"/>
    <w:lvl w:ilvl="0">
      <w:lvlJc w:val="left"/>
      <w:lvlText w:val="(%1)"/>
      <w:numFmt w:val="lowerLetter"/>
      <w:start w:val="2"/>
    </w:lvl>
  </w:abstractNum>
  <w:abstractNum w:abstractNumId="72">
    <w:nsid w:val="50801EE1"/>
    <w:multiLevelType w:val="hybridMultilevel"/>
    <w:lvl w:ilvl="0">
      <w:lvlJc w:val="left"/>
      <w:lvlText w:val="(%1)"/>
      <w:numFmt w:val="lowerLetter"/>
      <w:start w:val="3"/>
    </w:lvl>
  </w:abstractNum>
  <w:abstractNum w:abstractNumId="73">
    <w:nsid w:val="488AC1A"/>
    <w:multiLevelType w:val="hybridMultilevel"/>
    <w:lvl w:ilvl="0">
      <w:lvlJc w:val="left"/>
      <w:lvlText w:val="(%1)"/>
      <w:numFmt w:val="lowerLetter"/>
      <w:start w:val="4"/>
    </w:lvl>
  </w:abstractNum>
  <w:abstractNum w:abstractNumId="74">
    <w:nsid w:val="5FB8011C"/>
    <w:multiLevelType w:val="hybridMultilevel"/>
    <w:lvl w:ilvl="0">
      <w:lvlJc w:val="left"/>
      <w:lvlText w:val="(%1)"/>
      <w:numFmt w:val="lowerLetter"/>
      <w:start w:val="5"/>
    </w:lvl>
  </w:abstractNum>
  <w:abstractNum w:abstractNumId="75">
    <w:nsid w:val="6AA78F7F"/>
    <w:multiLevelType w:val="hybridMultilevel"/>
    <w:lvl w:ilvl="0">
      <w:lvlJc w:val="left"/>
      <w:lvlText w:val="(%1)"/>
      <w:numFmt w:val="lowerLetter"/>
      <w:start w:val="6"/>
    </w:lvl>
  </w:abstractNum>
  <w:abstractNum w:abstractNumId="76">
    <w:nsid w:val="7672BD23"/>
    <w:multiLevelType w:val="hybridMultilevel"/>
    <w:lvl w:ilvl="0">
      <w:lvlJc w:val="left"/>
      <w:lvlText w:val="(%1)"/>
      <w:numFmt w:val="lowerLetter"/>
      <w:start w:val="7"/>
    </w:lvl>
  </w:abstractNum>
  <w:abstractNum w:abstractNumId="77">
    <w:nsid w:val="6FC75AF8"/>
    <w:multiLevelType w:val="hybridMultilevel"/>
    <w:lvl w:ilvl="0">
      <w:lvlJc w:val="left"/>
      <w:lvlText w:val="%1."/>
      <w:numFmt w:val="decimal"/>
      <w:start w:val="4"/>
    </w:lvl>
    <w:lvl w:ilvl="1">
      <w:lvlJc w:val="left"/>
      <w:lvlText w:val="(%2)"/>
      <w:numFmt w:val="lowerLetter"/>
      <w:start w:val="7"/>
    </w:lvl>
  </w:abstractNum>
  <w:abstractNum w:abstractNumId="78">
    <w:nsid w:val="6A5F7029"/>
    <w:multiLevelType w:val="hybridMultilevel"/>
    <w:lvl w:ilvl="0">
      <w:lvlJc w:val="left"/>
      <w:lvlText w:val="(%1)"/>
      <w:numFmt w:val="lowerLetter"/>
      <w:start w:val="8"/>
    </w:lvl>
  </w:abstractNum>
  <w:abstractNum w:abstractNumId="79">
    <w:nsid w:val="7D5E18F8"/>
    <w:multiLevelType w:val="hybridMultilevel"/>
    <w:lvl w:ilvl="0">
      <w:lvlJc w:val="left"/>
      <w:lvlText w:val="(%1)"/>
      <w:numFmt w:val="lowerRoman"/>
      <w:start w:val="1"/>
    </w:lvl>
  </w:abstractNum>
  <w:abstractNum w:abstractNumId="80">
    <w:nsid w:val="5F3534A4"/>
    <w:multiLevelType w:val="hybridMultilevel"/>
    <w:lvl w:ilvl="0">
      <w:lvlJc w:val="left"/>
      <w:lvlText w:val="(%1)"/>
      <w:numFmt w:val="lowerLetter"/>
      <w:start w:val="10"/>
    </w:lvl>
  </w:abstractNum>
  <w:abstractNum w:abstractNumId="81">
    <w:nsid w:val="73A1821B"/>
    <w:multiLevelType w:val="hybridMultilevel"/>
    <w:lvl w:ilvl="0">
      <w:lvlJc w:val="left"/>
      <w:lvlText w:val="(%1)"/>
      <w:numFmt w:val="lowerLetter"/>
      <w:start w:val="11"/>
    </w:lvl>
    <w:lvl w:ilvl="1">
      <w:lvlJc w:val="left"/>
      <w:lvlText w:val="(%2)"/>
      <w:numFmt w:val="lowerLetter"/>
      <w:start w:val="9"/>
    </w:lvl>
  </w:abstractNum>
  <w:abstractNum w:abstractNumId="82">
    <w:nsid w:val="7DE67713"/>
    <w:multiLevelType w:val="hybridMultilevel"/>
    <w:lvl w:ilvl="0">
      <w:lvlJc w:val="left"/>
      <w:lvlText w:val="%1."/>
      <w:numFmt w:val="decimal"/>
      <w:start w:val="4"/>
    </w:lvl>
    <w:lvl w:ilvl="1">
      <w:lvlJc w:val="left"/>
      <w:lvlText w:val="(%2)"/>
      <w:numFmt w:val="lowerLetter"/>
      <w:start w:val="11"/>
    </w:lvl>
    <w:lvl w:ilvl="2">
      <w:lvlJc w:val="left"/>
      <w:lvlText w:val="(%3)"/>
      <w:numFmt w:val="lowerRoman"/>
      <w:start w:val="1"/>
    </w:lvl>
  </w:abstractNum>
  <w:abstractNum w:abstractNumId="83">
    <w:nsid w:val="555C55B5"/>
    <w:multiLevelType w:val="hybridMultilevel"/>
    <w:lvl w:ilvl="0">
      <w:lvlJc w:val="left"/>
      <w:lvlText w:val="%1."/>
      <w:numFmt w:val="decimal"/>
      <w:start w:val="4"/>
    </w:lvl>
    <w:lvl w:ilvl="1">
      <w:lvlJc w:val="left"/>
      <w:lvlText w:val="(%2)"/>
      <w:numFmt w:val="lowerLetter"/>
      <w:start w:val="11"/>
    </w:lvl>
    <w:lvl w:ilvl="2">
      <w:lvlJc w:val="left"/>
      <w:lvlText w:val="(%3)"/>
      <w:numFmt w:val="lowerLetter"/>
      <w:start w:val="35"/>
    </w:lvl>
  </w:abstractNum>
  <w:abstractNum w:abstractNumId="84">
    <w:nsid w:val="3FA62ACA"/>
    <w:multiLevelType w:val="hybridMultilevel"/>
    <w:lvl w:ilvl="0">
      <w:lvlJc w:val="left"/>
      <w:lvlText w:val="(%1)"/>
      <w:numFmt w:val="lowerLetter"/>
      <w:start w:val="13"/>
    </w:lvl>
  </w:abstractNum>
  <w:abstractNum w:abstractNumId="85">
    <w:nsid w:val="14FCE74E"/>
    <w:multiLevelType w:val="hybridMultilevel"/>
    <w:lvl w:ilvl="0">
      <w:lvlJc w:val="left"/>
      <w:lvlText w:val="(%1)"/>
      <w:numFmt w:val="lowerLetter"/>
      <w:start w:val="14"/>
    </w:lvl>
  </w:abstractNum>
  <w:abstractNum w:abstractNumId="86">
    <w:nsid w:val="6A3DD3E8"/>
    <w:multiLevelType w:val="hybridMultilevel"/>
    <w:lvl w:ilvl="0">
      <w:lvlJc w:val="left"/>
      <w:lvlText w:val="(%1)"/>
      <w:numFmt w:val="lowerLetter"/>
      <w:start w:val="15"/>
    </w:lvl>
  </w:abstractNum>
  <w:abstractNum w:abstractNumId="87">
    <w:nsid w:val="71C91298"/>
    <w:multiLevelType w:val="hybridMultilevel"/>
    <w:lvl w:ilvl="0">
      <w:lvlJc w:val="left"/>
      <w:lvlText w:val="(%1)"/>
      <w:numFmt w:val="lowerLetter"/>
      <w:start w:val="16"/>
    </w:lvl>
  </w:abstractNum>
  <w:abstractNum w:abstractNumId="88">
    <w:nsid w:val="9DAF632"/>
    <w:multiLevelType w:val="hybridMultilevel"/>
    <w:lvl w:ilvl="0">
      <w:lvlJc w:val="left"/>
      <w:lvlText w:val="%1."/>
      <w:numFmt w:val="decimal"/>
      <w:start w:val="4"/>
    </w:lvl>
  </w:abstractNum>
  <w:abstractNum w:abstractNumId="89">
    <w:nsid w:val="53299938"/>
    <w:multiLevelType w:val="hybridMultilevel"/>
    <w:lvl w:ilvl="0">
      <w:lvlJc w:val="left"/>
      <w:lvlText w:val="(%1)"/>
      <w:numFmt w:val="lowerLetter"/>
      <w:start w:val="17"/>
    </w:lvl>
  </w:abstractNum>
  <w:abstractNum w:abstractNumId="90">
    <w:nsid w:val="1FBFE8E0"/>
    <w:multiLevelType w:val="hybridMultilevel"/>
    <w:lvl w:ilvl="0">
      <w:lvlJc w:val="left"/>
      <w:lvlText w:val="(%1)"/>
      <w:numFmt w:val="lowerLetter"/>
      <w:start w:val="18"/>
    </w:lvl>
  </w:abstractNum>
  <w:abstractNum w:abstractNumId="91">
    <w:nsid w:val="5092CA79"/>
    <w:multiLevelType w:val="hybridMultilevel"/>
    <w:lvl w:ilvl="0">
      <w:lvlJc w:val="left"/>
      <w:lvlText w:val="(%1)"/>
      <w:numFmt w:val="lowerLetter"/>
      <w:start w:val="19"/>
    </w:lvl>
  </w:abstractNum>
  <w:abstractNum w:abstractNumId="92">
    <w:nsid w:val="1D545C4D"/>
    <w:multiLevelType w:val="hybridMultilevel"/>
    <w:lvl w:ilvl="0">
      <w:lvlJc w:val="left"/>
      <w:lvlText w:val="(%1)"/>
      <w:numFmt w:val="lowerLetter"/>
      <w:start w:val="20"/>
    </w:lvl>
  </w:abstractNum>
  <w:abstractNum w:abstractNumId="93">
    <w:nsid w:val="59ADEA3D"/>
    <w:multiLevelType w:val="hybridMultilevel"/>
    <w:lvl w:ilvl="0">
      <w:lvlJc w:val="left"/>
      <w:lvlText w:val="(%1)"/>
      <w:numFmt w:val="lowerLetter"/>
      <w:start w:val="21"/>
    </w:lvl>
  </w:abstractNum>
  <w:abstractNum w:abstractNumId="94">
    <w:nsid w:val="288F1A34"/>
    <w:multiLevelType w:val="hybridMultilevel"/>
    <w:lvl w:ilvl="0">
      <w:lvlJc w:val="left"/>
      <w:lvlText w:val="(%1)"/>
      <w:numFmt w:val="lowerRoman"/>
      <w:start w:val="5"/>
    </w:lvl>
  </w:abstractNum>
  <w:abstractNum w:abstractNumId="95">
    <w:nsid w:val="2A155DBC"/>
    <w:multiLevelType w:val="hybridMultilevel"/>
    <w:lvl w:ilvl="0">
      <w:lvlJc w:val="left"/>
      <w:lvlText w:val="%1."/>
      <w:numFmt w:val="decimal"/>
      <w:start w:val="4"/>
    </w:lvl>
  </w:abstractNum>
  <w:abstractNum w:abstractNumId="96">
    <w:nsid w:val="1D9F6E5F"/>
    <w:multiLevelType w:val="hybridMultilevel"/>
    <w:lvl w:ilvl="0">
      <w:lvlJc w:val="left"/>
      <w:lvlText w:val="(%1)"/>
      <w:numFmt w:val="lowerLetter"/>
      <w:start w:val="23"/>
    </w:lvl>
  </w:abstractNum>
  <w:abstractNum w:abstractNumId="97">
    <w:nsid w:val="97E1B4E"/>
    <w:multiLevelType w:val="hybridMultilevel"/>
    <w:lvl w:ilvl="0">
      <w:lvlJc w:val="left"/>
      <w:lvlText w:val="(%1)"/>
      <w:numFmt w:val="lowerRoman"/>
      <w:start w:val="10"/>
    </w:lvl>
  </w:abstractNum>
  <w:abstractNum w:abstractNumId="98">
    <w:nsid w:val="51088277"/>
    <w:multiLevelType w:val="hybridMultilevel"/>
    <w:lvl w:ilvl="0">
      <w:lvlJc w:val="left"/>
      <w:lvlText w:val="(%1)"/>
      <w:numFmt w:val="lowerLetter"/>
      <w:start w:val="25"/>
    </w:lvl>
  </w:abstractNum>
  <w:abstractNum w:abstractNumId="99">
    <w:nsid w:val="1CA0C5FA"/>
    <w:multiLevelType w:val="hybridMultilevel"/>
    <w:lvl w:ilvl="0">
      <w:lvlJc w:val="left"/>
      <w:lvlText w:val="(%1)"/>
      <w:numFmt w:val="lowerLetter"/>
      <w:start w:val="26"/>
    </w:lvl>
  </w:abstractNum>
  <w:abstractNum w:abstractNumId="100">
    <w:nsid w:val="53584BCB"/>
    <w:multiLevelType w:val="hybridMultilevel"/>
    <w:lvl w:ilvl="0">
      <w:lvlJc w:val="left"/>
      <w:lvlText w:val="%1."/>
      <w:numFmt w:val="decimal"/>
      <w:start w:val="4"/>
    </w:lvl>
    <w:lvl w:ilvl="1">
      <w:lvlJc w:val="left"/>
      <w:lvlText w:val="(%2)"/>
      <w:numFmt w:val="lowerLetter"/>
      <w:start w:val="26"/>
    </w:lvl>
  </w:abstractNum>
  <w:abstractNum w:abstractNumId="101">
    <w:nsid w:val="415E286C"/>
    <w:multiLevelType w:val="hybridMultilevel"/>
    <w:lvl w:ilvl="0">
      <w:lvlJc w:val="left"/>
      <w:lvlText w:val="%1."/>
      <w:numFmt w:val="decimal"/>
      <w:start w:val="4"/>
    </w:lvl>
    <w:lvl w:ilvl="1">
      <w:lvlJc w:val="left"/>
      <w:lvlText w:val="(%2)"/>
      <w:numFmt w:val="lowerLetter"/>
      <w:start w:val="26"/>
    </w:lvl>
  </w:abstractNum>
  <w:abstractNum w:abstractNumId="102">
    <w:nsid w:val="7C58FD05"/>
    <w:multiLevelType w:val="hybridMultilevel"/>
    <w:lvl w:ilvl="0">
      <w:lvlJc w:val="left"/>
      <w:lvlText w:val="%1."/>
      <w:numFmt w:val="decimal"/>
      <w:start w:val="7"/>
    </w:lvl>
  </w:abstractNum>
  <w:abstractNum w:abstractNumId="103">
    <w:nsid w:val="23D86AAC"/>
    <w:multiLevelType w:val="hybridMultilevel"/>
    <w:lvl w:ilvl="0">
      <w:lvlJc w:val="left"/>
      <w:lvlText w:val="%1."/>
      <w:numFmt w:val="decimal"/>
      <w:start w:val="8"/>
    </w:lvl>
  </w:abstractNum>
  <w:abstractNum w:abstractNumId="104">
    <w:nsid w:val="45E6D486"/>
    <w:multiLevelType w:val="hybridMultilevel"/>
    <w:lvl w:ilvl="0">
      <w:lvlJc w:val="left"/>
      <w:lvlText w:val="(%1)"/>
      <w:numFmt w:val="decimal"/>
      <w:start w:val="1"/>
    </w:lvl>
  </w:abstractNum>
  <w:abstractNum w:abstractNumId="105">
    <w:nsid w:val="5C10FE21"/>
    <w:multiLevelType w:val="hybridMultilevel"/>
    <w:lvl w:ilvl="0">
      <w:lvlJc w:val="left"/>
      <w:lvlText w:val="%1."/>
      <w:numFmt w:val="decimal"/>
      <w:start w:val="10"/>
    </w:lvl>
  </w:abstractNum>
  <w:abstractNum w:abstractNumId="106">
    <w:nsid w:val="E7FFA2B"/>
    <w:multiLevelType w:val="hybridMultilevel"/>
    <w:lvl w:ilvl="0">
      <w:lvlJc w:val="left"/>
      <w:lvlText w:val="%1."/>
      <w:numFmt w:val="decimal"/>
      <w:start w:val="12"/>
    </w:lvl>
  </w:abstractNum>
  <w:abstractNum w:abstractNumId="107">
    <w:nsid w:val="3C5991AA"/>
    <w:multiLevelType w:val="hybridMultilevel"/>
    <w:lvl w:ilvl="0">
      <w:lvlJc w:val="left"/>
      <w:lvlText w:val="%1."/>
      <w:numFmt w:val="decimal"/>
      <w:start w:val="13"/>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decimal"/>
      <w:start w:val="13"/>
    </w:lvl>
  </w:abstractNum>
  <w:abstractNum w:abstractNumId="110">
    <w:nsid w:val="39B7AAA2"/>
    <w:multiLevelType w:val="hybridMultilevel"/>
    <w:lvl w:ilvl="0">
      <w:lvlJc w:val="left"/>
      <w:lvlText w:val="%1."/>
      <w:numFmt w:val="decimal"/>
      <w:start w:val="15"/>
    </w:lvl>
  </w:abstractNum>
  <w:abstractNum w:abstractNumId="111">
    <w:nsid w:val="2B0D8DBE"/>
    <w:multiLevelType w:val="hybridMultilevel"/>
    <w:lvl w:ilvl="0">
      <w:lvlJc w:val="left"/>
      <w:lvlText w:val="%1."/>
      <w:numFmt w:val="decimal"/>
      <w:start w:val="16"/>
    </w:lvl>
  </w:abstractNum>
  <w:abstractNum w:abstractNumId="112">
    <w:nsid w:val="6C80EC70"/>
    <w:multiLevelType w:val="hybridMultilevel"/>
    <w:lvl w:ilvl="0">
      <w:lvlJc w:val="left"/>
      <w:lvlText w:val="%1."/>
      <w:numFmt w:val="decimal"/>
      <w:start w:val="17"/>
    </w:lvl>
  </w:abstractNum>
  <w:abstractNum w:abstractNumId="113">
    <w:nsid w:val="379E21B5"/>
    <w:multiLevelType w:val="hybridMultilevel"/>
    <w:lvl w:ilvl="0">
      <w:lvlJc w:val="left"/>
      <w:lvlText w:val="%1."/>
      <w:numFmt w:val="decimal"/>
      <w:start w:val="18"/>
    </w:lvl>
  </w:abstractNum>
  <w:abstractNum w:abstractNumId="114">
    <w:nsid w:val="69E373"/>
    <w:multiLevelType w:val="hybridMultilevel"/>
    <w:lvl w:ilvl="0">
      <w:lvlJc w:val="left"/>
      <w:lvlText w:val="%1."/>
      <w:numFmt w:val="decimal"/>
      <w:start w:val="19"/>
    </w:lvl>
    <w:lvl w:ilvl="1">
      <w:lvlJc w:val="left"/>
      <w:lvlText w:val="(%2)"/>
      <w:numFmt w:val="lowerRoman"/>
      <w:start w:val="1"/>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1)"/>
      <w:numFmt w:val="lowerLetter"/>
      <w:start w:val="4"/>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2019-12-11T03:35:58Z</dcterms:created>
  <dcterms:modified xsi:type="dcterms:W3CDTF">2019-12-11T03:35:58Z</dcterms:modified>
</cp:coreProperties>
</file>