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6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4556760</wp:posOffset>
            </wp:positionH>
            <wp:positionV relativeFrom="paragraph">
              <wp:posOffset>-7620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Ian J. Webber</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 number: 44 (0) 20 7869 8006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Fax number: 44 (0) 20 7869 8119</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232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Class A Common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2320" w:type="dxa"/>
            <w:vAlign w:val="bottom"/>
            <w:vMerge w:val="continue"/>
          </w:tcPr>
          <w:p>
            <w:pPr>
              <w:spacing w:after="0"/>
              <w:rPr>
                <w:sz w:val="15"/>
                <w:szCs w:val="15"/>
                <w:color w:val="auto"/>
              </w:rPr>
            </w:pPr>
          </w:p>
        </w:tc>
        <w:tc>
          <w:tcPr>
            <w:tcW w:w="498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Shares, par value of $0.01 per share</w:t>
            </w:r>
          </w:p>
        </w:tc>
        <w:tc>
          <w:tcPr>
            <w:tcW w:w="26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73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8"/>
              </w:rPr>
              <w:t>Depositary Shares, each of which represents a 1/100th interest in a share of</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73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8.75% Series B Cumulative Redeemable Perpetual</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0"/>
              </w:rPr>
              <w:t>Preferred Shares, par value $0.01 per share (and 8.75% Series B</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Cumulative Redeemable Perpetual Preferred Shares*)</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220" w:right="42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for trading, but only in connection with the registration of the Depositary Shares representing such 1/100th interest in shares of 8.75% Series B Cumulative Redeemable Perpetual Preferred Shares, pursuant to the requirements of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77" w:gutter="0" w:footer="0" w:header="0"/>
        </w:sectPr>
      </w:pPr>
    </w:p>
    <w:bookmarkStart w:id="1" w:name="page2"/>
    <w:bookmarkEnd w:id="1"/>
    <w:p>
      <w:pPr>
        <w:ind w:right="80" w:firstLine="456"/>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47,541,484 Class A Common Shares, par value of $0.01 per share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14,000 Series B Cumulative Redeemable Perpetual Preferred Shares,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0"/>
          <w:szCs w:val="20"/>
          <w:color w:val="auto"/>
        </w:rPr>
      </w:pPr>
    </w:p>
    <w:p>
      <w:pPr>
        <w:ind w:left="460"/>
        <w:spacing w:after="0" w:line="207" w:lineRule="exact"/>
        <w:tabs>
          <w:tab w:leader="none" w:pos="9060" w:val="left"/>
          <w:tab w:leader="none" w:pos="98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0"/>
          <w:szCs w:val="20"/>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left="2380"/>
        <w:spacing w:after="0" w:line="207" w:lineRule="exact"/>
        <w:tabs>
          <w:tab w:leader="none" w:pos="5040" w:val="left"/>
          <w:tab w:leader="none" w:pos="7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125" w:right="259" w:bottom="1440" w:gutter="0" w:footer="0" w:header="0"/>
        </w:sectPr>
      </w:pPr>
    </w:p>
    <w:p>
      <w:pPr>
        <w:spacing w:after="0" w:line="13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920"/>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7" w:lineRule="exact"/>
        <w:rPr>
          <w:sz w:val="20"/>
          <w:szCs w:val="20"/>
          <w:color w:val="auto"/>
        </w:rPr>
      </w:pPr>
    </w:p>
    <w:p>
      <w:pPr>
        <w:sectPr>
          <w:pgSz w:w="11900" w:h="16838" w:orient="portrait"/>
          <w:cols w:equalWidth="0" w:num="5">
            <w:col w:w="2300" w:space="80"/>
            <w:col w:w="160" w:space="280"/>
            <w:col w:w="5780" w:space="720"/>
            <w:col w:w="420" w:space="80"/>
            <w:col w:w="1580"/>
          </w:cols>
          <w:pgMar w:left="240" w:top="125" w:right="259" w:bottom="1440" w:gutter="0" w:footer="0" w:header="0"/>
          <w:type w:val="continuous"/>
        </w:sectPr>
      </w:pPr>
    </w:p>
    <w:p>
      <w:pPr>
        <w:ind w:right="220" w:firstLine="456"/>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30" w:lineRule="exact"/>
        <w:rPr>
          <w:sz w:val="20"/>
          <w:szCs w:val="20"/>
          <w:color w:val="auto"/>
        </w:rPr>
      </w:pPr>
    </w:p>
    <w:p>
      <w:pPr>
        <w:spacing w:after="0" w:line="207" w:lineRule="exact"/>
        <w:tabs>
          <w:tab w:leader="none" w:pos="98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Item 18  </w:t>
      </w:r>
      <w:r>
        <w:rPr>
          <w:rFonts w:ascii="MS PGothic" w:cs="MS PGothic" w:eastAsia="MS PGothic" w:hAnsi="MS PGothic"/>
          <w:sz w:val="17"/>
          <w:szCs w:val="17"/>
          <w:color w:val="auto"/>
        </w:rPr>
        <w:t>☐</w:t>
      </w:r>
    </w:p>
    <w:p>
      <w:pPr>
        <w:spacing w:after="0" w:line="150" w:lineRule="exact"/>
        <w:rPr>
          <w:sz w:val="20"/>
          <w:szCs w:val="20"/>
          <w:color w:val="auto"/>
        </w:rPr>
      </w:pPr>
    </w:p>
    <w:p>
      <w:pPr>
        <w:ind w:right="1280" w:firstLine="456"/>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ANNUAL REPORT ON FORM 20-F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20" w:type="dxa"/>
            <w:vAlign w:val="bottom"/>
            <w:gridSpan w:val="4"/>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4"/>
          </w:tcPr>
          <w:p>
            <w:pPr>
              <w:ind w:left="180"/>
              <w:spacing w:after="0"/>
              <w:rPr>
                <w:sz w:val="20"/>
                <w:szCs w:val="20"/>
                <w:color w:val="auto"/>
              </w:rPr>
            </w:pPr>
            <w:r>
              <w:rPr>
                <w:rFonts w:ascii="Arial" w:cs="Arial" w:eastAsia="Arial" w:hAnsi="Arial"/>
                <w:sz w:val="18"/>
                <w:szCs w:val="18"/>
                <w:color w:val="auto"/>
              </w:rPr>
              <w:t>Item 1.</w:t>
            </w:r>
          </w:p>
        </w:tc>
        <w:tc>
          <w:tcPr>
            <w:tcW w:w="4020" w:type="dxa"/>
            <w:vAlign w:val="bottom"/>
            <w:tcBorders>
              <w:bottom w:val="single" w:sz="8" w:color="0000EE"/>
            </w:tcBorders>
            <w:gridSpan w:val="4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Identity of Directors, Senior Management and Advisers</w:t>
              </w:r>
            </w:hyperlink>
          </w:p>
        </w:tc>
        <w:tc>
          <w:tcPr>
            <w:tcW w:w="5880" w:type="dxa"/>
            <w:vAlign w:val="bottom"/>
            <w:gridSpan w:val="6"/>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70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3.</w:t>
            </w:r>
          </w:p>
        </w:tc>
        <w:tc>
          <w:tcPr>
            <w:tcW w:w="122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Key Information</w:t>
              </w:r>
            </w:hyperlink>
          </w:p>
        </w:tc>
        <w:tc>
          <w:tcPr>
            <w:tcW w:w="8680" w:type="dxa"/>
            <w:vAlign w:val="bottom"/>
            <w:gridSpan w:val="4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 Selected Financial Data</w:t>
              </w:r>
            </w:hyperlink>
          </w:p>
        </w:tc>
        <w:tc>
          <w:tcPr>
            <w:tcW w:w="796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B. Capitalization and Indebtedness</w:t>
              </w:r>
            </w:hyperlink>
          </w:p>
        </w:tc>
        <w:tc>
          <w:tcPr>
            <w:tcW w:w="736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 Reasons for the Offer and 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D. Risk Factors</w:t>
              </w:r>
            </w:hyperlink>
          </w:p>
        </w:tc>
        <w:tc>
          <w:tcPr>
            <w:tcW w:w="2140" w:type="dxa"/>
            <w:vAlign w:val="bottom"/>
            <w:tcBorders>
              <w:top w:val="single" w:sz="8" w:color="0000EE"/>
            </w:tcBorders>
            <w:gridSpan w:val="31"/>
          </w:tcPr>
          <w:p>
            <w:pPr>
              <w:spacing w:after="0"/>
              <w:rPr>
                <w:sz w:val="17"/>
                <w:szCs w:val="17"/>
                <w:color w:val="auto"/>
              </w:rPr>
            </w:pPr>
          </w:p>
        </w:tc>
        <w:tc>
          <w:tcPr>
            <w:tcW w:w="662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4.</w:t>
            </w:r>
          </w:p>
        </w:tc>
        <w:tc>
          <w:tcPr>
            <w:tcW w:w="9900" w:type="dxa"/>
            <w:vAlign w:val="bottom"/>
            <w:gridSpan w:val="5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Information on the Company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0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A. History and Development of the Company</w:t>
              </w:r>
            </w:hyperlink>
          </w:p>
        </w:tc>
        <w:tc>
          <w:tcPr>
            <w:tcW w:w="66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B. Business Overview</w:t>
              </w:r>
            </w:hyperlink>
          </w:p>
        </w:tc>
        <w:tc>
          <w:tcPr>
            <w:tcW w:w="8280" w:type="dxa"/>
            <w:vAlign w:val="bottom"/>
            <w:gridSpan w:val="3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C. Organizational Structure</w:t>
              </w:r>
            </w:hyperlink>
          </w:p>
        </w:tc>
        <w:tc>
          <w:tcPr>
            <w:tcW w:w="7900" w:type="dxa"/>
            <w:vAlign w:val="bottom"/>
            <w:gridSpan w:val="2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 Property, Plants and Equipment</w:t>
              </w:r>
            </w:hyperlink>
          </w:p>
        </w:tc>
        <w:tc>
          <w:tcPr>
            <w:tcW w:w="738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5.</w:t>
            </w:r>
          </w:p>
        </w:tc>
        <w:tc>
          <w:tcPr>
            <w:tcW w:w="340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Operating and Financial Review and Prospects</w:t>
              </w:r>
            </w:hyperlink>
          </w:p>
        </w:tc>
        <w:tc>
          <w:tcPr>
            <w:tcW w:w="650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A. Operating Results</w:t>
              </w:r>
            </w:hyperlink>
          </w:p>
        </w:tc>
        <w:tc>
          <w:tcPr>
            <w:tcW w:w="8340" w:type="dxa"/>
            <w:vAlign w:val="bottom"/>
            <w:gridSpan w:val="3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B. Liquidity and Capital Resources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C. Research and Development</w:t>
              </w:r>
            </w:hyperlink>
          </w:p>
        </w:tc>
        <w:tc>
          <w:tcPr>
            <w:tcW w:w="340" w:type="dxa"/>
            <w:vAlign w:val="bottom"/>
            <w:tcBorders>
              <w:top w:val="single" w:sz="8" w:color="0000EE"/>
            </w:tcBorders>
            <w:gridSpan w:val="4"/>
          </w:tcPr>
          <w:p>
            <w:pPr>
              <w:spacing w:after="0"/>
              <w:rPr>
                <w:sz w:val="17"/>
                <w:szCs w:val="17"/>
                <w:color w:val="auto"/>
              </w:rPr>
            </w:pPr>
          </w:p>
        </w:tc>
        <w:tc>
          <w:tcPr>
            <w:tcW w:w="736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D. Trend Information</w:t>
              </w:r>
            </w:hyperlink>
          </w:p>
        </w:tc>
        <w:tc>
          <w:tcPr>
            <w:tcW w:w="8340" w:type="dxa"/>
            <w:vAlign w:val="bottom"/>
            <w:gridSpan w:val="3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 Off-Balance Sheet Arrangements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tcBorders>
              <w:bottom w:val="single" w:sz="8" w:color="0000EE"/>
            </w:tcBorders>
            <w:gridSpan w:val="40"/>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F. Tabular Disclosure of Contractual Obligations</w:t>
              </w:r>
            </w:hyperlink>
          </w:p>
        </w:tc>
        <w:tc>
          <w:tcPr>
            <w:tcW w:w="638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6.</w:t>
            </w:r>
          </w:p>
        </w:tc>
        <w:tc>
          <w:tcPr>
            <w:tcW w:w="338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Directors, Senior Management and Employees</w:t>
              </w:r>
            </w:hyperlink>
          </w:p>
        </w:tc>
        <w:tc>
          <w:tcPr>
            <w:tcW w:w="65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 Directors and Senior Management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B. Compensation</w:t>
              </w:r>
            </w:hyperlink>
          </w:p>
        </w:tc>
        <w:tc>
          <w:tcPr>
            <w:tcW w:w="1440" w:type="dxa"/>
            <w:vAlign w:val="bottom"/>
            <w:tcBorders>
              <w:top w:val="single" w:sz="8" w:color="0000EE"/>
            </w:tcBorders>
            <w:gridSpan w:val="24"/>
          </w:tcPr>
          <w:p>
            <w:pPr>
              <w:spacing w:after="0"/>
              <w:rPr>
                <w:sz w:val="17"/>
                <w:szCs w:val="17"/>
                <w:color w:val="auto"/>
              </w:rPr>
            </w:pPr>
          </w:p>
        </w:tc>
        <w:tc>
          <w:tcPr>
            <w:tcW w:w="720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 Board Practices</w:t>
              </w:r>
            </w:hyperlink>
          </w:p>
        </w:tc>
        <w:tc>
          <w:tcPr>
            <w:tcW w:w="8540" w:type="dxa"/>
            <w:vAlign w:val="bottom"/>
            <w:gridSpan w:val="4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 Employees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E. Share Ownership</w:t>
              </w:r>
            </w:hyperlink>
          </w:p>
        </w:tc>
        <w:tc>
          <w:tcPr>
            <w:tcW w:w="8440" w:type="dxa"/>
            <w:vAlign w:val="bottom"/>
            <w:gridSpan w:val="4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7.</w:t>
            </w:r>
          </w:p>
        </w:tc>
        <w:tc>
          <w:tcPr>
            <w:tcW w:w="3720" w:type="dxa"/>
            <w:vAlign w:val="bottom"/>
            <w:tcBorders>
              <w:bottom w:val="single" w:sz="8" w:color="0000EE"/>
            </w:tcBorders>
            <w:gridSpan w:val="4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Major Shareholders and Related Party Transactions</w:t>
              </w:r>
            </w:hyperlink>
          </w:p>
        </w:tc>
        <w:tc>
          <w:tcPr>
            <w:tcW w:w="61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A. Major Shareholders</w:t>
              </w:r>
            </w:hyperlink>
          </w:p>
        </w:tc>
        <w:tc>
          <w:tcPr>
            <w:tcW w:w="8240" w:type="dxa"/>
            <w:vAlign w:val="bottom"/>
            <w:gridSpan w:val="3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B. Related Party Transactions</w:t>
              </w:r>
            </w:hyperlink>
          </w:p>
        </w:tc>
        <w:tc>
          <w:tcPr>
            <w:tcW w:w="774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Financial Information</w:t>
              </w:r>
            </w:hyperlink>
          </w:p>
        </w:tc>
        <w:tc>
          <w:tcPr>
            <w:tcW w:w="8300" w:type="dxa"/>
            <w:vAlign w:val="bottom"/>
            <w:gridSpan w:val="3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0" w:type="dxa"/>
            <w:vAlign w:val="bottom"/>
            <w:tcBorders>
              <w:bottom w:val="single" w:sz="8" w:color="0000EE"/>
            </w:tcBorders>
            <w:gridSpan w:val="46"/>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A. Consolidated Statements and Other Financial Information</w:t>
              </w:r>
            </w:hyperlink>
          </w:p>
        </w:tc>
        <w:tc>
          <w:tcPr>
            <w:tcW w:w="55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B. Significant Changes</w:t>
              </w:r>
            </w:hyperlink>
          </w:p>
        </w:tc>
        <w:tc>
          <w:tcPr>
            <w:tcW w:w="8220" w:type="dxa"/>
            <w:vAlign w:val="bottom"/>
            <w:gridSpan w:val="3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9.</w:t>
            </w:r>
          </w:p>
        </w:tc>
        <w:tc>
          <w:tcPr>
            <w:tcW w:w="9900" w:type="dxa"/>
            <w:vAlign w:val="bottom"/>
            <w:gridSpan w:val="5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The Offer and Listing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10.</w:t>
            </w:r>
          </w:p>
        </w:tc>
        <w:tc>
          <w:tcPr>
            <w:tcW w:w="9900" w:type="dxa"/>
            <w:vAlign w:val="bottom"/>
            <w:gridSpan w:val="5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Additional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 Share Capital</w:t>
              </w:r>
            </w:hyperlink>
          </w:p>
        </w:tc>
        <w:tc>
          <w:tcPr>
            <w:tcW w:w="8220" w:type="dxa"/>
            <w:vAlign w:val="bottom"/>
            <w:gridSpan w:val="3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B. Memorandum and Articles of Association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 Material Contracts</w:t>
              </w:r>
            </w:hyperlink>
          </w:p>
        </w:tc>
        <w:tc>
          <w:tcPr>
            <w:tcW w:w="666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 Exchange Controls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E. Taxation</w:t>
              </w:r>
            </w:hyperlink>
          </w:p>
        </w:tc>
        <w:tc>
          <w:tcPr>
            <w:tcW w:w="760" w:type="dxa"/>
            <w:vAlign w:val="bottom"/>
            <w:tcBorders>
              <w:top w:val="single" w:sz="8" w:color="0000EE"/>
            </w:tcBorders>
            <w:gridSpan w:val="11"/>
          </w:tcPr>
          <w:p>
            <w:pPr>
              <w:spacing w:after="0"/>
              <w:rPr>
                <w:sz w:val="17"/>
                <w:szCs w:val="17"/>
                <w:color w:val="auto"/>
              </w:rPr>
            </w:pPr>
          </w:p>
        </w:tc>
        <w:tc>
          <w:tcPr>
            <w:tcW w:w="8300" w:type="dxa"/>
            <w:vAlign w:val="bottom"/>
            <w:gridSpan w:val="3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5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F. Dividends and Paying Agents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G. Statements by Experts</w:t>
              </w:r>
            </w:hyperlink>
          </w:p>
        </w:tc>
        <w:tc>
          <w:tcPr>
            <w:tcW w:w="480" w:type="dxa"/>
            <w:vAlign w:val="bottom"/>
            <w:tcBorders>
              <w:top w:val="single" w:sz="8" w:color="0000EE"/>
            </w:tcBorders>
            <w:gridSpan w:val="7"/>
          </w:tcPr>
          <w:p>
            <w:pPr>
              <w:spacing w:after="0"/>
              <w:rPr>
                <w:sz w:val="17"/>
                <w:szCs w:val="17"/>
                <w:color w:val="auto"/>
              </w:rPr>
            </w:pPr>
          </w:p>
        </w:tc>
        <w:tc>
          <w:tcPr>
            <w:tcW w:w="758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H. Documents on Display</w:t>
              </w:r>
            </w:hyperlink>
          </w:p>
        </w:tc>
        <w:tc>
          <w:tcPr>
            <w:tcW w:w="8020" w:type="dxa"/>
            <w:vAlign w:val="bottom"/>
            <w:gridSpan w:val="2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11.</w:t>
            </w:r>
          </w:p>
        </w:tc>
        <w:tc>
          <w:tcPr>
            <w:tcW w:w="9900" w:type="dxa"/>
            <w:vAlign w:val="bottom"/>
            <w:gridSpan w:val="5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12.</w:t>
            </w:r>
          </w:p>
        </w:tc>
        <w:tc>
          <w:tcPr>
            <w:tcW w:w="4360" w:type="dxa"/>
            <w:vAlign w:val="bottom"/>
            <w:tcBorders>
              <w:top w:val="single" w:sz="8" w:color="0000EE"/>
            </w:tcBorders>
            <w:gridSpan w:val="4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Securities Other than Equity Securities</w:t>
              </w:r>
            </w:hyperlink>
          </w:p>
        </w:tc>
        <w:tc>
          <w:tcPr>
            <w:tcW w:w="55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PART II</w:t>
              </w:r>
            </w:hyperlink>
          </w:p>
        </w:tc>
        <w:tc>
          <w:tcPr>
            <w:tcW w:w="6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13.</w:t>
            </w:r>
          </w:p>
        </w:tc>
        <w:tc>
          <w:tcPr>
            <w:tcW w:w="360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Defaults, Dividend Arrearages and Delinquencies</w:t>
              </w:r>
            </w:hyperlink>
          </w:p>
        </w:tc>
        <w:tc>
          <w:tcPr>
            <w:tcW w:w="630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14.</w:t>
            </w:r>
          </w:p>
        </w:tc>
        <w:tc>
          <w:tcPr>
            <w:tcW w:w="5620" w:type="dxa"/>
            <w:vAlign w:val="bottom"/>
            <w:tcBorders>
              <w:bottom w:val="single" w:sz="8" w:color="0000EE"/>
            </w:tcBorders>
            <w:gridSpan w:val="49"/>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Material Modifications to the Rights of Security Holders and Use of Proceeds</w:t>
              </w:r>
            </w:hyperlink>
          </w:p>
        </w:tc>
        <w:tc>
          <w:tcPr>
            <w:tcW w:w="42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15.</w:t>
            </w:r>
          </w:p>
        </w:tc>
        <w:tc>
          <w:tcPr>
            <w:tcW w:w="17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Controls and Procedures</w:t>
              </w:r>
            </w:hyperlink>
          </w:p>
        </w:tc>
        <w:tc>
          <w:tcPr>
            <w:tcW w:w="8120" w:type="dxa"/>
            <w:vAlign w:val="bottom"/>
            <w:gridSpan w:val="3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16A.</w:t>
            </w:r>
          </w:p>
        </w:tc>
        <w:tc>
          <w:tcPr>
            <w:tcW w:w="9900" w:type="dxa"/>
            <w:vAlign w:val="bottom"/>
            <w:gridSpan w:val="5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Audit Committee Financial Expert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24"/>
          </w:tcPr>
          <w:p>
            <w:pPr>
              <w:spacing w:after="0"/>
              <w:rPr>
                <w:sz w:val="17"/>
                <w:szCs w:val="17"/>
                <w:color w:val="auto"/>
              </w:rPr>
            </w:pPr>
          </w:p>
        </w:tc>
        <w:tc>
          <w:tcPr>
            <w:tcW w:w="7400" w:type="dxa"/>
            <w:vAlign w:val="bottom"/>
            <w:gridSpan w:val="2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16C.</w:t>
            </w:r>
          </w:p>
        </w:tc>
        <w:tc>
          <w:tcPr>
            <w:tcW w:w="9900" w:type="dxa"/>
            <w:vAlign w:val="bottom"/>
            <w:gridSpan w:val="5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Accountant Fees and Services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160" w:type="dxa"/>
            <w:vAlign w:val="bottom"/>
            <w:gridSpan w:val="15"/>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16D.</w:t>
            </w:r>
          </w:p>
        </w:tc>
        <w:tc>
          <w:tcPr>
            <w:tcW w:w="9900" w:type="dxa"/>
            <w:vAlign w:val="bottom"/>
            <w:gridSpan w:val="5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Exemptions from the Listing Standards for Audit Committees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0" w:type="dxa"/>
            <w:vAlign w:val="bottom"/>
            <w:gridSpan w:val="19"/>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48"/>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Purchases of Equity Securities by the Issuer and Affiliated Purchasers</w:t>
              </w:r>
            </w:hyperlink>
          </w:p>
        </w:tc>
        <w:tc>
          <w:tcPr>
            <w:tcW w:w="48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16F.</w:t>
            </w:r>
          </w:p>
        </w:tc>
        <w:tc>
          <w:tcPr>
            <w:tcW w:w="9900" w:type="dxa"/>
            <w:vAlign w:val="bottom"/>
            <w:gridSpan w:val="5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Change in Registrant’s Certifying Accountant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16G.</w:t>
            </w:r>
          </w:p>
        </w:tc>
        <w:tc>
          <w:tcPr>
            <w:tcW w:w="330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Corporate Governance</w:t>
              </w:r>
            </w:hyperlink>
          </w:p>
        </w:tc>
        <w:tc>
          <w:tcPr>
            <w:tcW w:w="66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0" w:type="dxa"/>
            <w:vAlign w:val="bottom"/>
            <w:gridSpan w:val="3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16H.</w:t>
            </w:r>
          </w:p>
        </w:tc>
        <w:tc>
          <w:tcPr>
            <w:tcW w:w="9900" w:type="dxa"/>
            <w:vAlign w:val="bottom"/>
            <w:gridSpan w:val="5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Mine Safety Disclosure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PART III</w:t>
              </w:r>
            </w:hyperlink>
          </w:p>
        </w:tc>
        <w:tc>
          <w:tcPr>
            <w:tcW w:w="6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40" w:type="dxa"/>
            <w:vAlign w:val="bottom"/>
            <w:gridSpan w:val="3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17.</w:t>
            </w:r>
          </w:p>
        </w:tc>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Financial Statements</w:t>
              </w:r>
            </w:hyperlink>
          </w:p>
        </w:tc>
        <w:tc>
          <w:tcPr>
            <w:tcW w:w="8340" w:type="dxa"/>
            <w:vAlign w:val="bottom"/>
            <w:gridSpan w:val="3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Financial Statements</w:t>
              </w:r>
            </w:hyperlink>
          </w:p>
        </w:tc>
        <w:tc>
          <w:tcPr>
            <w:tcW w:w="8380" w:type="dxa"/>
            <w:vAlign w:val="bottom"/>
            <w:gridSpan w:val="3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Item 19.</w:t>
            </w:r>
          </w:p>
        </w:tc>
        <w:tc>
          <w:tcPr>
            <w:tcW w:w="9900" w:type="dxa"/>
            <w:vAlign w:val="bottom"/>
            <w:gridSpan w:val="5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34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Unless the context otherwise requires, references to “the company,” “we,” “us,” “our” or “Global Ship Lease” refer to Global Ship Lease, Inc.; “CMA CGM” refer to CMA CGM S.A., currently our principal charterer and largest holder of our common shares; and “CMA Ships” refer to CMA Ships, a wholly-owned subsidiary of CMA CGM and our principal ship manager.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8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3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This historical selected consolidated financial data has been derived from our audited consolidated financial statements and has been prepared in accordance with U.S. generally accepted accounting principles (“U.S. GAAP”). Certain financial information has been rounded, and, as a result, certain totals shown in this Annual Report may not equal the arithmetic sum of the figures that should otherwise aggregate to those totals.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w w:val="89"/>
              </w:rPr>
              <w:t>2014</w:t>
            </w: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9"/>
              </w:rPr>
              <w:t>2013</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40" w:type="dxa"/>
            <w:vAlign w:val="bottom"/>
            <w:gridSpan w:val="16"/>
          </w:tcPr>
          <w:p>
            <w:pPr>
              <w:jc w:val="center"/>
              <w:ind w:right="10"/>
              <w:spacing w:after="0" w:line="119" w:lineRule="exact"/>
              <w:rPr>
                <w:sz w:val="20"/>
                <w:szCs w:val="20"/>
                <w:color w:val="auto"/>
              </w:rPr>
            </w:pPr>
            <w:r>
              <w:rPr>
                <w:rFonts w:ascii="Arial" w:cs="Arial" w:eastAsia="Arial" w:hAnsi="Arial"/>
                <w:sz w:val="13"/>
                <w:szCs w:val="13"/>
                <w:b w:val="1"/>
                <w:bCs w:val="1"/>
                <w:color w:val="auto"/>
                <w:w w:val="98"/>
              </w:rPr>
              <w:t>(in millions of U.S. dollars, except number of shares and per share and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other data)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8"/>
              </w:rPr>
              <w:t>138.6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143.2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7"/>
              </w:rPr>
              <w:t>(48.8)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(46.0)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8"/>
                <w:szCs w:val="18"/>
                <w:color w:val="auto"/>
                <w:w w:val="97"/>
              </w:rPr>
              <w:t>(41.1)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(40.4)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Impairment charge (1)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8"/>
                <w:szCs w:val="18"/>
                <w:color w:val="auto"/>
              </w:rPr>
            </w:pPr>
          </w:p>
        </w:tc>
        <w:tc>
          <w:tcPr>
            <w:tcW w:w="7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1"/>
              </w:rPr>
              <w:t>(145.7)</w:t>
            </w:r>
          </w:p>
        </w:tc>
        <w:tc>
          <w:tcPr>
            <w:tcW w:w="80" w:type="dxa"/>
            <w:vAlign w:val="bottom"/>
          </w:tcPr>
          <w:p>
            <w:pPr>
              <w:spacing w:after="0"/>
              <w:rPr>
                <w:sz w:val="20"/>
                <w:szCs w:val="20"/>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w w:val="97"/>
              </w:rPr>
              <w:t>(96.3)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(92.1)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(91.4)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Non operating income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8"/>
                <w:szCs w:val="18"/>
                <w:color w:val="auto"/>
                <w:w w:val="97"/>
              </w:rPr>
              <w:t>(43.9)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(18.8)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Realized (loss) on interest rate derivatives (2)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 (2)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income taxes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(28.8)</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32.5</w:t>
            </w:r>
          </w:p>
        </w:tc>
        <w:tc>
          <w:tcPr>
            <w:tcW w:w="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Series B preferred shares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(31.9)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5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3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A common share in $</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rPr>
              <w:t>0.10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Class A common shares outstanding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 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47.6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in millions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 per Class B common share in $</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Nil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Nil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Nil</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Nil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Weighted average number of Class B common shares outstanding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in millions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Dividend per Class A common share in $</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7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rPr>
              <w:t>60.9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74.3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83.7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(101.2)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7"/>
              </w:rPr>
              <w:t>(80.1)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8"/>
                <w:szCs w:val="18"/>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(59.3)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846.9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8"/>
              </w:rPr>
              <w:t>836.5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817.9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856.4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 (2)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904.9</w:t>
            </w:r>
          </w:p>
        </w:tc>
        <w:tc>
          <w:tcPr>
            <w:tcW w:w="80" w:type="dxa"/>
            <w:vAlign w:val="bottom"/>
          </w:tcPr>
          <w:p>
            <w:pPr>
              <w:spacing w:after="0"/>
              <w:rPr>
                <w:sz w:val="18"/>
                <w:szCs w:val="18"/>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w w:val="88"/>
              </w:rPr>
              <w:t>873.7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855.0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899.0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Debt (current and non-current portion) (2)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478.1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8"/>
              </w:rPr>
              <w:t>401.9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363.1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421.0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Preferred shares (3)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Class A and B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 (4)</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395.8</w:t>
            </w:r>
          </w:p>
        </w:tc>
        <w:tc>
          <w:tcPr>
            <w:tcW w:w="80" w:type="dxa"/>
            <w:vAlign w:val="bottom"/>
          </w:tcPr>
          <w:p>
            <w:pPr>
              <w:spacing w:after="0"/>
              <w:rPr>
                <w:sz w:val="18"/>
                <w:szCs w:val="18"/>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8"/>
                <w:szCs w:val="18"/>
                <w:color w:val="auto"/>
                <w:w w:val="88"/>
              </w:rPr>
              <w:t>438.1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399.5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366.6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Number of vessels in operation at period end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Ownership days (5)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6,893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8"/>
              </w:rPr>
              <w:t>6,270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6,205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6,222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Utilization (6)</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0"/>
                <w:szCs w:val="20"/>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rPr>
              <w:t>98.0%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26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September 30, 2015, we received notice of re-delivery for Ville d’Aquarius, our oldest vessel built in 1996; the vessel 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written down as at September 30, 2015 by $22.2 million to its estimated net realizable value, after deduction of estimated selling costs.</w:t>
      </w:r>
    </w:p>
    <w:p>
      <w:pPr>
        <w:spacing w:after="0" w:line="2" w:lineRule="exact"/>
        <w:rPr>
          <w:rFonts w:ascii="Arial" w:cs="Arial" w:eastAsia="Arial" w:hAnsi="Arial"/>
          <w:sz w:val="17"/>
          <w:szCs w:val="17"/>
          <w:color w:val="auto"/>
        </w:rPr>
      </w:pPr>
    </w:p>
    <w:p>
      <w:pPr>
        <w:jc w:val="both"/>
        <w:ind w:left="460" w:right="520"/>
        <w:spacing w:after="0" w:line="281" w:lineRule="auto"/>
        <w:rPr>
          <w:rFonts w:ascii="Arial" w:cs="Arial" w:eastAsia="Arial" w:hAnsi="Arial"/>
          <w:sz w:val="17"/>
          <w:szCs w:val="17"/>
          <w:color w:val="auto"/>
        </w:rPr>
      </w:pPr>
      <w:r>
        <w:rPr>
          <w:rFonts w:ascii="Arial" w:cs="Arial" w:eastAsia="Arial" w:hAnsi="Arial"/>
          <w:sz w:val="16"/>
          <w:szCs w:val="16"/>
          <w:color w:val="auto"/>
        </w:rPr>
        <w:t>On November 2, 2015, we received notice of re-delivery for Ville d’Orion, our second oldest vessel built in 1997; the vessel was re-delivered on December 3, 2015 and similar to her sister vessel, Ville d’Aquarius, a sale of the vessel was completed on December 8, 2015 for net proceeds of approximately $4.7 million. An impairment charge of $22.5 million was booked in the third quarter of 2015 for this vessel.</w:t>
      </w:r>
    </w:p>
    <w:p>
      <w:pPr>
        <w:spacing w:after="0" w:line="2" w:lineRule="exact"/>
        <w:rPr>
          <w:rFonts w:ascii="Arial" w:cs="Arial" w:eastAsia="Arial" w:hAnsi="Arial"/>
          <w:sz w:val="17"/>
          <w:szCs w:val="17"/>
          <w:color w:val="auto"/>
        </w:rPr>
      </w:pPr>
    </w:p>
    <w:p>
      <w:pPr>
        <w:ind w:left="460" w:right="20"/>
        <w:spacing w:after="0" w:line="281" w:lineRule="auto"/>
        <w:rPr>
          <w:rFonts w:ascii="Arial" w:cs="Arial" w:eastAsia="Arial" w:hAnsi="Arial"/>
          <w:sz w:val="17"/>
          <w:szCs w:val="17"/>
          <w:color w:val="auto"/>
        </w:rPr>
      </w:pPr>
      <w:r>
        <w:rPr>
          <w:rFonts w:ascii="Arial" w:cs="Arial" w:eastAsia="Arial" w:hAnsi="Arial"/>
          <w:sz w:val="16"/>
          <w:szCs w:val="16"/>
          <w:color w:val="auto"/>
        </w:rPr>
        <w:t>On November 8, 2010, we signed agreements with the sellers of two 4,231 TEU container vessels which terminated our purchase obligations totaling $154.8 million. Under the agreements we (i) released deposits, including accrued interest and totaling approximately $8.1 million per vessel (ii) made a further cash payment of approximately $6.2 million per vessel and (iii) transferred to the sellers certain supplies purchased for the vessels which were valued at approximately $0.4 million per vessel. The total value of these items was $29.4 million, or $14.7 million per vessel. In exchange, we acquired purchase options giving us the right, but not the obligation, to purchase each vessel on the first anniversary of its delivery by the builder to the seller, for a final payment of $61.25 million per vessel. The purchase options were to be exercised by September 16, 2011 for one vessel and October 4, 2011 for the other vessel. Under U.S. GAAP, (i) the estimated fair value of the two purchase options was recorded as an intangible asset in the balance sheet of $13.6 million and (ii) the balance of the consideration paid in the transaction amounting to $17.1 million was expensed as an impairment charge in 2010. The purchase of these vessels was always predicated on achieving a strong return for shareholders by acquiring the vessels, which had time charters attached, at an attractive price and securing financing on favorable terms. As we were not able to obtain committed finance on acceptable terms, the intangible asset of $13.6 million was written off in 2011 and the purchase options were allowed to expire.</w:t>
      </w:r>
    </w:p>
    <w:p>
      <w:pPr>
        <w:spacing w:after="0" w:line="7"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to March 19, 2014, long-term debt comprised amounts outstanding under a senior secured credit facility (“Previous Credit Facility”) that was first drawn in December 2007; maximum drawings under this facility were $599.1 million. The facility’s floating interest rate was hedged with interest rate derivatives which gave rise to realized losses and unrealized gains or losses. The Company completed the issue of $420.0 million 10.000% First Priority Senior Secured Notes (the “notes”) on March 19, 2014, the principal use of proceeds being to repay the amounts outstanding under the Previous Credit Facility of $366.6 million which was then terminated, and to settle and terminate the outstanding interest rate derivatives.</w:t>
      </w:r>
    </w:p>
    <w:p>
      <w:pPr>
        <w:spacing w:after="0" w:line="3" w:lineRule="exact"/>
        <w:rPr>
          <w:rFonts w:ascii="Arial" w:cs="Arial" w:eastAsia="Arial" w:hAnsi="Arial"/>
          <w:sz w:val="16"/>
          <w:szCs w:val="16"/>
          <w:color w:val="auto"/>
        </w:rPr>
      </w:pPr>
    </w:p>
    <w:p>
      <w:pPr>
        <w:ind w:left="460" w:right="120"/>
        <w:spacing w:after="0" w:line="250" w:lineRule="auto"/>
        <w:rPr>
          <w:rFonts w:ascii="Arial" w:cs="Arial" w:eastAsia="Arial" w:hAnsi="Arial"/>
          <w:sz w:val="16"/>
          <w:szCs w:val="16"/>
          <w:color w:val="auto"/>
        </w:rPr>
      </w:pPr>
      <w:r>
        <w:rPr>
          <w:rFonts w:ascii="Arial" w:cs="Arial" w:eastAsia="Arial" w:hAnsi="Arial"/>
          <w:sz w:val="18"/>
          <w:szCs w:val="18"/>
          <w:color w:val="auto"/>
        </w:rPr>
        <w:t>During 2015, $40.0 million was fully drawn under a Revolving Credit Facility (the “revolving credit facility”), agreed in connection with the issuance of the notes, to assist with the purchase of OOCL Qingdao on March 11, 2015.</w:t>
      </w:r>
    </w:p>
    <w:p>
      <w:pPr>
        <w:ind w:left="460" w:right="400"/>
        <w:spacing w:after="0" w:line="250" w:lineRule="auto"/>
        <w:rPr>
          <w:rFonts w:ascii="Arial" w:cs="Arial" w:eastAsia="Arial" w:hAnsi="Arial"/>
          <w:sz w:val="16"/>
          <w:szCs w:val="16"/>
          <w:color w:val="auto"/>
        </w:rPr>
      </w:pPr>
      <w:r>
        <w:rPr>
          <w:rFonts w:ascii="Arial" w:cs="Arial" w:eastAsia="Arial" w:hAnsi="Arial"/>
          <w:sz w:val="18"/>
          <w:szCs w:val="18"/>
          <w:color w:val="auto"/>
        </w:rPr>
        <w:t>On July 29, 2015, we entered into a $35.0 million Secured Term Loan with DVB Bank SE (the “secured term loan”). The entire $35.0 million was drawn on September 10, 2015 and secured by OOCL Tianjin.</w:t>
      </w:r>
    </w:p>
    <w:p>
      <w:pPr>
        <w:ind w:left="460" w:right="40"/>
        <w:spacing w:after="0" w:line="250" w:lineRule="auto"/>
        <w:rPr>
          <w:rFonts w:ascii="Arial" w:cs="Arial" w:eastAsia="Arial" w:hAnsi="Arial"/>
          <w:sz w:val="16"/>
          <w:szCs w:val="16"/>
          <w:color w:val="auto"/>
        </w:rPr>
      </w:pPr>
      <w:r>
        <w:rPr>
          <w:rFonts w:ascii="Arial" w:cs="Arial" w:eastAsia="Arial" w:hAnsi="Arial"/>
          <w:sz w:val="18"/>
          <w:szCs w:val="18"/>
          <w:color w:val="auto"/>
        </w:rPr>
        <w:t>In accordance with a new accounting standard, effective from December 31, 2015, $10.6 million unamortized deferred financing costs, which excludes the arrangement fee for our revolving credit facility, as at December 31, 2015 is shown as a direct deduction from the carrying amount of relevant debt. Previously, deferred financing costs were included in current and non-current assets. Prior years presentation of Debt and of Total Assets has been adjusted.</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aggregate outstanding liquidation preference on our Series A preferred shares. The Series A preferred shares were mandatorily redeemable in 11 quarterly installments of approximately $4.0 million from August 31, 2016, with a final payment of the remaining amount outstanding due on May 31, 2019 and were classified as a long-term liability on our balance sheet. Preferred shareholders were entitled to cash dividends equal to three-month USD LIBOR plus 2.0% of the original liquidation preference. Dividends were payable quarterly or at such other times at our choice. The dividend to which preferred shareholders were entitled is included as part of interest expense. All of the Series A preferred shares were held by CMA CGM. The Series A preferred shares, which had a liquidation value at maturity of $45.0 million, were redeemed at a discount pursuant to a Share Repurchase Agreement for $36.4 million on August 22, 2014, using the proceeds received from the issuance of the 8.75% Series B Cumulative Redeemable Perpetual Preferred Shares (the “Series B preferred shares”), together with restricted cash and cash on hand.</w:t>
      </w:r>
    </w:p>
    <w:p>
      <w:pPr>
        <w:spacing w:after="0" w:line="5"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August 20, 2014, we issued 1,400,000 depositary shares, each of which represents 1/100</w:t>
      </w:r>
      <w:r>
        <w:rPr>
          <w:rFonts w:ascii="Arial" w:cs="Arial" w:eastAsia="Arial" w:hAnsi="Arial"/>
          <w:sz w:val="15"/>
          <w:szCs w:val="15"/>
          <w:color w:val="auto"/>
        </w:rPr>
        <w:t>th</w:t>
      </w:r>
      <w:r>
        <w:rPr>
          <w:rFonts w:ascii="Arial" w:cs="Arial" w:eastAsia="Arial" w:hAnsi="Arial"/>
          <w:sz w:val="18"/>
          <w:szCs w:val="18"/>
          <w:color w:val="auto"/>
        </w:rPr>
        <w:t xml:space="preserve"> of one share of our Series B preferred shares (the “depositary shares”).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 The net proceeds from the offering were $33.5 million. The shares are classified as equity in the consolidated financial statements.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Ownership days represent the number of days in the period that we owned the relevant vessels.</w:t>
      </w:r>
    </w:p>
    <w:p>
      <w:pPr>
        <w:spacing w:after="0" w:line="9" w:lineRule="exact"/>
        <w:rPr>
          <w:rFonts w:ascii="Arial" w:cs="Arial" w:eastAsia="Arial" w:hAnsi="Arial"/>
          <w:sz w:val="18"/>
          <w:szCs w:val="18"/>
          <w:color w:val="auto"/>
        </w:rPr>
      </w:pPr>
    </w:p>
    <w:p>
      <w:pPr>
        <w:ind w:left="460" w:right="60" w:hanging="452"/>
        <w:spacing w:after="0" w:line="271"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or otherwise not earning revenue for any reason, including scheduled dry-dockings, breakdowns, repairs or idle time between charters. These data are non-U.S. GAAP statistical measures used by management to assess operating performance and are not included in consolidated financial statements prepared under U.S. GAAP.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charter payments from CMA CGM.</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All but three of our 18 vessels are chartered to CMA CGM. CMA CGM’s payments to us under these charters are our principal source of operating revenue. We are consequently highly dependent on the performance by CMA CGM of its obligations under these charters. The container shipping industry has been suffering an extended cyclical downturn since mid-2008, and many container shipping companies reported substantial losses. Financial performance of container shipping companies improved in 2012, 2013 and 2014. However, market conditions deteriorated in 2015 with lower than expected growth in the demand for container shipping services and higher than expected growth in the containership fleet from the delivery of new buildings. Freight rates, charter rates and asset values remain under pressure due to oversupply of container ship capacity. Further, CMA CGM has announced the proposed acquisition of Singapore-based container shipping company Neptune Orient Lines Limited for a total consideration of $2.4 billion in a debt and cash funded transaction. The acquisition, which is subject to anti-trust approvals, may weaken the CMA CGM group’s liquidity at least until CMA CGM integrates Neptune Orient Lines Limited. We have experienced, from time to time, delays in receiving charterhire payments from CMA CGM, which under the charter contracts are due to be paid on the 1</w:t>
      </w:r>
      <w:r>
        <w:rPr>
          <w:rFonts w:ascii="Arial" w:cs="Arial" w:eastAsia="Arial" w:hAnsi="Arial"/>
          <w:sz w:val="14"/>
          <w:szCs w:val="14"/>
          <w:color w:val="auto"/>
        </w:rPr>
        <w:t>st</w:t>
      </w:r>
      <w:r>
        <w:rPr>
          <w:rFonts w:ascii="Arial" w:cs="Arial" w:eastAsia="Arial" w:hAnsi="Arial"/>
          <w:sz w:val="17"/>
          <w:szCs w:val="17"/>
          <w:color w:val="auto"/>
        </w:rPr>
        <w:t xml:space="preserve"> and 16</w:t>
      </w:r>
      <w:r>
        <w:rPr>
          <w:rFonts w:ascii="Arial" w:cs="Arial" w:eastAsia="Arial" w:hAnsi="Arial"/>
          <w:sz w:val="14"/>
          <w:szCs w:val="14"/>
          <w:color w:val="auto"/>
        </w:rPr>
        <w:t>th</w:t>
      </w:r>
      <w:r>
        <w:rPr>
          <w:rFonts w:ascii="Arial" w:cs="Arial" w:eastAsia="Arial" w:hAnsi="Arial"/>
          <w:sz w:val="17"/>
          <w:szCs w:val="17"/>
          <w:color w:val="auto"/>
        </w:rPr>
        <w:t xml:space="preserve"> of each month, in advance. Up to one installment was outstanding at times during 2015. As at December 31, 2015, no charterhire was outstanding.</w:t>
      </w:r>
    </w:p>
    <w:p>
      <w:pPr>
        <w:spacing w:after="0" w:line="1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manage our ships.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Thirteen of our 18 vessels are managed by CMA Ships, a wholly owned subsidiary of CMA CGM, which, for an annual management fee of $123,000 per vessel, is responsible for all day-to-day ship management, including crewing, purchasing stores, lubricating oils and spare parts, paying wages, pensions and insurance for the crew, and organizing other vessel operating necessities, including the arrangement and management of drydocking. Our ship management agreements with CMA Ships may be terminated by either party on two months written notice. In the future, CMA Ships may demand a higher fee or other more favorable terms in consideration for its services or decide to terminate its agreements with us. The prices or terms of new ship management agreements with CMA Ships or an alternate provider may be significantly less favorable to us than the terms of our existing ship management agreements. Our five other vessels are managed by a ship manager based in Hong Kong on similar terms, which subjects us to similar risks.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have conflicts of interest with us which may make them favor their own interests to our detriment.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at December 31, 2015, CMA CGM owned approximately 44.4% of our outstanding common stock. Accordingly, CMA CGM has the power to exert considerable influence over our actions and its concentration of ownership may have the effect of delaying, deferring or preventing a change in control, merger, consolidation, takeover or other business combination, which could have an adverse effect on the price of our common stock. In addition, CMA CGM may acquire additional shares of our common stock or initiate changes to our board of directors. In May 2014, we appointed two additional independent directors to our board with those seats filled by CMA CGM nominees. Under our bylaws, in order for the approval of contracts or transactions involving a related party not to be voidable (1) any interested director’s relationship or interest as to the contract or transaction must be disclosed to the board of directors, and such contract or transaction must be authorized by a majority of the disinterested directors (or, in certain cases, all of the disinterested directors) or (2) the contract or transaction must be specifically approved in good faith by vote of the shareholders. Furthermore, our corporate governance guidelines require a director with a personal interest in a matter being approved by the board of directors to disclose the interest, to recuse himself or herself from participation in the discussion and to not vote on the matter.</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Moreover, conflicts of interest may also arise between us, on the one hand, and CMA CGM, our principal charterer, or CMA Ships, our principal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CMA Ships as ship manager and CMA CGM as charterer. These risks may be exacerbated in the event that CMA CGM elects to exert more influence in the management of our business through its nominated board representation, acquiring additional shares of our common stock or otherwise.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reporting is partly dependent on information provided by our third party ship managers.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ship managers are obliged to provide us with requisite financial information on a timely basis so that we can meet our own reporting obligations under U.S. securities laws. Our ship managers are privately held corporations with financial reporting arrangements different from ours. If our ship managers are delayed in providing us with key financial information,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could compete with us.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Along with many other vessel-owning companies, CMA CGM, currently our principal charterer and largest holder of our common shares, could compete with us for the purchase of vessels. Further, CMA CGM is not precluded from acting as an owner in the direct chartering market. While we understand that CMA CGM currently has no intention of becoming such an owner, competition from CMA CGM may potentially harm our ability to grow the business and may decrease our results of operations.</w:t>
      </w:r>
    </w:p>
    <w:p>
      <w:pPr>
        <w:spacing w:after="0" w:line="295"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Certain terms in our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initial charters, the ship management agreements and the other contractual agreements, including the terms of the Series A preferred shares and the subsequent agreement to redeem these in August 2014, we have entered into with CMA CGM and its wholly owned subsidiaries were made during an affiliated relationship in the context of a previously contemplated public offering of our Class A common shares in 2007, the 2008 merger of Marathon Acquisition Corp. (“Marathon”) and Global Ship Lease, then a subsidiary of CMA CGM, with and into GSL Holdings, Inc., Marathon’s newly-formed wholly-owned Marshall Islands subsidiary, with GSL Holdings, Inc. (now renamed Global Ship Lease, Inc.) continuing as the surviving company incorporated in the Republic of the Marshall Islands (collectively, the “Merger”), and other related transactions. New charters, now expired, that came into effect upon the expiration of the initial charters in September 2012 for Ville d’Aquarius and Ville d’Orion, were also consented to by CMA CGM, a significant shareholder and related party. Further, we agreed with CMA CGM, with effect from February 1, 2014, to extend by three years the charters on four other vessels at a lower on-going daily charter rate.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growth depends on continued growth in the demand for containerships, our ability to purchase further vessels, obtain new charters and maintain our relationship with CMA CGM. We will require additional financing to be able to grow and will face substantial competition.</w:t>
      </w:r>
    </w:p>
    <w:p>
      <w:pPr>
        <w:spacing w:after="0" w:line="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our objectives is to grow by acquiring additional vessels and chartering them out to container shipping companies potentially including CMA CGM. Our growth will generally depend on continued growth and renewal in world and regional demand for containership chartering. The ocean-going shipping container industry is both cyclical and volatile in terms of charter hire rates and profitability. Short-term containership charter rates have fluctuated significantly during the last few years, and are expected to continue to fluctuate in the future. Fluctuations in containership charter rates result from changes in the supply and demand for vessel capacity which are driven by global fleet capacity and utilization and changes in the supply and demand for the major products internationally transported by containerships. The factors affecting the supply and demand for containerships, and the nature, timing and degree of changes in industry conditions are unpredictable.</w:t>
      </w:r>
    </w:p>
    <w:p>
      <w:pPr>
        <w:spacing w:after="0" w:line="18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Acquisition of vessels will be challenging as, inter alia, we may need to obtain additional financing in order to complete vessel purchases. Due to the continuing effects of the economic downturn and the severe cyclical downturn in the container shipping industry, financing for investment in containerships, whether newbuildings or existing vessels, is severely limited. Further, the cost of any available financing has increased significantly. In addition, in recent years, the number of lenders for shipping companies has decreased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containership leasing experience and quality of ship operations (including cost 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construction management experience, including the ability to obtain on-time delivery of new vessels according to customer specifications.</w:t>
      </w:r>
    </w:p>
    <w:p>
      <w:pPr>
        <w:spacing w:after="0" w:line="23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will face substantial competition in expanding our business from a number of experienced companies. Many of these competitors may have greater financial resources than us, may operate larger fleets, may have been established for longer and may be able to offer better charter rates. During any industry downturn there are an increased number of vessels available for charter, including many from owners with strong reputation and experience. Excess supply of vessels in the container shipping market results in greater price competition for charters. As a result of these factors, we may be unable to purchase additional containerships, expand our relationships with CMA CGM or obtain new charters on a profitable basis, if at all, which would have a material adverse effect on our business, results of operations and financial condition.</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our containership transportation business could harm our business, results of operations and financial condition.</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Nearly all of our cash flow is generated from our charters that operate in the containership transportation business. Due to our lack of diversification, an adverse development in the containership industry may more significantly harm our business, results of operations and financial condition than if we maintained more diverse assets or lines of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recharter our vessels at profitable rates, if at all, upon their time charter expiry.</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As of February 1, 2016, newbuilding containerships with an aggregate capacity of 3.9 million TEUs, representing approximately 19.6% of the total worldwide containership fleet capacity as of that date, were under construction. The size of the orderbook will result in the increase in the size of the world containership fleet over the next few years. An over-supply of containership capacity, combined with stability or any decline in the demand for containerships, may result in a reduction of charter hire rates, which is currently the case. The time charters for five of our 18 containerships can be terminated as early as dates between September 11, 2017 and October 28, 2017. The charters of an additional two vessels could terminate in March and September 2018. While we generally expect to be able to obtain new time charters for our vessels prior to their expiry, we cannot be assured that this will occur in any particular case, or at all. In addition, the supply/demand balance for containerships has been under pressure since late 2008 with, from time to time, a significant number of vessels idle and charter rates in the spot market depressed and we may not be able to secure charter rates at the same level as the current time charters.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and limit our ability to react to changes in the economy or our industry.</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are highly leveraged. As at December 31, 2015, we had (i) $419.7 million of secured indebtedness outstanding under our notes, (ii) $40.0 million drawn and outstanding under our senior secured revolving credit facility and (iii) $33.1 million outstanding under our secured term loan under a facility entered into in July 2015 with DVB Bank 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be dedicated to the payment of interest on our indebtedness and up to $20.0 million to repurchase notes annually under the Excess Cash Flow (as defined in the indenture governing the notes) offer, as well as scheduled repayments of the secured term loan, therefore reducing our ability to use our cash flows to fund operations, capital expenditure and future business opportunities;</w:t>
      </w:r>
    </w:p>
    <w:p>
      <w:pPr>
        <w:spacing w:after="0" w:line="92"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including the notes, the revolving credit facility and the secured term loan, and any failure to comply with the obligations of any of our debt instruments, including restrictive covenants and borrowing conditions, could result in an event of default under the indenture governing the notes and the agreements governing such other indebtedness;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5"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Despite our indebtedness levels, we may be able to incur substantially more indebtedness. This could further exacerbate the risks associated with our substantial indebtedness.</w:t>
      </w:r>
    </w:p>
    <w:p>
      <w:pPr>
        <w:spacing w:after="0" w:line="2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be able to incur substantial additional indebtedness in the future. Although the indenture governing the notes, our revolving credit facility and our secured term loan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the indenture governing the notes and our revolving credit facility will not prevent us from incurring obligations that do not constitute indebtedness thereunder. Our covenants also permit us to incur substantial non-recourse indebtedness in subsidiaries that do not guarantee our obligations under our notes. If we incur substantially more indebtedness, the risks associated with our indebtedness as described above could be exacerbated.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indenture governing the notes, our revolving credit facility and our secured term loan contain various covenants that limit our ability to engage in specified types of transactions. These covenants limit our ability and the ability of our restricted subsidiaries to, among other things:</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restrictive covenants in the revolving credit facility and the secured term loan require us to satisfy certain financial condition tests at the risk of default or reduction and cancellation of certain commitments under these facilities. Our ability to meet those financial ratios and tests will depend on our ongoing financial and operating performance, which, in turn, will be subject to economic conditions and to financial, market, and competitive factors, many of which are beyond our control.</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Due to the restrictive covenants under our revolving credit facility and restrictions in our notes, we may need to seek consent from our lenders and/or noteholders in order to engage in some corporate and commercial actions that we believe would be in the best interest of our business, and a denial of consent may make it difficult for us to successfully execute our business strategy or effectively compete with companies that are not similarly restricted. Our lenders’ and/or noteholers’ interests may be different from ours, and we cannot guarantee that we will be able to obtain their permission when needed. This may prevent us from taking actions that are in our best interest. Any future agreements governing our indebtedness may include similar or more restrictive restrictions.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breach of any of these covenants could result in a default under one or more of these agreements, including as a result of cross default provisions, and, in the case of our revolving credit facility, permit the lenders to cease making loans to us. Upon the occurrence of an event of default under our revolving credit facility, the lenders could elect to declare all amounts outstanding under our revolving credit facility to be immediately due and payable. Such actions by the lenders could cause cross defaults under the indenture governing our notes.</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Substantially all of the assets currently owned by us serve as security under our notes, revolving credit facility and secured term loan. If our operating performance declines, we may be required to obtain waivers from the holders of our notes and the lenders under the revolving credit facility and secured term loan to avoid default thereunder. If we are not able to obtain a waiver from the holders of our notes and the lenders under the revolving credit facility and the secured term loan, the lenders could exercise their rights upon default and we could be forced into bankruptcy or liquidation.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vessels’ mortgagor or other maritime claimants could arrest our vessels, which could interrupt the charterer’s or our cash flow.</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default under our notes, revolving credit facility or secured term loan, holders of our notes and lenders on our revolving credit facility and secured term loan who hold mortgages on our vessels could arrest some or all of our vessels and cause them to be sold. We would not receive any proceeds of such sale unless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values may fluctuate due to a number of different factors, including:</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types, sizes and demand for available vessels;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other modes of transportation;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supply of vessel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newbuildings;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or other regulations; and</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upgrade second hand and previously owned vessels as a result of charterer requirements, technological advances in vessel design or equipment, or otherwise.</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as vessels grow older, they generally decline in value. Due to the cyclical nature of the container market, if for any reason we sell any of our owned vessels at a time when prices are depressed, we could incur a loss and our business, results of operations, cash flow and financial condition could be adversely affected. Additionally, under our current time charter agreements with CMA CGM, the charterer has a right of first refusal should we decide to sell the vessel during or at the end of the charter period. If they do not exercise this right, we are entitled to sell the vessel, subject to their prior approval, which cannot be unreasonably withheld. We may be forced to sell our vessels for a lesser amount because of these constraints. Moreover, if the book value of a vessel is impaired due to unfavorable market conditions, we may incur a loss that could adversely affect our operating results.</w:t>
      </w:r>
    </w:p>
    <w:p>
      <w:pPr>
        <w:spacing w:after="0" w:line="16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vessels may be subject to extended periods of off-hire, which could materially adversely affect our business, financial condition and results of operations.</w:t>
      </w:r>
    </w:p>
    <w:p>
      <w:pPr>
        <w:spacing w:after="0" w:line="62"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 vessel generally will be deemed to be off-hire if there is an occurrence that affects the full working condition of the vessel, such as:</w:t>
      </w:r>
    </w:p>
    <w:p>
      <w:pPr>
        <w:spacing w:after="0" w:line="5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charterer’s lost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crewing labor boycotts or certain vessel arrests;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vessel’s declared performance speed is reduced or fuel consumption is increased by more than 5% over a specified period of time;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the charterer may have the right to terminate the charter agreement under a number of circumstances, such as, if:</w:t>
      </w:r>
    </w:p>
    <w:p>
      <w:pPr>
        <w:spacing w:after="0" w:line="131" w:lineRule="exact"/>
        <w:rPr>
          <w:sz w:val="20"/>
          <w:szCs w:val="20"/>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vessel is off-hire for a specified number of days, in the case of our charters with CMA CGM more than 90 consecutive days, and the vessel is free of cargo;</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charterer informs us of a default under the charter, and the default is not rectified, in the case of our charters with CMA CGM, within 60 days of such notice;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 total (actual or constructive) loss of the vessel;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 or</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vessel’s declared performance speed is reduced or fuel consumption increased in excess of 10% over a continuous period of 30 days, and the reason is within our or the vessel’s control.</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Our business, financial condition and results of operations may be materially adversely affected if our vessels are subject to extended periods of off-hire.</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of vessels or container shipping-related assets, and implementing our growth strategy through acquisitions which may harm our business, financial condition and operating results.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growth strategy includes, among other things, selectively acquiring secondhand and, potentially, newbuilding vessels and possibly seeking to diversify our asset base by acquiring containers and other container shipping-related assets if an attractive investment opportunity presents itself in the future.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that we will be able to purchase secondhand vessels or newbuildings at satisfactory prices or obtain ship management agreements with similar or better terms than those we have obtained from our current ship managers, that we will be able to purchase containers and subsequently lease them out at satisfactory prices or that we will not incur significant expenses and losses in connection with our future growth.</w:t>
      </w:r>
    </w:p>
    <w:p>
      <w:pPr>
        <w:spacing w:after="0" w:line="17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8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Should we expand our business or provide services to third parties, we may need to improve our operating and financial systems, expand our commercial and technical management staff, and recruit suitable employees and crew for our vessels.</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current operating and financial systems may not be adequate if we expand the size of our fleet or begin to lease containers,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expand our fleet, or begin to lease containers, and we are unable to grow our financial and operating systems or to recruit suitable employees, our business, results of operations and financial condition may be harmed.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the purchase and operation of secondhand vessels.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perform underwater inspections of vessels prior to purchase.</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may be reduced by the introduction of new accounting rules for leasing.</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International and U.S. accounting standard-setting organizations have recently announced new accounting rules requiring companies to recognize all lease related assets and liabilities in their financial statements. The new leasing standard will apply to fiscal years beginning after December 15, 2018 with early adoption permitted. Most operating leases, including time charters, are currently not included on a lessee’s balance sheet. The effect of the new accounting rules will be to bring most such leases onto the lessee’s balance sheet as liabilities. This change could affect charterers by causing them to breach certain financial covenants and may make them less likely to enter into time charters, which could reduce our growth opportunities.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substantial expenditures to maintain our fleet and to acquire vessels.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must make substantial expenditures to maintain our fleet and we generally expect to finance these maintenance expenditures from operating cash flow. In addition, we will need to make substantial capital expenditures to acquire vessels in accordance with our growth strategy. Further, we may be obliged to incur substantial expenditure to become compliant with changes in the regulatory environment, particularly concerning clean air and ballast water treatment. Maintenance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borrowings under our revolving credit facility or otherwise find alternative sources of financing. Such alternatives may not be available on economic terms or at all, which could have a material adverse effect on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our fleet ages, we may incur increased operating costs beyond normal inflation, which would adversely affect our results of operations.</w:t>
      </w:r>
    </w:p>
    <w:p>
      <w:pPr>
        <w:spacing w:after="0" w:line="12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 Our fleet of 18 vessels as at December 31, 2015 had an average age weighted by TEU capacity of 11.0 years.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fleet of 18 containerships as at December 31, 2015, had an average age weighted by TEU capacity of 11.0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certain individuals who may not necessarily continue to be affiliated with us.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current performance and future success depend to a significant extent upon our Chief Executive Officer, Ian J. Webber, our Chief Financial Officer, Susan J. Cook, our Chief Commercial Officer, Thomas A. Lister, and our Chief Technical Officer, Vivek Puri. Mr. Webber, Ms. Cook, Mr. Lister and Mr. Puri have over 100 years of cumulative experience in the shipping industry and have worked with several of the world’s largest shipping, ship leasing and ship management companies. They and members of the board of directors are crucial to the execution of our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crew and other vessel operating costs may adversely affect our profits.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Acquiring and renewing charters with leading liner companies depends on a number of factors, including our ability to man our containerships with suitably experienced, high quality masters, officers and crews. The limited supply of and increased demand for well-qualified crew, due to the increase in the size of the global shipping fleet, has from time to 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fuel prices may have an adverse effect on our profits.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cost of fuel is a significant factor in negotiating charter rates and can affect us both directly and indirectly. The cost of fuel will be borne by us when our vessels are being positioned for drydockings, between charters and when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We also bear the cost of fuel associated with dry-dockings and when a vessel is off-hire. Even where the cost of fuel is borne by the charterer, which is the case with all of our existing time charters, that cost will affect the level of charter rates that charterers are prepared to pay, depending in part on the fuel efficiency of a particular vessel.</w:t>
      </w:r>
    </w:p>
    <w:p>
      <w:pPr>
        <w:spacing w:after="0" w:line="17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holding company and we depend on the ability of our subsidiaries to distribute funds to us in order to satisfy our financial and other obligations.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 other action by a third party, including a creditor, or by English, Marshall Islands, Cypriot or Hong Kong law or the laws of any jurisdiction which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preferred shares, or meet our debt service obligations or our other liabilities.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generate all of our revenues in U.S. dollars but incur a portion of our expenses in other currencies, exchange rate fluctuations could hurt our results of operations.</w:t>
      </w:r>
    </w:p>
    <w:p>
      <w:pPr>
        <w:spacing w:after="0" w:line="62"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effect on our operating expenses and net income.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89"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incorporated in the Republic of the Marshall Islands, which does not have a well-developed body of corporate law.</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growth and long term profitability depend mainly upon growth in demand for containerships, the condition of the charter market and the availability of capital. The container shipping industry is cyclical and volatile. It experienced a severe cyclical downturn in 2011 with over supply of capacity continuing to date.</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Container shipping is a cyclical industry, with the demand for container shipping services and therefore the demand for container ships, driven by global trade.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In 2012, 2013, and 2014, volume grew by 3.0%, 5.1% and 5.4%, respectively. Volume growth in 2015 is estimated to have been 2.3%. In contrast, containership capacity grew by 5.9%, 5.5%, and 6.4% in 2012, 2013 and 2014, respectively, and it is estimated to have grown 8.0% in 2015.</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to recharter our containerships upon the expiration or termination of their current charters, which for five of our 18 vessels could be as early as dates between September 11, 2017 and October 28, 2017,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on rechartering at their expiry.</w:t>
      </w:r>
    </w:p>
    <w:p>
      <w:pPr>
        <w:spacing w:after="0" w:line="3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Weak economic conditions throughout the world, particularly the Asia Pacific region, the European Union or the United States sovereign debt default fears, could have a material adverse effect on our business, financial condition and results of operations.</w:t>
      </w:r>
    </w:p>
    <w:p>
      <w:pPr>
        <w:spacing w:after="0" w:line="62"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Negative trends in the global economy have prevailed since mid-2008, resurging in the second half of 2015 and the global economy remains fragile. The global economy is still subject to downside risks stemming from factors like fiscal fragility in advanced economies, highly accommodative macroeconomic policies and persistent difficulties in access to credit. In particular, recent concerns regarding the possibility of sovereign debt defaults by European Union member countries, including Cyprus, Greece, Ireland and Portugal, have significantly weakened the Euro zone, disrupted financial markets throughout the world, and may lead to weaker consumer demand in the European Union, the United States, and other parts of the world. The deterioration in the global economy has caused, and may continue to cause, a decrease in worldwide demand for certain goods shipped in containerized form.</w:t>
      </w:r>
    </w:p>
    <w:p>
      <w:pPr>
        <w:spacing w:after="0" w:line="16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anticipate that a significant number of port calls made by our containerships will continue to involve the loading or unloading of container cargoes in ports in the Asia Pacific region. In recent years, China has been one of the world’s fastest growing economies in terms of gross domestic product, which has had a significant impact on shipping demand. However, China has been suffering a slowdown in recent times. If the growth in China’s gross domestic product continues to decline, as is forecast for 2016, and other countries in the Asia Pacific region experience slowed or negative economic growth in the future, this may exacerbate the effect of the significant downturns in the economies of the United States and the European Union, and thus, may negatively impact container shipping demand. For example, the possibility of sovereign debt defaults by European Union member countries, including Cyprus, Greece, Ireland and Portugal, and the possibility of market reforms to float the Chinese Renminbi, either of which development could weaken the Euro against the Chinese Renminbi, could adversely affect consumer demand in the European Union. Such weak economic conditions could have a material adverse effect on our business, results of operations and financial condition.</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Disruptions in world financial markets and the resulting governmental action in the United States and in other parts of the world could have a material adverse impact on our results of operations, financial condition and cash flows.</w:t>
      </w:r>
    </w:p>
    <w:p>
      <w:pPr>
        <w:spacing w:after="0" w:line="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United States and other parts of the world, including the Euro zone, have exhibited very weak economic trends at times since 2008 and certain parts of the world continue to show weak economic conditions. The credit markets in the United States and elsewhere have, from time to time, experienced significant contraction, deleveraging and reduced liquidity, and the U.S. federal government and state and other governments have implemented and are also considering a broad variety of governmental action and/or new regulation of the financial markets. Securities and futures markets and the credit markets are subject to comprehensive statutes, regulations and other requirements. The SEC, other regulators, self-regulatory organizations and exchanges are authorized to take extraordinary actions in the event of market emergencies, and may effect changes in law or interpretations of existing laws.</w:t>
      </w:r>
    </w:p>
    <w:p>
      <w:pPr>
        <w:sectPr>
          <w:pgSz w:w="11900" w:h="16838" w:orient="portrait"/>
          <w:cols w:equalWidth="0" w:num="1">
            <w:col w:w="11380"/>
          </w:cols>
          <w:pgMar w:left="240" w:top="459" w:right="279" w:bottom="1440" w:gutter="0" w:footer="0" w:header="0"/>
        </w:sectPr>
      </w:pP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459"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Global financial markets and economic conditions have been severely disrupted and volatile at times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 exceedingly distressed and volatile. The sovereign debt crisis in countries such as Cyprus and Greece, for example, and concerns over 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w:t>
      </w:r>
    </w:p>
    <w:p>
      <w:pPr>
        <w:spacing w:after="0" w:line="16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cannot be certain that financing will be available on acceptable terms or at all. If 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4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3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 based exporters could have a material adverse effect on the growth rate of China’s exports and on our charterers’ business. For instance, the government of China has implemented economic policies aimed at increasing domestic consumption of Chinese 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Furthermore, if China was to permit the Renminbi to float to a free market rate of exchange, it is widely anticipated that the Renminbi would appreciate significantly in value against the U.S. dollar. An increase in the value of the Renminbi may negatively impact the U.S.’ demand for imported goods, many of which are shipped in containerized form.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 serves has caused and may continue to cause an increase in: (i) the cost of goods exported from China, (ii) the length of time required to deliver goods from China and (iii) the risks associated with exporting goods from China, as well as a decrease in the quantity of goods to be shipped.</w:t>
      </w:r>
    </w:p>
    <w:p>
      <w:pPr>
        <w:spacing w:after="0" w:line="17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Any increased trade barriers or restrictions on trade, especially trade with China, would have an adverse impact on our charterer’s business, operating results and financial condition and could thereby affect its ability to make timely charter hire payments to us and to renew and increase the number of its time charters with us. This could have a material adverse effect on our business, results of operations and financial condition.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incur realized and unrealized losses and impairments in connection with declining containership values and/or in connection with vessel dispositions.</w:t>
      </w:r>
    </w:p>
    <w:p>
      <w:pPr>
        <w:spacing w:after="0" w:line="62" w:lineRule="exact"/>
        <w:rPr>
          <w:sz w:val="20"/>
          <w:szCs w:val="20"/>
          <w:color w:val="auto"/>
        </w:rPr>
      </w:pPr>
    </w:p>
    <w:p>
      <w:pPr>
        <w:jc w:val="both"/>
        <w:ind w:right="400" w:firstLine="456"/>
        <w:spacing w:after="0" w:line="342" w:lineRule="auto"/>
        <w:rPr>
          <w:sz w:val="20"/>
          <w:szCs w:val="20"/>
          <w:color w:val="auto"/>
        </w:rPr>
      </w:pPr>
      <w:r>
        <w:rPr>
          <w:rFonts w:ascii="Arial" w:cs="Arial" w:eastAsia="Arial" w:hAnsi="Arial"/>
          <w:sz w:val="16"/>
          <w:szCs w:val="16"/>
          <w:color w:val="auto"/>
        </w:rPr>
        <w:t>Containership values can fluctuate substantially over time. Containership values have decreased significantly since late 2008 and have remained at depressed levels, generally below long term averages. A number of factors may contribute to a decrease in the market value of containerships, including:</w:t>
      </w:r>
    </w:p>
    <w:p>
      <w:pPr>
        <w:spacing w:after="0" w:line="2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economic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an over-supply in containership capacity including from new vessels on order;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charter rates; and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70"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If a charter terminates when the charter market for containerships is depressed, we may be unable to recharter the vessel at attractive rates and, rather than continue to incur costs to maintain and finance the vessel, we may seek to dispose of it. It is likely that, in such circumstances, asset values will also be depressed. The disposal of a containership at a distressed price would likely result in a loss on the vessel’s sale and adversely affect our results of operations and financial condition, as was seen on our disposal of Ville d’Aquarius and Ville d’Orion in late 2015.</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Future fluctuations in charter rates and vessel values may trigger a possible impairment of our vessels as described in Item 5.A. “Operating and Financial Review and Prospects—Results of Operations—Management’s Discussion and Analysis of Financial Condition and Results of Operations—Critical Accounting Policies and Estimates.”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more difficulty entering into long-term charters if a more active and cheaper short-term or spot container shipping market develops.</w:t>
      </w:r>
    </w:p>
    <w:p>
      <w:pPr>
        <w:spacing w:after="0" w:line="14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long-term charters, we may have difficulty entering into such charters at profitable rates and for any term other than short term and, as a result, our cash flow may be subject to instability in the long-term. In addition, it would be more difficult to fix relatively older vessels should there be an oversupply of younger vessels on the market. A more active short-term or spot market may require us to enter into spot or short-term charters based on prevailing market rates, as opposed to long-term contracts, which could result in a decrease in our cash flow in periods when charter rates are depressed.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containership capacity may lead to reductions in charter hire rates and profitability.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the size of the containership orderbook has declined since the peak of 2008/2009, the containership newbuilding orderbook as at December 31, 2015 represented approximately 20.1%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together with other vessel specifications such as the capacity to carry temperature controlled containers (reefers). Physical life is related to the original design and construction, maintenance and the impact of the stress of operations. If new ship designs currently promoted by shipyards as being more fuel efficient perform,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increased in frequency, which could adversely affect our business.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Piracy is an inherent risk in the operation of ocean-going vessels and particularly affects vessels operating in specific regions of the world such as the South China Sea, the Gulf of Aden, the Arabian Sea, off the coast of West Africa and off the coast of Somalia. In recent years, the frequency of piracy incidents against commercial shipping vessels has increased significantly, particularly in the Gulf of Aden and off the coasts of Somalia and West Africa.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and international hostilities could affect our results of operations and financial condition.</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Terrorist attacks, such as the attacks in the United States on September 11, 2001 in Paris on November 13, 2015 and in Brussels on March 22, 2016,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imposed by the United States government, which could have a material adverse effect on our results of operations and financial condition.</w:t>
      </w:r>
    </w:p>
    <w:p>
      <w:pPr>
        <w:spacing w:after="0" w:line="6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From time to time on charterers’ instructions, our vessels may call on ports located in countries subject to sanctions and embargoes imposed by the U.S. government and in countries identified by the U.S. government as state sponsors of terrorism. In addition, as a result of actions taken by our charterers, we may be deemed to have engaged in financial transactions that are prohibited by such sanctions or embargoes. The U.S. sanctions and embargo laws and regulations vary in their application, as they do not all apply to the same covered persons or proscribe the same activities, and such sanctions and embargo laws and regulations may be amended or strengthened over time. In 2010, the United States enacted the Comprehensive Iran Sanctions Accountability and Divestment Act (“CISADA”), which amended the Iran Sanctions Act of 1996. Among other things, CISADA introduced limits on the ability of companies and persons to do business or trade with Iran when such activities relate to the investment, supply or export of refined petroleum or petroleum products. In 2012, President Obama signed Executive Order 13608 which prohibited U.S. persons from engaging in transactions or dealings with foreign individuals or entities that (1) have violated, attempted to violate, conspired to violate or caused a violation of certain Executive Orders related to Iran or Syria,</w:t>
      </w:r>
    </w:p>
    <w:p>
      <w:pPr>
        <w:spacing w:after="0" w:line="7" w:lineRule="exact"/>
        <w:rPr>
          <w:sz w:val="20"/>
          <w:szCs w:val="20"/>
          <w:color w:val="auto"/>
        </w:rPr>
      </w:pPr>
    </w:p>
    <w:p>
      <w:pPr>
        <w:ind w:right="20" w:firstLine="8"/>
        <w:spacing w:after="0" w:line="267"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facilitated any deceptive transactions for or on behalf of any person subject to U.S. sanctions concerning Iran or Syria, or (3) are owned or controlled by, or are acting on behalf of, any such person or entity subject to sanctions. Also in 2012, the United States enacted the Iran Threat Reduction and Syria Human Rights Act of 2012 (the “ITRA”), which expanded the range of Iran-related activities that expose third parties to sanctions, created new sanctions and strengthened existing sanctions. Among other things, the ITRA intensified existing sanctions regarding the provision of goods, services, infrastructure or technology to Iran’s petroleum or petrochemical sector. The ITRA also included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and the person had actual knowledge the vessel was so used or (2) if the person otherwise owns, operates, or controls, or insures the vessel, the person knew or should have known the vessel was so used. The ITRA also included a requirement that issuers of securities must disclose to the SEC in their annual and quarterly reports filed after February 6, 2013 if the issuer or “any affiliate” has “knowingly” engaged in certain activities involving Iran during the timeframe covered by the report. In January 2013, the United States enacted the Iran Freedom and Counter-Proliferation Act of 2012 (the “IFCPA”) which expanded the scope of U.S. sanctions on any person that participated in Iran’s energy, shipping or shipbuilding sector and operators of ports in Iran, and imposes penalties on any person who facilitates or otherwise knowingly provides significant financial, material or other support to these entities. In January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2016, the United States implemented its commitments under the Joint Comprehensive Plan of Action (the “JCPOA”). Pursuant to the JCPOA the United States committed to cease to apply, terminate or modify to effectuate the termination of certain Iran-related Executive Orders, as well as certain provisions of the Iran Sanctions Act, CISADA, the ITRA, the IFCPA and related regulations, and to remove certain individuals and entities from lists of sanctioned persons, including those designated under Executive Order 13608. Thus, the United States has committed not to impose sanctions on non-U.S. persons for engaging in certain transactions or dealings in Iran involving finance and banking; insurance; the energy and petrochemical sectors; the shipping, shipbuilding and port sectors; gold and other precious metals; raw and semi-finished metals and mineral resources, including software for integrating industrial processes; and the automotive sector. However, the JCPOA contains a “snap-back” provision that allows for the reinstatement of sanctions if Iran fails to continue to meet its obligations under the agreement.</w:t>
      </w:r>
    </w:p>
    <w:p>
      <w:pPr>
        <w:spacing w:after="0" w:line="19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the best of our knowledge, none of our vessels have called at ports in Iran, Syria, Sudan or Cuba since January 1, 2013, nor have we provided any services or products to Iran, Syria, Sudan and Cuba, or entered into any agreements, commercial arrangements or had any contact with the governments of, or entities controlled by the governments of, the aforementioned countries, during this time period. Additionally, to the best of our knowledge, we have not, since January 1, 2013, directly provided any services or products to Iran, or entered into any agreements, commercial arrangements or had any contact with the government of, or entities controlled by the government of Iran.</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 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2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It may not be possible for some of our vessels to call on Turkish ports due to the Turkish embargo on Cypriot flag vessels and vessels owned by Cypriot companies.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1987, the Turkish Government introduced certain restrictive measures against Cypriot owned or flagged vessels prohibiting such vessels to call on Turkish ports. In 1997, the restrictive measures were extended and since then they apply not only against Cypriot flag vessels but also against vessels registered under a foreign flag (of any nationality) sailing to Turkish ports directly from any Cypriot port under the effective control of the Republic of Cyprus or against vessels of any flag related to the Republic of Cyprus in terms of ownership or ship management. Cypriot vessels will be allowed passage through the Turkish Straits (Bosphorus) with or without pilot but no other services or provisions will be given, including bunker supply. Currently, 14 of our 18 vessels are owned by Cypriot companies and of these nine are Cyprus flagged. Whilst the restrictive measures remain in place, our vessels which are either Cypriot flagged or owned by a Cypriot company may not call on Turkish ports. This may restrict the use of Cypriot ports by our charterers and may have an effect on the possible operation of our vessels by them in the Eastern Mediterranean and the Black Sea or give rise to costs to change the ownership and flag of relevant vessels to permit trading to Turkey.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weapons or other contraband and stowaways on our vessels may lead to governmental claims against us.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an adverse effect on our business, results of operations, cash flows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significant risks in relation to compliance with anti-corruption laws and regulations.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(the “Bribery Act”) and the U.S. Foreign Corrupt Practices Act (the “FCPA”). Both civil and criminal penalties may be imposed on us as a result of violations of anti-corruption laws, and such penalties could have a significant impact on our reputation, business and financial condition.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Risks inherent in the operation of containerships could impair the ability of the charterer to make payments to us, increase our costs or reduce the value of our assets.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7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62"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w:t>
      </w:r>
    </w:p>
    <w:p>
      <w:pPr>
        <w:ind w:right="20"/>
        <w:spacing w:after="0" w:line="254" w:lineRule="auto"/>
        <w:rPr>
          <w:sz w:val="20"/>
          <w:szCs w:val="20"/>
          <w:color w:val="auto"/>
        </w:rPr>
      </w:pPr>
      <w:r>
        <w:rPr>
          <w:rFonts w:ascii="Arial" w:cs="Arial" w:eastAsia="Arial" w:hAnsi="Arial"/>
          <w:sz w:val="18"/>
          <w:szCs w:val="18"/>
          <w:color w:val="auto"/>
        </w:rPr>
        <w:t>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29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may adversely affect our business and operating results.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4.B. “Information on the Company—Business Overview—Inspection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65"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regulation and liability under environmental laws that could require significant expenditures and affect our cash flows and net income.</w:t>
      </w:r>
    </w:p>
    <w:p>
      <w:pPr>
        <w:spacing w:after="0" w:line="15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8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“Information on the Company— Business Overview—Environmental and Other Regulations.”</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Increased inspection procedures, tighter import and export controls and new security regulations could increase costs and cause disruption of our containership business.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8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93"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shareholders.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International Maritime Organisation (“IMO”) and the flag states, these requirements could require significant additional capital expenditures or otherwise increase the costs of our operations.</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Depending on the outcome of an ongoing European Union investigation of container liner companies related to potential antitrust violations, our growth, results of operations and our ability to charter our vessels may be reduced.</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European Commission is conducting investigations of certain major container liner companies, including CMA CGM, related to potential violations of European Union competition (antitrust) rules. Although we have no basis for assessing the outcome of these investigations, it is possible that additional financial and legal obligations may be imposed on one or more of these liner companies. Such obligations may make CMA CGM or similarly situated potential customers less likely to enter into or renew time charters for our containerships, which could reduce our growth opportunities and harm our business, results of operations and financial condition. In addition, any significant financial penalties arising from these or similar investigations could reduce the ability of CMA CGM or future customers to make charter payments to us, which likewise could harm our business, results of operations and financial condition.</w:t>
      </w:r>
    </w:p>
    <w:p>
      <w:pPr>
        <w:spacing w:after="0" w:line="293" w:lineRule="exact"/>
        <w:rPr>
          <w:sz w:val="20"/>
          <w:szCs w:val="20"/>
          <w:color w:val="auto"/>
        </w:rPr>
      </w:pPr>
    </w:p>
    <w:p>
      <w:pPr>
        <w:ind w:right="3680"/>
        <w:spacing w:after="0" w:line="400" w:lineRule="auto"/>
        <w:rPr>
          <w:sz w:val="20"/>
          <w:szCs w:val="20"/>
          <w:color w:val="auto"/>
        </w:rPr>
      </w:pPr>
      <w:r>
        <w:rPr>
          <w:rFonts w:ascii="Arial" w:cs="Arial" w:eastAsia="Arial" w:hAnsi="Arial"/>
          <w:sz w:val="17"/>
          <w:szCs w:val="17"/>
          <w:b w:val="1"/>
          <w:bCs w:val="1"/>
          <w:color w:val="auto"/>
        </w:rPr>
        <w:t xml:space="preserve">Risks Relating to our Common Stock and Depositary Shares Representing Series B Preferred Shares </w:t>
      </w:r>
      <w:r>
        <w:rPr>
          <w:rFonts w:ascii="Arial" w:cs="Arial" w:eastAsia="Arial" w:hAnsi="Arial"/>
          <w:sz w:val="17"/>
          <w:szCs w:val="17"/>
          <w:b w:val="1"/>
          <w:bCs w:val="1"/>
          <w:i w:val="1"/>
          <w:iCs w:val="1"/>
          <w:color w:val="auto"/>
        </w:rPr>
        <w:t>We cannot assure you if and when we will pay dividends on our common shares.</w:t>
      </w:r>
    </w:p>
    <w:p>
      <w:pPr>
        <w:spacing w:after="0" w:line="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are not currently paying dividends on our common shares. Subject to the limitations contained in our revolving credit facility, the indenture governing our notes and other contractual obligations, we may resume the distribution of a portion of our cash flow to our shareholders, while retaining the remaining cash flow for costs such as drydockings, reinvestment in our business, funding vessel or fleet acquisitions, making debt repayments and for other purposes, as determined by our board of directors.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charter-hire payments we obtain from our charters as well as the rates obtained upon the expiration of our existing charters;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of additional vessels;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scheduled drydockings;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interest payments and scheduled debt amortization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delivery of newbuilding vessels, if any, and the beginning of payments under charters relating to those vessels;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idle time after one charter expires until a new charter is agreed or the vessel is disposed of, should a new charter not be agreed;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price of our common shares and depositary shares representing Series B preferred shares may be volatile and may fluctuate due to factors such as:</w:t>
      </w:r>
    </w:p>
    <w:p>
      <w:pPr>
        <w:spacing w:after="0" w:line="15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results of operations and those of publicly held containership owners or operators;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organizational documents that may discourage a change of control.</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of these provisions provide for:</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There will be a substantial number of our common shares available for sale in the future that may adversely affect the market price of our Class A common shares.</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Pursuant to the registration rights agreement entered into at the effective time of the Merger, Marathon’s initial shareholders and, under certain circumstances, CMA CGM can demand that we register the resale of their holdings of our common shares at any time. 10,737,004 common shares held by Marathon’s initial shareholders were registered for sale under a registration statement on Form F-3 filed with the SEC on July 28, 2014. The registration and availability of such a significant number of securities for trading in the public market may have an adverse effect on the market price of our Class A common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is required to devote substantial time to complying with public company regulations.</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a related attestation of our independent auditors. While we did not identify any material weaknesses or significant deficiencies in our internal controls under the current assessment, we cannot be certain at this time that our internal controls will be considered effective in future assessments. Therefore, we can give no assurances that our internal control over financial reporting will satisfy regulatory requirements in the future.</w:t>
      </w:r>
    </w:p>
    <w:p>
      <w:pPr>
        <w:spacing w:after="0" w:line="287"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54"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Accordingly, you may not have the same protections afforded to shareholders of companies that are subject to all of the NYSE corporate governance requirements.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of our common stock to decline.</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2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8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us may decrease;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stock may be lower;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may be diminished;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shareholders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2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not have sufficient cash from our operations to enable us to pay dividends on or to redeem our Series B preferred shares, and accordingly the depositary shares, as the case may be, and our ability to pay dividends on or redeem our Series B preferred shares is limited by Marshall Islands law and our contractual obligations.</w:t>
      </w:r>
    </w:p>
    <w:p>
      <w:pPr>
        <w:spacing w:after="0" w:line="7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 preferred shares and accordingly the depositary shares would not be entitled to receive a dividend for that dividend period. However, any unpaid dividends will accumulate. In addition, on or after August 20, 2019, we will have the option to redeem the Series B preferred shares, and accordingly the depositary shares, although we may have insufficient cash available to do so or may otherwise elect not to do so.</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operating cash flow, capital expenditure requirements, working capital requirements and other cash needs;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under Marshall Islands law as described below;</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under our notes and our credit facilities and other instruments and agreements governing our existing and future debt as described below; and</w:t>
      </w:r>
    </w:p>
    <w:p>
      <w:pPr>
        <w:spacing w:after="0" w:line="75" w:lineRule="exact"/>
        <w:rPr>
          <w:rFonts w:ascii="Arial" w:cs="Arial" w:eastAsia="Arial" w:hAnsi="Arial"/>
          <w:sz w:val="18"/>
          <w:szCs w:val="18"/>
          <w:color w:val="auto"/>
        </w:rPr>
      </w:pPr>
    </w:p>
    <w:p>
      <w:pPr>
        <w:jc w:val="both"/>
        <w:ind w:left="900" w:right="36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overall financial and operating performance, which, in turn, is subject to prevailing economic and competitive conditions and to the risks associated with the shipping industry and the other factors (see Item “Risks Related to our Business” above), many of which are beyond our control.</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15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Further, the terms of our outstanding notes and our revolving credit facility prohibit us from declaring or paying any dividends or distributions on preferred stock, including the Series B preferred shares, or redeeming, purchasing, acquiring or making a liquidation payment on preferred stock in certain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income could fail to qualify for an exemption from U.S. federal income taxation, which would reduce our cash flow.</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does not both begin and end, in the United States,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8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will qualify for the exemption under Section 883 if, among other things, our stock is treated as primarily and regularly traded on an established securities market in the United States. However, under the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Generally, a 5% Shareholder is a qualified 5% Shareholder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information that we have as to our shareholders and other matters, we believe that we qualified for the Section 883 exemption for 2015, and expect to qualify for 2016. However, it is possible that our ownership may change such that qualified 5% Shareholders will not own, in the aggregate, a sufficient amount of our stock for more than half the days during the taxable year to preclude the non-qualifying 5% Shareholders from owning 50% or more of the total value of the stock held by the 5% Shareholders group.</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Such an ownership change, and certain other requirements for our stock to be treated as primarily and regularly traded on an established securities market, will be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 See Item 10.E. “Additional Information—Taxation —Taxation of Global Ship Lease—The Section 883 exemption” for a more comprehensive discussion of the U.S. federal income tax rules related to Section 883.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taxed as a U.S. corporation.</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adverse U.S. federal income tax consequences could arise for U.S. holders.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Shareholders of a “passive foreign investment company,” or PFIC, that are U.S. persons within the meaning of the Code, which we refer to as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8"/>
          <w:szCs w:val="18"/>
          <w:i w:val="1"/>
          <w:iCs w:val="1"/>
          <w:color w:val="auto"/>
        </w:rPr>
        <w:t xml:space="preserve">Tidewater </w:t>
      </w:r>
      <w:r>
        <w:rPr>
          <w:rFonts w:ascii="Arial" w:cs="Arial" w:eastAsia="Arial" w:hAnsi="Arial"/>
          <w:sz w:val="18"/>
          <w:szCs w:val="18"/>
          <w:color w:val="auto"/>
        </w:rPr>
        <w:t>decision, and in its discussion stated that the time charters at issue in</w:t>
      </w:r>
      <w:r>
        <w:rPr>
          <w:rFonts w:ascii="Arial" w:cs="Arial" w:eastAsia="Arial" w:hAnsi="Arial"/>
          <w:sz w:val="18"/>
          <w:szCs w:val="18"/>
          <w:i w:val="1"/>
          <w:iCs w:val="1"/>
          <w:color w:val="auto"/>
        </w:rPr>
        <w:t xml:space="preserve"> Tidewater </w:t>
      </w:r>
      <w:r>
        <w:rPr>
          <w:rFonts w:ascii="Arial" w:cs="Arial" w:eastAsia="Arial" w:hAnsi="Arial"/>
          <w:sz w:val="18"/>
          <w:szCs w:val="18"/>
          <w:color w:val="auto"/>
        </w:rPr>
        <w:t>would be treated as producing services income for PFIC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IRS’s statement with respect to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cannot be relied upon or otherwise cited as precedent by taxpayers. Further, the facts in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are not directly analogous to our facts. No assurance can be given that the IRS or a court of law would accept our position, and there is a risk that the IRS or a court of law could determine that the company is a PFIC.</w:t>
      </w:r>
    </w:p>
    <w:p>
      <w:pPr>
        <w:spacing w:after="0" w:line="18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7"/>
          <w:szCs w:val="17"/>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29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subject to taxation on all or part of our income in the United Kingdom, which could have a material adverse effect on our results of operations.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or our vessel owning subsidiaries were considered to be a resident of the United Kingdom (or “UK”) or to have a permanent establishment in the United Kingdom, all or a part of our profits could be subject to UK corporate tax, which had a maximum rate of 24%, 23% and 21% for the year ended March 31, 2013, 2014 and 2015, respectively, and 20% thereafter. We and our vessel owning subsidiaries are strategically managed and controlled from outside the United Kingdom and have restricted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do not believe that we or our vessel owning subsidiaries are residents of the United Kingdom,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will reduce our cash flow.</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our vessel owning subsidiaries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3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legal and commercial name is Global Ship Lease, Inc. We are a Republic of the Marshall Islands corporation that owns a fleet of containerships of a range of sizes. Our business is to charter out our fleet under long-term, fixed-rate charters to reputable container shipping companies to generate stable revenues and predictable cash flows.</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We were formed in 2007 to purchase and charter back containerships then owned or to be purchased by CMA CGM, the third largest containership operator in the world by number of vessels. We acquired our initial fleet of 17 containerships from CMA CGM between December 2007 and August 2009. All of the vessels were time chartered back to CMA CGM for terms between five and 17 years. Two of the initial charters, relating to our 4,113 TEU vessels, Ville d’Aquarius and Ville d’Orion, expired in September 2012 and were renewed successively with CMA CGM until late April 2014 for Ville d’Aquarius and late May 2014 for Ville d’Orion. New charters were agreed with another charterer, Sea Consortium, trading as X-Press Feeders, commencing May 7, 2014 for Ville d’Aquarius and July 17, 2014 for Ville d’Orion. These charters were successively renewed until the vessels’ redelivery to us late in 2015. The vessels were sold on November 5, 2015 and December 8, 2015, respectively. On October 28, 2014, we took delivery of the 8,063 TEU OOCL Tianjin, having purchased it from Orient Overseas Container Lines Limited (“OOCL”). The vessel was immediately chartered back to OOCL for a period between 36 and 39 months. On March 11, 2015, we took delivery of a second 8,063 TEU vessel, the OOCL Qingdao, also purchased from OOCL and, again, immediately chartered back for a period between 36 and 39 months. On September 17, 2015, we took delivery of a third 8,063 TEU vessel, the OOCL Ningbo, also purchased from OOCL and, again, immediately chartered back for a period between 36 and 39 months. The TEU weighted average remaining term of our 18 charters was 4.8 years at December 31, 2015 and TEU weighted average age for the fleet was 11.0 years. Our management team undertakes all management of our fleet including the supervision of the day-to-day technical ship management of our vessels which as of December 31, 2015 was provided for 13 of our 18 vessels by CMA Ships, a wholly owned subsidiary of CMA CGM, pursuant to ship management agreements, with an agreement to cap the reimbursement by us of expenses incurred on our behalf on the vessels they charter. A third party ship manager based in Hong Kong provides the day-to-day technical management of the other five vessels.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21, 2008, Global Ship Lease entered into a merger agreement pursuant to which Marathon and Global Ship Lease, then a subsidiary of CMA CGM, merged with and into GSL Holdings, Inc., Marathon’s newly-formed, wholly-owned Marshall Islands subsidiary, with GSL Holdings, Inc. (now renamed Global Ship Lease, Inc.) continuing as the surviving company incorporated in the Republic of the Marshall Islands (collectively, the “Merger”). The Merger was consummated on August 14, 2008.</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Pursuant to the Merger, CMA CGM holds approximately 44.4% of our outstanding common shares. See Item 7.A. “Major Shareholders and Related Party Transactions—Major Shareholders.”</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Until March 19, 2014, long-term debt comprised amounts outstanding under the Previous Credit Facility that was first drawn in December 2007. A total of $599.1 million was drawn under this facility. The floating interest rate was hedged with interest rate derivatives which gave rise to realized losses and unrealized gains or losses. The Previous Credit Facility was repaid by a quarterly cashflow sweep from November 2009. On March 19, 2014, we completed the issue of $420.0 million 10.000% notes, the principal use of proceeds being to repay the then $366.6 million remaining amount outstanding under the Previous Credit Facility which was then terminated. Outstanding derivatives were settled and terminated at the same time.</w:t>
      </w:r>
    </w:p>
    <w:p>
      <w:pPr>
        <w:spacing w:after="0" w:line="1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August 20, 2014, we issued 1,400,000 depositary shares,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net proceeds of $33.5 million were used, together with restricted cash and cash on hand, to redeem for $36.4 million, a substantial discount to liquidation value of $45.0 million, the Series A preferred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During 2015, $40.0 million was fully drawn under the revolving credit facility, agreed in connection with the issuance of the notes, to assist with the purchase of </w:t>
      </w:r>
      <w:r>
        <w:rPr>
          <w:rFonts w:ascii="Arial" w:cs="Arial" w:eastAsia="Arial" w:hAnsi="Arial"/>
          <w:sz w:val="18"/>
          <w:szCs w:val="18"/>
          <w:i w:val="1"/>
          <w:iCs w:val="1"/>
          <w:color w:val="auto"/>
        </w:rPr>
        <w:t>OOCL Qingdao</w:t>
      </w:r>
      <w:r>
        <w:rPr>
          <w:rFonts w:ascii="Arial" w:cs="Arial" w:eastAsia="Arial" w:hAnsi="Arial"/>
          <w:sz w:val="18"/>
          <w:szCs w:val="18"/>
          <w:color w:val="auto"/>
        </w:rPr>
        <w:t xml:space="preserve"> on March 11, 2015. On July 29, 2015, we entered into the $35.0 million secured term loan. The entire $35.0 million was drawn on September 10, 2015 and secured by </w:t>
      </w:r>
      <w:r>
        <w:rPr>
          <w:rFonts w:ascii="Arial" w:cs="Arial" w:eastAsia="Arial" w:hAnsi="Arial"/>
          <w:sz w:val="18"/>
          <w:szCs w:val="18"/>
          <w:i w:val="1"/>
          <w:iCs w:val="1"/>
          <w:color w:val="auto"/>
        </w:rPr>
        <w:t>OOCL Tianjin</w:t>
      </w:r>
      <w:r>
        <w:rPr>
          <w:rFonts w:ascii="Arial" w:cs="Arial" w:eastAsia="Arial" w:hAnsi="Arial"/>
          <w:sz w:val="18"/>
          <w:szCs w:val="18"/>
          <w:color w:val="auto"/>
        </w:rPr>
        <w:t>.</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For information about our material capital expenditures, see Item 5.B. “Operating and Financial Review and Prospects—Liquidity and Capital Resources—Liquidity, working capital and dividends.”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Class A common shares and our depositary shares, each of which represents a 1/100th interest in a share of our Series B preferred shares, are listed on the NYSE under the symbols “GSL” and “GSL-B,”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mailing address of our principal executive office is c/o Global Ship Lease Services Limited, Portland House, Stag Place, London SW1E 5RS,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our telephone number is 44 (0) 20 7869 8006. Our agent in the United States is Puglisi &amp; Associates, 850 Library Avenue, Suite 204,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Newark, Delaware 19711, their telephone number is +1(302) 738-6680 and their facsimile number is +1(302) 738-7210.</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website address is www.globalship.com. The information included on our website is not incorporate herein by reference. From time to time, we may use our website and social media outlets as channels of distribution of material company information.</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fleet, as of December 31, 2015, consisted of 18 containerships with an aggregate capacity of 82,312 TEU and a TEU weighted average age of approximately 11.0 years and a non-weighted average age of 11.3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information about our fleet as at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Capacity</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Lightweight</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Purchase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Remaining</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Earliest Charter</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7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Charter Term</w:t>
            </w:r>
          </w:p>
        </w:tc>
        <w:tc>
          <w:tcPr>
            <w:tcW w:w="1220" w:type="dxa"/>
            <w:vAlign w:val="bottom"/>
            <w:gridSpan w:val="2"/>
            <w:vMerge w:val="continue"/>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TEUs</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(tons)</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by GSL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(years) (1)</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Expiry Date</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 $</w:t>
            </w: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CMA CGM</w:t>
            </w:r>
          </w:p>
        </w:tc>
        <w:tc>
          <w:tcPr>
            <w:tcW w:w="4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Matisse</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2,262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1999</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 2007</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 21, 2019</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15,300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2,262</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11,676</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4.0</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12, 2019</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2,207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11,731</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20, 2017</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2,207</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11,731</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11, 2017</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2,207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11,731</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21, 2017</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2,207</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11,731</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14, 2017</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2,272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20, 2019</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2,272</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11,742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4.0</w:t>
            </w: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 7, 2019</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Jan 2008</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Oct 18, 2020</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5,089</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20,100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Jan 2008</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5.0</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 11, 2020</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11,040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38,577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 2008</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Oct 1, 2025</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47,200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4,298</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17,272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 2008</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17, 2022</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25,350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4,045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17,355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 2008</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16, 2022</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25,350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4,045</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17,355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 2008</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19, 2022</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25,350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6,621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26,776</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Aug 2009</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28, 2021</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OOCL Tianjin (1)</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8,063</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34,243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2005</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Oct 2014</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Oct 28, 2017</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OOCL Qingdao (1)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34,305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Mar 2015</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Mar 11, 2018</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OOCL Ningbo (1)</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8,063</w:t>
            </w:r>
          </w:p>
        </w:tc>
        <w:tc>
          <w:tcPr>
            <w:tcW w:w="2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34,243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2004</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2015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2.7</w:t>
            </w:r>
          </w:p>
        </w:tc>
        <w:tc>
          <w:tcPr>
            <w:tcW w:w="2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17, 2018</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Remaining charter term as at December 31, 2015 plus or minus 90 days at charterer’s option, except for (i) OOCL Tianjin which is between October 28, 2017 and January 28, 2018, (ii) OOCL Qingdao, which is between March 11, 2018 and June 11, 2018, and (iii) OOCL Ningbo, which is between September 17, 2018 and December 17, 2018, all at charterer’s option</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Charters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Each of the vessels in our initial fleet of 17 vessels was, and 15 remain, subject to a time charter with CMA CGM based on standard industry terms. We have separate subsidiaries to own each vessel in our fleet. We guarantee the obligations of each of our subsidiaries under the charters. Each of our initial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on our initial 17 vessels had terms of five to 17 years (plus or minus 90 days at charterer’s option). We agreed with CMA CGM, with effect from February 1, 2014, to extend by three years the charters on four vessels at a lower on-going daily charter rate. As at December 31, 2015, 15 vessels remained on their initial charters, as amended.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Charters on the Initial Fleet</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initial charters for two of our vessels, Ville d’Aquarius and Ville d’Orion expired in September 2012. New charters were put in place with CMA CGM until May 2013 and further renewed with effect from May 1, 2013 until April 30, 2014. Ville d’Aquarius was redelivered to us by CMA CGM on April 26, 2014. On May 7, 2014, a new charter to Sea Consortium, doing business as X-Press Feeders, came into effect for a period of 180 days plus or minus 30 days at charterer’s option. That charter was extended successively until the vessel’s redelivery to us on October 29, 2015. Ville d’Aquarius was sold on November 5, 2015. Ville d’Orion was redelivered to us by CMA CGM on May 25, 2014. On July 17, 2014, a new charter to Sea Consortium came into effect for a period of between six and 12 months, at charterer’s option. That charter was extended until the vessel was redelivered to us on December 3, 2015. Ville d’Orion was sold on December 8, 2015. Each of the remaining 15 vessels on charter to CMA CGM can be redelivered to us by the charterer on 30 days’ notice, during the re-delivery period. If an agreement to extend the charters is not reached, depending on market conditions, we may seek employment of these vessels with another charterer, lay them up or effect a sale.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Charters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October 28, 2014, we purchased OOCL Tianjin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September 17, 2015, we purchased OOCL Ningbo from OOCL and immediately chartered the vessel back to OOCL for a period of 36 to 39 months, at charterer’s option with 60 days’ notice of re-delivery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Daily Charter Rate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the charterers’ request. Our initial charters with CMA CGM provide for an increase in charter rate when we incur unavoidable capital expenditure above a specified threshold to comply, for example, with regulatory requirements introduced after the charters were agreed.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owners,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to sub-contract the day-to-day technical management of our vessels.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Pursuant to the terms of the initial time charters with CMA CGM, CMA CGM has a right of first refusal to purchase the vessel at matching terms to any offer of any third party if we decide to sell the vessel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a vessel to owners whose business or shareholding is determined to be detrimental or contrary to its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including:</w:t>
      </w:r>
    </w:p>
    <w:p>
      <w:pPr>
        <w:spacing w:after="0" w:line="9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the charterer’s lost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Generally, if a vessel is off-hire for more than 90 consecutive days, then the charterer may cancel the charter without any further consequential claims provided the vessel is free of cargo. Some of our charters provide that we can in some circumstances provide a substitute vessel during an anticipated extended period of off-hire. For the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 OOCL does not have a similar right.</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suspend the performance of our obligations under the charter if the charterer defaults on its payment obligations under the charter.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CMA Ships, a subsidiary of CMA CGM, provides day-to-day technical ship management services on 13 of our vessels. The technical ship management service is provided by a third party ship manager based in Hong Kong for the remaining five vessels, including those on charter to OOCL. Such services include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its ship management agreements.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pay CMA Ships an annual management fee of $123,000 per vessel it manages. The annual fee payable to the manager of the OOCL vessels is not materially different.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government and other regulations, and compliance with class certifications.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ship managers are required to use their best endeavors to provide the services specified in the ship management agreements. Pursuant to the terms of the ship management agreements, we indemnify the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manager is generally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Furthermore, with our agreement, manning has been subcontracted to CMA Ships UK’s affiliate based in Singapore. The ship management agreements may generally be terminated by either party on two months written notice, often after a specified minimum period of time.</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121"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Under our ship management agreements with CMA Ships, we have agreed to reimburse CMA Ships for ship operating expenses incurred by it on our behalf in the operation of our vessels. Pursuant to the global expense agreement that we entered into with CMA Ships and CMA CGM, this reimbursement was subject to a quarterly cap, fixed for the first three years that the relevant vessel was managed by CMA Ships. Since all of the relevant vessels have been managed by CMA Ships for at least three years, the fixed cap arrangements have lapsed in accordance with the terms of the global expense agreement.</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After the first three years, CMA CGM has agreed to compensate us, for any vessel in our fleet which remains on its initial charter, by the amount (not to exceed $500 per day per vessel) by which actual operating costs per day (excluding any exceptional repair costs, drydock costs and insurance premiums) are greater than $500 over a specified amount, which specified amount is reset annually at a predetermined and increasing amount as set out in the global expense agreement, provided that more than 50% of such increase is attributable to crew and lubricating oil costs. This arrangement is designed to provide some protection from unexpected and significant increases in operating costs, particularly for crew and lubricating oil costs, which are driven mainly by global markets over which we have no control.</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Once our ship management agreements with CMA Ships and the global expense agreement expire or are terminated, we may not be able to negotiate similar terms in replacement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76" w:lineRule="exact"/>
        <w:rPr>
          <w:sz w:val="20"/>
          <w:szCs w:val="20"/>
          <w:color w:val="auto"/>
        </w:rPr>
      </w:pPr>
    </w:p>
    <w:p>
      <w:pPr>
        <w:ind w:left="900" w:right="5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Intermediate Surveys</w:t>
      </w:r>
      <w:r>
        <w:rPr>
          <w:rFonts w:ascii="Arial" w:cs="Arial" w:eastAsia="Arial" w:hAnsi="Arial"/>
          <w:sz w:val="16"/>
          <w:szCs w:val="16"/>
          <w:color w:val="auto"/>
        </w:rPr>
        <w:t>. Also referred to as extended annual surveys, intermediate surveys are typically conducted two and one-half years after</w:t>
      </w:r>
    </w:p>
    <w:p>
      <w:pPr>
        <w:spacing w:after="0" w:line="46" w:lineRule="exact"/>
        <w:rPr>
          <w:rFonts w:ascii="Arial" w:cs="Arial" w:eastAsia="Arial" w:hAnsi="Arial"/>
          <w:sz w:val="16"/>
          <w:szCs w:val="16"/>
          <w:color w:val="auto"/>
        </w:rPr>
      </w:pPr>
    </w:p>
    <w:p>
      <w:pPr>
        <w:ind w:left="900"/>
        <w:spacing w:after="0" w:line="252" w:lineRule="auto"/>
        <w:rPr>
          <w:rFonts w:ascii="Arial" w:cs="Arial" w:eastAsia="Arial" w:hAnsi="Arial"/>
          <w:sz w:val="16"/>
          <w:szCs w:val="16"/>
          <w:color w:val="auto"/>
        </w:rPr>
      </w:pPr>
      <w:r>
        <w:rPr>
          <w:rFonts w:ascii="Arial" w:cs="Arial" w:eastAsia="Arial" w:hAnsi="Arial"/>
          <w:sz w:val="18"/>
          <w:szCs w:val="18"/>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us.</w:t>
      </w:r>
    </w:p>
    <w:p>
      <w:pPr>
        <w:spacing w:after="0" w:line="98" w:lineRule="exact"/>
        <w:rPr>
          <w:rFonts w:ascii="Arial" w:cs="Arial" w:eastAsia="Arial" w:hAnsi="Arial"/>
          <w:sz w:val="16"/>
          <w:szCs w:val="16"/>
          <w:color w:val="auto"/>
        </w:rPr>
      </w:pPr>
    </w:p>
    <w:p>
      <w:pPr>
        <w:ind w:left="900" w:right="100" w:hanging="446"/>
        <w:spacing w:after="0" w:line="287"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Class Renewal Surveys</w:t>
      </w:r>
      <w:r>
        <w:rPr>
          <w:rFonts w:ascii="Arial" w:cs="Arial" w:eastAsia="Arial" w:hAnsi="Arial"/>
          <w:sz w:val="16"/>
          <w:szCs w:val="16"/>
          <w:color w:val="auto"/>
        </w:rPr>
        <w:t>. Class renewal surveys, also known as special surveys, are carried out typically every five years on the ship’s hull,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machinery, including the electrical plant, and any special equipment classed, at the intervals indicated by the character of classification for the hull. Vessels are normally required to be inspected in a drydock as part of the special survey. However, with the classification society’s approval, the vessel can be subject to an underwater inspection, in lieu of a drydocking.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or underwater inspection is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As a condition for obtaining insurance coverage, each of our vessels needs to be certified “in class” by a member of the International Association of Classification Societies (“IACS”). Generally, if recommendations are not sufficiently corrected as determined by a member of IACS, then the vessel may not remain “in class.” If a vessel is not “in class,” it may not be covered by insurance, and may not be available for charter. The following table shows the classification societies for our vessels and lists the month by which they need to have completed their next drydocking: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Classification</w:t>
            </w:r>
          </w:p>
        </w:tc>
        <w:tc>
          <w:tcPr>
            <w:tcW w:w="2080" w:type="dxa"/>
            <w:vAlign w:val="bottom"/>
          </w:tcPr>
          <w:p>
            <w:pPr>
              <w:spacing w:after="0"/>
              <w:rPr>
                <w:sz w:val="14"/>
                <w:szCs w:val="14"/>
                <w:color w:val="auto"/>
              </w:rPr>
            </w:pPr>
          </w:p>
        </w:tc>
      </w:tr>
      <w:tr>
        <w:trPr>
          <w:trHeight w:val="18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4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Society</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5"/>
              </w:rPr>
              <w:t>Drydocking Month</w:t>
            </w:r>
            <w:r>
              <w:rPr>
                <w:rFonts w:ascii="Arial" w:cs="Arial" w:eastAsia="Arial" w:hAnsi="Arial"/>
                <w:sz w:val="12"/>
                <w:szCs w:val="12"/>
                <w:b w:val="1"/>
                <w:bCs w:val="1"/>
                <w:color w:val="auto"/>
                <w:w w:val="95"/>
              </w:rPr>
              <w:t>(1)</w:t>
            </w:r>
          </w:p>
        </w:tc>
      </w:tr>
      <w:tr>
        <w:trPr>
          <w:trHeight w:val="195"/>
        </w:trPr>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CMA CGM</w:t>
            </w:r>
          </w:p>
        </w:tc>
        <w:tc>
          <w:tcPr>
            <w:tcW w:w="4320" w:type="dxa"/>
            <w:vAlign w:val="bottom"/>
          </w:tcPr>
          <w:p>
            <w:pPr>
              <w:ind w:left="120"/>
              <w:spacing w:after="0" w:line="195" w:lineRule="exact"/>
              <w:rPr>
                <w:sz w:val="20"/>
                <w:szCs w:val="20"/>
                <w:color w:val="auto"/>
              </w:rPr>
            </w:pPr>
            <w:r>
              <w:rPr>
                <w:rFonts w:ascii="Arial" w:cs="Arial" w:eastAsia="Arial" w:hAnsi="Arial"/>
                <w:sz w:val="18"/>
                <w:szCs w:val="18"/>
                <w:color w:val="auto"/>
              </w:rPr>
              <w:t>Matisse</w:t>
            </w: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Bureau Veritas</w:t>
            </w:r>
          </w:p>
        </w:tc>
        <w:tc>
          <w:tcPr>
            <w:tcW w:w="560" w:type="dxa"/>
            <w:vAlign w:val="bottom"/>
          </w:tcPr>
          <w:p>
            <w:pPr>
              <w:spacing w:after="0"/>
              <w:rPr>
                <w:sz w:val="16"/>
                <w:szCs w:val="16"/>
                <w:color w:val="auto"/>
              </w:rPr>
            </w:pPr>
          </w:p>
        </w:tc>
        <w:tc>
          <w:tcPr>
            <w:tcW w:w="2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November 2019</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December 2019</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Delmas Keta</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2018</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November 2017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January 2017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October 2016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Kumasi</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Alcazar</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November 2017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December 2017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 xml:space="preserve">CMA CGM Thalassa </w:t>
            </w:r>
            <w:r>
              <w:rPr>
                <w:rFonts w:ascii="Arial" w:cs="Arial" w:eastAsia="Arial" w:hAnsi="Arial"/>
                <w:sz w:val="15"/>
                <w:szCs w:val="15"/>
                <w:color w:val="auto"/>
              </w:rPr>
              <w:t>(2)</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December 2017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DNV-GL</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September 2016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Sambhar</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Lloyd’s Register</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July 2016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Lloyd’s Register</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September 2016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CMA CGM Berlioz</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Bureau Veritas</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July 2016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American Bureau of Shipping</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2020</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OOCL Qingdao</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American Bureau of Shipping</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April 2019</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OOCL Ningbo</w:t>
            </w:r>
          </w:p>
        </w:tc>
        <w:tc>
          <w:tcPr>
            <w:tcW w:w="42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American Bureau of Shipping</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May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month of drydocking assumes that the vessel qualifies for in-water inspections at the intermediate survey.</w:t>
      </w:r>
    </w:p>
    <w:p>
      <w:pPr>
        <w:spacing w:after="0" w:line="23" w:lineRule="exact"/>
        <w:rPr>
          <w:rFonts w:ascii="Arial" w:cs="Arial" w:eastAsia="Arial" w:hAnsi="Arial"/>
          <w:sz w:val="18"/>
          <w:szCs w:val="18"/>
          <w:color w:val="auto"/>
        </w:rPr>
      </w:pPr>
    </w:p>
    <w:p>
      <w:pPr>
        <w:ind w:left="580" w:right="240" w:hanging="572"/>
        <w:spacing w:after="0" w:line="253"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CMA CGM Thalassa underwent its first special survey in November 2013 while afloat, including an underwater inspection in lieu of a drydocking. As a result, the next required inspection in a drydock was postponed from December 2013 until December 2017 at the latest. The vessel was drydocked in December 2014, principally to modify the bulbous bow to allow for more efficient fuel consumption at slower speeds. In addition, regular drydock work was undertaken, including repainting the underwater parts, and the current regulatory deadline of December 2017 may be extended.</w:t>
      </w:r>
    </w:p>
    <w:p>
      <w:pPr>
        <w:spacing w:after="0" w:line="19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table does not take account of discretionary drydockings which might be planned to effect upgrades, such as the bulbous bow on CMA CGM Thalassa, or in response to proposed or actual regulatory changes such as for ballast water treatment.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including CMA CGM and its subsidiaries, to, among other things, purchase newbuildings and secondhand vessels to grow our fleet.</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CMA CGM or OOCL or obtain new charterers on a profitable basis, if at all, which would have a material adverse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managers. For example, the Delmas Keta, Julie Delmas, Kumasi and Marie Delmas have not been certified to comply with all U.S., Canadian and Panama Canal regulations, as CMA CGM does not intend to operate them in these waters.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ballast water management and security. Compliance with these laws, regulations and other requirements entails significant expense, including vessel modifications and the implementation of certain operating procedures, and are subject to frequent change.</w:t>
      </w:r>
    </w:p>
    <w:p>
      <w:pPr>
        <w:spacing w:after="0" w:line="17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variety of governmental and private entities subject our vessels to both scheduled and unscheduled inspections. These entities include the local port authorities, U.S.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154"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Increasing environmental concerns have created a demand for vessels that conform to stricter environmental standards. We will be required to maintain operating standards for all of our vessels that emphasize operational safety, quality maintenance, continuous training of our officers and crews and compliance with U.S.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effect on our financial condition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Our vessels are subject to standards imposed by the IMO, the United Nations agency for maritime safety and the prevention of pollution by ships. The IMO has negotiated various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66"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the creation of Emission Control Areas, or ECAs. Already established ECAs include the Baltic Sea, the North Sea, including the English Channel, the North American area and the U.S. Caribbean Sea area. Additional geographical areas may be designated as ECAs in the future. Annex VI calls for incremental reductions in sulphur in fuel between 2012 and 2020 (or 2015 in the case of ECAs), with the global sulphur cap reduced initially to 3.50% (from 4.50%), effective from January 1, 2012, then progressively to 0.50%, effective from January 1, 2020, subject to a feasibility review to be completed no later than 2018. Annex VI also calls for the use of advanced technology engines designed to reduce emissions of nitrogen oxide, with a “Tier II” emission limit for engines installed on or after January 1, 2011 and a more stringent “Tier III” emission limit for engines installed on or after 2016 operating in nitrogen oxide ECAs.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registered the vessels in our fleet in flag states that have ratified Annex VI, which require that we obtain International Air Pollution Prevention Certificates, or IAPP Certificates, for the vessels in our fleet, from those flag states. As of December 31, 2015, all of the vessels in our fleet had IAPP Certificates.</w:t>
      </w:r>
    </w:p>
    <w:p>
      <w:pPr>
        <w:spacing w:after="0" w:line="181"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Regulations aimed at improving the energy efficiency of international shipping entered into force on January 1, 2013, following amendments to the International Convention for the Prevention of Pollution from Ships (MARPOL), which were adopted in July 2011. These amendments add new Chapter 4 Regulations on energy efficiency for ships to MARPOL Annex VI, to make mandatory an Energy Efficiency Design Index (EEDI), for new ships built after January 1, 2013 and a Ship Energy Efficiency Management Plan (SEEMP) for all ships. Ships in service need to submit a SEEMP and obtain certification of compliance from their classification society by the first annual survey after January 1, 2013.</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EEDI is a non-prescriptive, performance-based mechanism that leaves the choice of technologies to use in a specific ship design to the industry. As long as the required energy-efficiency level is attained, ship designers and builders would be free to use the most cost-efficient solutions for the ship to comply with the regulations.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SEEMP establishes a mechanism for operators to improve the energy efficiency of ships. Owners are required to prepare and vessels are required to keep on board, a ship specific SEEMP. As at December 31, 2015 all of our vessels had prepared and submitted a SEEMP and had been issued with an International Energy Efficiency Certificate (IEEC).</w:t>
      </w:r>
    </w:p>
    <w:p>
      <w:pPr>
        <w:spacing w:after="0" w:line="18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 levels of authority and lines of communication between, and among, shore and shipboard personnel; implement procedures for reporting accidents and non-conformities with the provisions of the ISM Code and corrective action; implement procedures to prepare guidelines and respond to emergency situations; and implement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at December 31, 2015,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2004, the IMO adopted an International Convention for the Control and Management of Ships’ Ballast Water and Sediments, or BWM Convention. The BWM Convention’s implementing regulations call for the installation of ballast water treatment systems on newbuilding vessels for which the keel is laid after January 1, 2012 and for existing vessels prior to their first intermediate or renewal survey after January 1, 2016. However, a 2013 IMO Resolution provides that for ships constructed before the BWM Convention enters into force, compliance with the ballast water performance standard will not be required until their first renewal survey after entry into force. The BWM Convention will not enter into force, on a retroactive basis, until 12 months after it has been adopted by at least 30 IMO Member States, the combined merchant fleets of which represent not less than 35% of the gross tonnage of the world’s merchant shipping. As of February 10, 2016, the BWM Convention has been ratified by 47 states but those states constitute only 34.35% of gross tonnage and therefore the Convention has not yet come into force. See “—Ballast Water Management,” below, for a discussion of possible impacts of increased ballast water management regulation.</w:t>
      </w:r>
    </w:p>
    <w:p>
      <w:pPr>
        <w:spacing w:after="0" w:line="19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at December 31, 2015, each of our vessels was in possession of a Statement of Compliance issued by the Classification Society.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Labour Organization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Maritime Labour Convention, 2006 (MLC 2006) came into force on August 20, 2013 following ratification by 30 nations representing 33% of the world’s shipping gross tonnage. MLC 2006 establishes minimum requirements for seafarer’s employment conditions such as hours of work and rest, training/certification, health protection, medical care/certification, welfare and social security protection, as well as, for new ships, accommodation and recreational facilities. Each ship is required to obtain proof of compliance in the form of a Maritime Labour Certificate from the flag state and by preparing a Declaration of Maritime Labour Compliance, which should minimize compliance inspections. Each of our vessels is compliant.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Oil Pollution Act of 1990</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U.S. waters, which includes the U.S.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7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1, 2009, the U.S. Coast Guard (the “Coast Guard”) by Interim Rule increased the limits of the liability of responsible parties with effect from July 31, 2009. For any non-tank vessel, the new limits on liability are the greater of $1,000 per gross ton or $854,400. The Coast Guard further updated these limits more recently to the greater of $1,100 per gross ton or $939,800 effective as of November 19, 2015. These limits of liability do not apply if an incident was directly caused by violation of applicable U.S.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OPA requires owners and operators of vessels to obtain a certificate of financial responsibility by establishing and maintaining with the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our vessels that are likely to enter U.S. waters, we intend to comply with the U.S. Coast Guard regulations by providing a certificate of responsibility from third party entities that are acceptable to the U.S. Coast Guard evidencing sufficient insurance.</w:t>
      </w:r>
    </w:p>
    <w:p>
      <w:pPr>
        <w:spacing w:after="0" w:line="19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Title VII of the Coast Guard and Maritime Transportation Act of 2004, or CGMTA, amended OPA to require the U.S. Coast Guard to issue regulations to require the owner or operator of any non-tank vessel of 400 gross tons or more that carries oil of any kind as a fuel for main propulsion, to prepare and submit a response plan for each vessel. The U.S. Coast Guard issued a Nontank Vessel Response Plan Final Rule on September, 30, 2013 effective October 30, 2013 and implemented on January 30, 2014 under which vessel owners or operators must submit a new oil spill Vessel Response Plan to meet the new requirements of Title 33, Code of Federal Regulations (Part 155, subpart J) to replace the present Vessel Response Plans given changes in the regulations.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were extended to non-tank vessels. GIUE are paid for by the ship owner. We comply with the requirements of the CGMTA and OPA. Our vessels that call at U.S. ports have appropriate vessel response plans filed with the U.S. Coast Guard and copies are available onboard.</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incident,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U.S. ports through ballast water taken on by ships in foreign ports. Under NISA, the Coast Guard required mandatory ballast water management practices for all vessels equipped with ballast water tanks bound for U.S. ports or entering U.S.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U.S. Coast Guard Final Rule, Standard for Living Organisms in Ships’ Ballast Water Discharged in US Waters (superseding the previous) came into effect on June 21, 2012 and sets out allowable organism concentrations consistent with the IMO BWM Convention. The Final Rule also set outs general non-indigenous species reduction practices including hull, tank and pipe cleaning. The Final Rule introduces a requirement for a Ballast Water Management System (BWMS) for vessels with a ballast water capacity between 1500 and 5000 cubic meters by the first scheduled drydocking after January 1, 2014 and for those with smaller or larger capacity by the first such drydocking after January 1, 2016. All of our vessels have ballast water capacities in excess of 5,000 cubic meters. Before then as alternatives, ballast water may be exchanged 200 nautical miles from any shore or an Alternative Management System may be installed that is approved by a foreign administration under the BWM Convention, meets a minimum effective determination by the Coast Guard and receives full approval within five years of the compliance date for the vessel. The BWMS must meet stringent maximum allowable organism concentrations depending on their size and hazard to health, as well as other design criteria. BWM records must be retained on board for two years and information notified at least 24 hours prior to arrival. The Coast Guard has by Policy letter advised it will consider individual requests for extensions in case of real difficulty in implementing BWM discharge standards due to the availability of appropriate BWMS, though it has also issued an updated list of approved BWMS.</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Clean Water Act, or CWA, prohibits the discharge of oil or hazardous substances in U.S. navigable waters without a permit and imposes strict liability in the form of penalties for any unauthorized discharges. Current Environmental Protection Agency, or EPA, regulations exempt ships in U.S. navigable waters from the requirement to obtain CWA permits for discharges of ballast water and other substances incidental to the normal operation of vessels. However, a U.S. District Court ruled in 2006 that EPA lacks the authority to exclude discharges of vessel ballast water from permitting requirements under the CWA, invalidating the blanket exemption in EPA regulations for all discharges incidental to the normal operation of a vessel as at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 The new 2013 VGP replaced the 2008 VGP on December 19, 2013 and provides for more stringent numerical ballast water discharge limits for most vessels, more stringent effluent limits for oil to sea interfaces and for exhaust gas scrubber wash water and an annual report in place of the current one-time report.</w:t>
      </w:r>
    </w:p>
    <w:p>
      <w:pPr>
        <w:spacing w:after="0" w:line="169"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There remains a patchwork of partly inconsistent ballast water management and hull cleaning regulations across the various U.S. states, some containing requirements more stringent than IMO, such as California, which requires vessels exceeding 300 gross tons operating in its waters to perform, record and report regular hull cleaning and limits the number of living organisms of different categories that may be discharged.</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(See “—International Maritime Organization” above), could increase the cost of compliance for ocean carriers, including requiring installation of equipment of ballast water treatment systems on vessels at substantial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In December 2009, the EPA issued more stringent emission standards for new Category 3 marine engines. The standards are consistent with the amendments to Annex VI of MARPOL discussed above. Certain emission standards took effect as early as 2011. We may incur costs to install equipment in these vessels to comply.</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nautical miles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California coast and require operators to use low sulphur fuels. The Office of Administrative Law approved the rulemaking and filed it with the Secretary of State on May 29, 2009. The regulation became effective on June 28, 2009. The implementation date for the second phase of the program, which further reduced permissible levels of sulphur in fuel was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Fleet operators were required to submit or update their plans and reduction of at berth emissions by half on average has been required since January 1, 2014. These requirements may increase operating costs while in California ports.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waters of the European Union, or the EU, our vessels are subject to regulation EU-level Directives implemented by the various nations through laws and regulations of these requirements and EU Regulations that have a direct effect in EU member states. These laws and regulations prescribe measures to prevent pollution, protect the environment, and support maritime safety and set out criminal penalties which are being progressively incorporated into domestic legislation.</w:t>
      </w:r>
    </w:p>
    <w:p>
      <w:pPr>
        <w:spacing w:after="0" w:line="18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On Port State Control, for instance, the EU has adopted directives (1999/35/EC &amp; 2009/16/EC)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EU Directive 2009/16/EC introduced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vessels are also required to be inspected by an appropriate classification society. Classification societies typically establish and maintain standards for the construction and classification of vessels, supervise that construction is according to these standards, and carry out regular surveys of ships in service to ensure compliance with the standards as well as flag state regulations.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EU’s directive on the sulphur content of fuels restricts the maximum sulphur content of marine fuels used in vessels operating in EU member states’ territorial seas, exclusive economic zones and pollution control zones. The directive provides for more stringent rules on maximum sulphur content of marine fuels applicable in specific Sulphur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sulphur fuel content limits in the marine fuel our vessels use in order to avoid delays or other obstructions to their operations, as well as for any enforcement measures which may be imposed by the relevant member states for non-compliance with the provisions of the directive. We also may need to make other expenditures (such as expenditures related to treating exhaust gases) to comply with relevant limitations on sulphur oxide emissions levels. Another more recent, directive of the European Parliament and the European Council has entered into force, which amends the previous directive to bring the above requirements in line with Annex VI of MARPOL. It also makes certain of these requirements more stringent. These and other related requirements may require additional capital expenditures and increase our operating costs.</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Another EU directive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EU has adopted an Integrated Maritime Policy for the purposes of achieving a more coherent approach to maritime issues. The EU Commission’s proposals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October 2007, the EU adopted an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regulations would incorporate elements of the Hong Kong International Convention on the Safe and Environmentally Sound Recycling of Ships, appropriate for the global approach to ship dismantling and elements of the Basel Convention to the in situ treatment of materials from dismantling. On November 15, 2013, an EU Regulation on Ship Recycling was adopted requiring vessels to carry an inventory of hazardous materials within seven years for existing ships. Further regulations are expected to promote the use of shore-side electricity by ships at berth in EU ports to reduce air emissions, and other options for EU legislation to reduce greenhouse gas emissions from maritime transport. The EU is currently considering other proposals to further regulate vessel operations.</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 in Europe</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From October 1, 2012, a voluntary ballast water management regime has been operating in the Mediterranean Sea, NE Atlantic &amp; Baltic, and in-between. The regime, which effectively urges ships to undertake ballast water exchange before entering those areas, is to remain in place until the BWM Convention comes into 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Greenhouse Gas Legislation</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may have to contribute to the Green Climate Fund agreed at the latter as it has been recognized by the UN and G20 that shipping is a potential major source of funds. The G20 has suggested a contribution as high as $25 billion per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July 2011, parties to MARPOL Annex VI adopted mandatory measures to reduce emissions of greenhouse gases from international shipping. The amendments make the Energy Efficiency Design Index (EEDI) mandatory for new ships and the Ship Energy Efficiency Management Plan (SEEMP) is mandatory for all ships. With regard to greenhouse gas emissions, there have been discussions in the IMO for the adoption of a market-based mechanism for the reduction of carbon emissions from vessels, such as an emissions trading system or an international greenhouse gas contribution fund, with contributions being based on bunker fuel purchases.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European Union (“EU”) recently adopted Regulation (EU) 2015/757 concerning the monitoring, reporting and verification of carbon dioxide emissions from vessels, or the MRV Regulation, which was published in the Official Journal on May 19, 2015 and went into effect on July 1, 2015. The MRV Regulation applies to all vessels over 5,000 gross tonnage (except for a few types, including, but not limited to warships and fish catching or processing vessels), irrespective of flag, in respect of carbon dioxide emissions released during voyages within the EU as well as EU incoming and outgoing voyages. The first reporting period will commence on January 1, 2018. The monitoring, reporting and verification system adopted by the MRV Regulation may be the precursor to a market-based mechanism to be adopted in the future.</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IMO, EU, Canada, the United States and other individual countries, states and provinces continue to evaluate various measures to reduce greenhouse gas emissions from international shipping, which may include some combination of market-based instruments, a carbon tax or other mandatory reduction measures. For example, the United Nations COP21 Climate Change Conference in Paris in December 2015, called for reductions in greenhouse gas emissions, but did not include proposals specifically targeting shipping. Any passage of climate control legislation or other regulatory initiatives by the IMO, EU, Canada, the United States or other individual jurisdictions where we operate, that restrict emissions of greenhouse gases from vessels, could require us to make significant capital expenditures and may materially increase our operating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8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U.S. Coast Guard regulations are intended to align with international maritime security standards and they exempt non-U.S. vessels from MTSA vessel security measures, provided that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cost of vessel security measures has also been affected by the escalation in recent years in the frequency and seriousness of acts of piracy against ships, notably off the coast of Somalia, including the Gulf of Aden and Arabian Sea area. Attacks of this kind have commonly resulted in vessels and their crews being detained for several months, and being released only on payment of large ransoms. Substantial loss of revenue and other costs may be incurred as a result of such detention. The risk remains of uninsured losses which could significantly affect our business. Costs are incurred in taking additional security measures in accordance with Best Management Practices to Deter Piracy, notably those contained in the BMP4 industry standard.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Laws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FCPA, the Bribery Act and the anti-corruption laws of any jurisdiction applicable to 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FCPA, passed in 1977 and since amended, prohibits providing, offering, promising, or authorizing the offer, promise or payment, directly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indirectly, anything of value to government officials, political parties, or political candidates for the purposes of obtaining or retaining business. The Bribery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which came into force in July 2011, created four main offenses of (i) making bribes, (ii) receiving bribes, (iii) bribing foreign public officials,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(iv) failing as a commercial organization to prevent bribery when an ‘associated person’ bribes another on its behalf absent adequate procedures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prevent. The Bribery Act extends beyond bribery of government officials and applies to both offenses committed in the United Kingdom and overseas where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offense is committed by a person with a close connection to the United Kingdom, and fines are potentially unlimited. In addition, the U.K. Serious Fraud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has identified the shipping industry as one of the most high risk industries likely to be affected by the Bribery 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U.S. market.</w:t>
      </w:r>
    </w:p>
    <w:p>
      <w:pPr>
        <w:spacing w:after="0" w:line="19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As required by the terms of our revolving credit facility, the notes and the secured term loan, we have assigned certain of our insurance policies to our lenders under the revolving credit facility and the holders of the notes and will be subject to restrictions on our use of any proceeds therefrom.</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yet to obtain loss-of-hire insurance covering the loss of revenue during extended off-hire periods. We evaluate obtaining such coverage on an ongoing basis, taking into account insurance market conditions and the employment of our vessels.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 As required by the terms of our revolving credit facility and the notes, we have assigned certain of our insurance policies to our lenders under the revolving credit facility and the holders of the notes and will be subject to restrictions on our use of any proceeds therefrom.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Thirteen P&amp;I Associations comprise The International Group, which insures approximately 90% of the world’s commercial blue-water tonnage and has entered into a pooling agreement with each of its members to reinsure each association’s liabilities. We intend to remain members of P&amp;I Associations that are members of the International Group, and as such, we will be subject to calls payable to the International Group based on other P&amp;I Associations claim records as well as the claim records of all other members of our own P&amp;I Associations.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holding company, Global Ship Lease, Inc., is a Marshall Islands corporation. Each vessel is owned by a directly held separate wholly-owned subsidiary. Thirteen vessels are owned by companies incorporated in Cyprus; four by companies incorporated in Hong Kong; and one is held by another Marshall Islands company. In addition, Global Ship Lease Services Limited, a company incorporated in England and Wales and which is directly wholly owned by the holding company, provides administrative services to the group.</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our subsidiaries and the country of incorporation of each one is provided as Exhibit 8.1 to this annual report on Form 20-F.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only material properties are the vessels in our fleet, which are described in Item 4.B. “Information on the Company—Business Overview.” We do not own any real property.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Part I.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At December 31, 2015, we owned 18 vessels with a total capacity of 82,312 TEU with an average age, weighted by TEU capacity, of 11.0 years. All of the vessels are fixed on charters, mainly long term, with an average remaining term of 4.6 years, or 4.8 years on a weighted by capacity basis.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10,737,004 common shares held by Marathon’s initial shareholders were registered for sale under a registration statement on Form F-3 filed with the SEC on July 28, 2014. The registration and availability of such a significant number of securities for trading in the public market may have an adverse effect on the market price of our Class A common shares.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September 17, 2015, we purchased OOCL Ningbo from OOCL and immediately chartered the vessel back to OOCL for a period of 36 to 39 months, at charterer’s option with 60 days’ notice of re-delivery.</w:t>
      </w:r>
    </w:p>
    <w:p>
      <w:pPr>
        <w:spacing w:after="0" w:line="170"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have entered into ship management agreements with third-party ship managers for the day-to-day technical management of our current fleet of vessels. See Item 4.B. “Information on the Company—Business Overview—Ship Management Agreements” for a more detailed description of our ship management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results are largely driven by the following factors:</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under which we recharter our vessels once the existing time charters have expired;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access to, and the pricing and other terms of, our revolving credit facility and secured term loan.</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entered into mainly long-term fixed rate time charters for all of our vessels. We expect that our base revenue will be largely fixed until (a) any of our charters expire or otherwise terminate when we will need to seek a renewal or recharter, at possibly a significantly different rate depending on market conditions at the time, or (b) we acquire additional vessels. The time charters for five of our 18 containerships can be terminated as early as dates from September 11, 2017 to October 28, 2017. A further two vessels’ charters could terminate in March and September 2018. The charter rate that we will be able to achieve on renewal will be affected by market conditions at that time. As discussed further below, operational matters such as off-hire days for planned maintenance or for unexpected accidents and incidents affect the actual amount of revenues we receive.</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CMA CGM is our main customer and the largest holder of our common shares. Charter payments from CMA CGM are our principal source of operating cash flow. At any given time in the future, the cash resources of CMA CGM may be diminished or exhausted, and we cannot assure you that CMA CGM will be able to make charter payments to us.</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container shipping industry suffered a cyclical downturn in 2011 and many container shipping companies reported substantial losses. Financial performance of container shipping companies improved in 2012; however, the industry remains under pressure due to oversupply of container ship capacity. While charter payments have been received on a timely basis in 2014 and 2015, we have experienced, from time to time, delays in receiving charterhire payments from CMA CGM. For example, in the year ended December 31, 2013, between one and three installments were outstanding at any one time, which under the charter contracts are due to be paid on the 1</w:t>
      </w:r>
      <w:r>
        <w:rPr>
          <w:rFonts w:ascii="Arial" w:cs="Arial" w:eastAsia="Arial" w:hAnsi="Arial"/>
          <w:sz w:val="15"/>
          <w:szCs w:val="15"/>
          <w:color w:val="auto"/>
        </w:rPr>
        <w:t>st</w:t>
      </w:r>
      <w:r>
        <w:rPr>
          <w:rFonts w:ascii="Arial" w:cs="Arial" w:eastAsia="Arial" w:hAnsi="Arial"/>
          <w:sz w:val="18"/>
          <w:szCs w:val="18"/>
          <w:color w:val="auto"/>
        </w:rPr>
        <w:t xml:space="preserve"> and 16</w:t>
      </w:r>
      <w:r>
        <w:rPr>
          <w:rFonts w:ascii="Arial" w:cs="Arial" w:eastAsia="Arial" w:hAnsi="Arial"/>
          <w:sz w:val="15"/>
          <w:szCs w:val="15"/>
          <w:color w:val="auto"/>
        </w:rPr>
        <w:t>th</w:t>
      </w:r>
      <w:r>
        <w:rPr>
          <w:rFonts w:ascii="Arial" w:cs="Arial" w:eastAsia="Arial" w:hAnsi="Arial"/>
          <w:sz w:val="18"/>
          <w:szCs w:val="18"/>
          <w:color w:val="auto"/>
        </w:rPr>
        <w:t xml:space="preserve"> of each month, in advance. During the year ended December 31, 2015, up to one installment was outstanding. As of December 31, 2015, charterhire was up-to-date. If CMA CGM is unable to make charter payments to us, our results of operations and financial condition will be materially adversely affected. If our existing charters with CMA CGM were terminated and we were required to recharter at lower rates or if we were unable to find new charters due to market conditions, our results of operations and financial condition would be materially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March 15, 2016, we announced the results of the tender offer in respect of excess cashflow and collateral sale proceeds, which we are obliged to make under the terms of our bond indenture. The offer was launched on February 2, 2016 and was to purchase up to $28,417,622 aggregate amount with respect to our notes, at a price of 102 together with accrued interest.</w:t>
      </w:r>
    </w:p>
    <w:p>
      <w:pPr>
        <w:spacing w:after="0" w:line="181" w:lineRule="exact"/>
        <w:rPr>
          <w:sz w:val="20"/>
          <w:szCs w:val="20"/>
          <w:color w:val="auto"/>
        </w:rPr>
      </w:pPr>
    </w:p>
    <w:p>
      <w:pPr>
        <w:jc w:val="both"/>
        <w:ind w:right="220" w:firstLine="456"/>
        <w:spacing w:after="0" w:line="342" w:lineRule="auto"/>
        <w:rPr>
          <w:sz w:val="20"/>
          <w:szCs w:val="20"/>
          <w:color w:val="auto"/>
        </w:rPr>
      </w:pPr>
      <w:r>
        <w:rPr>
          <w:rFonts w:ascii="Arial" w:cs="Arial" w:eastAsia="Arial" w:hAnsi="Arial"/>
          <w:sz w:val="16"/>
          <w:szCs w:val="16"/>
          <w:color w:val="auto"/>
        </w:rPr>
        <w:t>The aggregate amount of notes validly tendered exceeded the maximum offer amount and consequently the validly tendered notes were accepted for purchase on a pro rata basis. $26.7 million principal amount of notes, together with premium and accrued interest, were purchased on March 16,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On March 21, 2008, Global Ship Lease entered into a merger agreement with Marathon, GSL Holdings and CMA CGM and thereafter entered into amendments to the merger agreement pursuant to which Marathon merged with and into GSL Holdings, its newly-formed, wholly-owned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a further description of our material accounting policies, please see note 3 to the consolidated financial statements included at Item 18.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and similar transactions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11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Vessels represent our most significant tangible assets. Up to the date of the Merger, vessels were recorded in the financial statements at their purchase price, with an amount allocated to a drydock component and less accumulated depreciation. Vessels owned at the date of the Merger were subsequently recorded at their fair value at the date of the Merger, with an amount allocated to a drydock component, less a proportion of the negative goodwill arising at the time of the Merger allocated to these vessels and less accumulated depreciation. Vessels purchased subsequent to the Merger are stated at purchase price, which consists of the contract price and any material expenses incurred upon acquisition (including initial repairs, improvements and delivery expenses, interest and on-site supervision costs incurred during the construction periods and drydock component, where relevant). Expenditures for conversions and major improvements are also capitalized when they appreciably extend the life, increase the earning capacity or improve the efficiency or safety of the vessels.</w:t>
      </w:r>
    </w:p>
    <w:p>
      <w:pPr>
        <w:spacing w:after="0" w:line="19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depreciate our vessels based on a straight line basis over the expected useful life of each vessel, which are reviewed on an ongoing basis to ensure they reflect current technology, service potential and vessel structure. The useful lives are estimated to be 30 years from first delivery from the shipyard, which we believe is within industry standards for containership owners and represents the most reasonable useful life for each of our vessels. Depreciation is based on the cost (or fair value, where relevant) of the vessel less its estimated residual value. Subsequent expenditures for major improvements and upgrading are capitalized, provided they appreciably extend the life, increase the earning capacity or improve the efficiency or safety of the vessels.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Borrowing costs incurred during the construction of vessels or as part of the prefinancing of the acquisition of vessels are capitalized. Other borrowing costs are expensed as incurred.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Prepayments and costs directly related to the future acquisition of vessels are presented in the consolidated balance sheet as vessel deposits.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Drydocking</w:t>
      </w:r>
    </w:p>
    <w:p>
      <w:pPr>
        <w:spacing w:after="0" w:line="11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vessels are drydocked approximately every five years for their special survey and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which are typically at five year intervals. Other expenditures relating to maintenance and repairs are expensed when incurred.</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One drydocking was completed for regulatory reasons in 2015, the total cost of which, excluding the effect of offhire, was $1.5 million. In 2014, there were three drydockings. In addition, CMA CGM Thalassa was drydocked in December 2014, principally to modify the bulbous bow to allow for more efficient fuel consumption at lower speeds. Regular drydocking work was also undertaken, including repainting the underwater parts. The total cost of the three drydockings in 2014, excluding the effect of offhire and the work on CMA CGM Thalassa, was $4.1 million. There were two drydockings in 2013 for a total cost of $2.1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accordance with ASC Topic 360, “Accounting for the Impairment or Disposal of Long-Lived Assets” our long-lived assets are regularly reviewed for impairment. We perform the impairment test at the individual vessel level pursuant to paragraph 10 of ASC Topic 360 when events or changes in circumstances indicate that their carrying amounts may not be recoverable.</w:t>
      </w:r>
    </w:p>
    <w:p>
      <w:pPr>
        <w:spacing w:after="0" w:line="181"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Vessels are reviewed individually for impairment.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present value of future cash flows discounted by an appropriate discount rate.</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Due to continuing poor industry conditions, impairment tests have been carried out on a vessel by vessel basis a number of times in recent years. No impairment was identified.</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September 30, 2015, we received notice of re-delivery for Ville d’Aquarius, our oldest vessel, built in 1996; the vessel 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impaired as at September 30, 2015 by $22.2 million and written down to its estimated net realizable value, after deducting estimated selling costs. On November 2, 2015, we received notice of re-delivery for Ville d’Orion, our second oldest vessel, built in 1997; the vessel was re-delivered on December 3, 2015 and similar to its sister vessel, Ville d’Aquarius, a sale of the vessel was completed on December 8, 2015 for net proceeds of approximately $4.7 million. An impairment charge of $22.5 million was booked in the third quarter of 2015 for this vessel.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further impairment test on a vessel by vessel basis was performed as at December 31, 2015. No impairment was identified.</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assumptions used involve a considerable degree of estimation on the part of our management.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w:t>
      </w:r>
    </w:p>
    <w:p>
      <w:pPr>
        <w:spacing w:after="0" w:line="87" w:lineRule="exact"/>
        <w:rPr>
          <w:sz w:val="20"/>
          <w:szCs w:val="20"/>
          <w:color w:val="auto"/>
        </w:rPr>
      </w:pPr>
    </w:p>
    <w:p>
      <w:pPr>
        <w:ind w:left="900" w:right="2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charter rates on expiry of existing charters, which are based on a reversion to the historical mean for each category of vessel, adjusted to reflect current and expected market conditions;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offhire days, which are based on actual off-hire statistics for our fleet;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costs, based on current levels escalated over time based on long term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drydocking frequency, duration and cost;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useful life which is assessed as a total of 30 years from first delivery from the shipyard.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 indication of impairment, the results of a recoverability test would also be sensitive to the discount rate applied.</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Whenever the sum of the undiscounted future cash flows for each vessel less operating expenses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Based on the assumptions made, the expected undiscounted future cash flows exceeded each of the vessel’s carrying amounts at each of the test dates disclosed above and accordingly no impairment has been recognized.</w:t>
      </w:r>
    </w:p>
    <w:p>
      <w:pPr>
        <w:spacing w:after="0" w:line="17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Although we currently intend to continue to hold and operate all of our vessels, the following table presents information with respect to the carrying value of our vessels and indicates whether their estimated market values based on charter attached valuations as at December 31, 2015 prepared by an independent ship broking firm are below their carrying values as at December 31, 2015. The carrying value of each of the vessels does not necessarily represent its fair market value or the amount that could be obtained if the vessel were sold. We would not record an impairment for any of the vessels for which the market value based on charter attached valuations is below its carrying value unless and until we either determine to sell the vessel for a loss or determine that the vessel’s carrying amount is not recoverable. We believe that the undiscounted cash flows over the estimated remaining useful lives for those vessels that show estimated market values below their carrying values exceed such vessels’ carrying values as at December 31, 2015, and accordingly have not recorded an impairment charge.</w:t>
      </w:r>
    </w:p>
    <w:p>
      <w:pPr>
        <w:spacing w:after="0" w:line="17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time charter rates do not improve materially in the near term from current spot market rates, we expect that our average estimated daily time charter rates used in future impairment analyses will decline, resulting in reduced estimated undiscounted future net cash flows to an amount which is less than the carrying value of certain vessels. In accordance with our accounting policy, if this occurs, we will be required to recognize a non-cash impairment charge equal to the excess of the impacted vessels’ carrying value over their fair value. Sensitivity analysis as at December 31, 2015 suggests that an impairment charge of approximately $81 million would be triggered by a reduction of 10.0% in the charter rates assumed after expiry of the existing charter contracts (and impairment of approximately $39 million for a 5% reduction) under the current methodology. The amount, if any, and timing of any impairment charges we may recognize in the future will depend upon then current and expected future charter rates and vessel values, which may differ materially from those used in our estimates at December 31, 2015.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purchase price and carrying value of each of our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Capacity in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Purchase Price</w:t>
            </w:r>
            <w:r>
              <w:rPr>
                <w:rFonts w:ascii="Arial" w:cs="Arial" w:eastAsia="Arial" w:hAnsi="Arial"/>
                <w:sz w:val="12"/>
                <w:szCs w:val="12"/>
                <w:b w:val="1"/>
                <w:bCs w:val="1"/>
                <w:color w:val="auto"/>
                <w:w w:val="91"/>
              </w:rPr>
              <w:t>(1)</w:t>
            </w:r>
          </w:p>
        </w:tc>
        <w:tc>
          <w:tcPr>
            <w:tcW w:w="2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Carrying 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49"/>
        </w:trPr>
        <w:tc>
          <w:tcPr>
            <w:tcW w:w="6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2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Year Built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0" w:type="dxa"/>
            <w:vAlign w:val="bottom"/>
          </w:tcPr>
          <w:p>
            <w:pPr>
              <w:spacing w:after="0"/>
              <w:rPr>
                <w:sz w:val="1"/>
                <w:szCs w:val="1"/>
                <w:color w:val="auto"/>
              </w:rPr>
            </w:pPr>
          </w:p>
        </w:tc>
      </w:tr>
      <w:tr>
        <w:trPr>
          <w:trHeight w:val="171"/>
        </w:trPr>
        <w:tc>
          <w:tcPr>
            <w:tcW w:w="6160" w:type="dxa"/>
            <w:vAlign w:val="bottom"/>
            <w:gridSpan w:val="4"/>
            <w:vMerge w:val="continue"/>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TEU</w:t>
            </w: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U.S. dollars)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 dollars)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CMA CGM</w:t>
            </w:r>
          </w:p>
        </w:tc>
        <w:tc>
          <w:tcPr>
            <w:tcW w:w="53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Matisse(G)*</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Utrillo(G)*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2,262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Delmas Keta(G)*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Julie Delmas(G*)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Kumasi(G)*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Marie Delmas(G)*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La Tour(G)*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Manet(G)*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2,272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5,089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Château d’If*</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5,089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11,040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Jamaica*</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4,298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America*</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4,045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OOCL Tianjin</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8,083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OOCL Qingdao</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8,083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OOCL Ningbo</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8,083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price consists of the contract price and any material expenses incurred upon acquisition, initial repairs, improvements and delivery expenses, interest and on-site supervision costs incurred during the construction periods, where relevant. Purchase price includes an element allocated to a drydock component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at December 31, 2015, including unamortized drydocking costs</w:t>
      </w:r>
    </w:p>
    <w:p>
      <w:pPr>
        <w:spacing w:after="0" w:line="2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geared vessel</w:t>
      </w:r>
    </w:p>
    <w:p>
      <w:pPr>
        <w:spacing w:after="0" w:line="9" w:lineRule="exact"/>
        <w:rPr>
          <w:sz w:val="20"/>
          <w:szCs w:val="20"/>
          <w:color w:val="auto"/>
        </w:rPr>
      </w:pPr>
    </w:p>
    <w:p>
      <w:pPr>
        <w:ind w:left="460" w:right="20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vessels for which we believe the market value based on charter attached valuations was lower than the vessel’s carrying value as at December 31, 2015. We believe that the aggregate carrying value of these vessels at December 31, 2015 exceeded their aggregate market value based on charter attached valuations as at December 31, 2015 by approximately $97.7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have awarded restricted stock units to certain of our employees. In addition, a portion of the base compensation paid to the directors up to 2013 was in the form of restricted stock units which vested, based on service conditions only, annually in arrears. For 2015, 20% of the base compensation to be paid to our directors is expected to be in the form of stock issued under the 2015 Equity Incentive Plan. The accounting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May 2014, the Financial Accounting Standards Board (“FASB”) issued an accounting standards update in respect of revenue from contracts with customers (Topic 606). The update was originally effective for annual periods beginning after December 15, 2016 and early application was not permitted. In August 2015, the FASB issued a further update to defer the effective date by one year to annual periods beginning after December 15, 2017. We are currently reviewing the impact of adopting this update on our revenue recognition.</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June 2015, FASB issued an update in respect of Stock Compensation (Topic 718). The amendment requires that a performance target that affects vesting and that could be achieved after the requisite service period be treated as a performance condition. The performance condition should not be reflected in estimating the grant-date fair value of the award and the compensation cost should be recognized in the period in which it becomes probable that the performance target will be achieved and should represent the compensation cost attributable to the periods for which the requisite service has already been rendered. The amendment is effective for annual periods beginning after December 15, 2015 and early adoption is permitted. The adoption of this amendment is not expected to lead to any changes to our financial statements.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February 2016, FASB issued an accounting standards update in respect of leases (Topic 842). The update makes significant changes to the accounting requirements for lessees, who will be required to recognize right-of-use assets with a corresponding lease liability for all but short-term leases. The standard is to be adopted using a modified retrospective transition. The accounting requirements for lessors remain largely unchanged. The update is effective for annual periods beginning after December 15, 2018 although early application is permitted. We are currently assessing the impact of adopting this update on our financial statements.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impact on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91"/>
              <w:spacing w:after="0" w:line="142" w:lineRule="exact"/>
              <w:rPr>
                <w:sz w:val="20"/>
                <w:szCs w:val="20"/>
                <w:color w:val="auto"/>
              </w:rPr>
            </w:pPr>
            <w:r>
              <w:rPr>
                <w:rFonts w:ascii="Arial" w:cs="Arial" w:eastAsia="Arial" w:hAnsi="Arial"/>
                <w:sz w:val="14"/>
                <w:szCs w:val="14"/>
                <w:b w:val="1"/>
                <w:bCs w:val="1"/>
                <w:color w:val="auto"/>
                <w:w w:val="95"/>
              </w:rPr>
              <w:t>(in millions of U.S. dollars)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Time charter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Impairment of vessels</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2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Gain on redemption of Series A preferred shares</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Series B preferred shares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560" w:type="dxa"/>
            <w:vAlign w:val="bottom"/>
            <w:gridSpan w:val="2"/>
          </w:tcPr>
          <w:p>
            <w:pPr>
              <w:jc w:val="right"/>
              <w:ind w:right="5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068" w:gutter="0" w:footer="0" w:header="0"/>
        </w:sect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068"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Operating revenues reflect income under fixed rate time charters in effect and was $164.9 million in the year ended December 31, 2015, up $26.3 million, or 19.0%, from operating revenues of $138.6 million for 2014. The increase in operating revenues is mainly due to a 11.7% increase in operating days from 6,146 in 2014 to 6,864 in 2015, the addition of two vessels in March and September 2015 and the full year effect of the vessel acquired in October 2014 together with reduced offhire due to fewer drydockings in 2015 and reduced idle time for vessels between charter fixtures. The charter rates on the additional vessels are $34,500 per day, significantly higher than the average rate per day of $22,105 earned in 2014. There were 6,893 ownership days in the year ended December 31, 2015 with 16 days offhire (including nine days for drydockings) and 13 idle days giving a utilization of 99.6%. In 2014, there were 6,270 ownership days with 60 days offhire (including 48 days for drydockings) and 64 idle days giving a utilization of 98.0%.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Operating expenses, including $44.7 million charge for impairment, totaled $145.7 million for the year ended December 31, 2015 (or 88% of operating revenues). Excluding impairment, operating expenses were $101.0 million (or 61% of operating revenues). For the year ended December 31, 2014, operating expenses totaled $96.3 million (or 69% of operating revenue) and there was no charge for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900" w:right="60" w:hanging="446"/>
        <w:spacing w:after="0" w:line="27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Vessel operating expenses: </w:t>
      </w:r>
      <w:r>
        <w:rPr>
          <w:rFonts w:ascii="Arial" w:cs="Arial" w:eastAsia="Arial" w:hAnsi="Arial"/>
          <w:sz w:val="17"/>
          <w:szCs w:val="17"/>
          <w:color w:val="auto"/>
        </w:rPr>
        <w:t>Vessel operating expenses, which relate to the operation of the vessels themselves, were $50.1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2015 (or 30% of operating revenues) compared to $48.8 million for 2014 (or 35% of operating revenues). The average cost per ownership day was $7,269, down $509, or 6.6%, from $7,778 for 2014. The reduction is mainly due to lower crew costs, lower insurance costs on renewal and higher costs in 2014 from the cost of bunkers consumed when the two 4,113 TEU vessels were idle between charters, and for repositioning for the commencement of the new charters; $0.7 million (or $104 per day).</w:t>
      </w:r>
    </w:p>
    <w:p>
      <w:pPr>
        <w:spacing w:after="0" w:line="77" w:lineRule="exact"/>
        <w:rPr>
          <w:rFonts w:ascii="Arial" w:cs="Arial" w:eastAsia="Arial" w:hAnsi="Arial"/>
          <w:sz w:val="17"/>
          <w:szCs w:val="17"/>
          <w:color w:val="auto"/>
        </w:rPr>
      </w:pPr>
    </w:p>
    <w:p>
      <w:pPr>
        <w:ind w:left="900" w:right="100" w:hanging="446"/>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$44.9 million (or 27% of operating revenues) for the year ended December 31, 2015, up from $41.1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30% of operating revenues) in 2014 mainly due to the addition of the three vessels in October 2014, March 2015 and September 2015.</w:t>
      </w:r>
    </w:p>
    <w:p>
      <w:pPr>
        <w:spacing w:after="0" w:line="29" w:lineRule="exact"/>
        <w:rPr>
          <w:rFonts w:ascii="Arial" w:cs="Arial" w:eastAsia="Arial" w:hAnsi="Arial"/>
          <w:sz w:val="16"/>
          <w:szCs w:val="16"/>
          <w:color w:val="auto"/>
        </w:rPr>
      </w:pPr>
    </w:p>
    <w:p>
      <w:pPr>
        <w:ind w:left="900" w:hanging="446"/>
        <w:spacing w:after="0" w:line="27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Impairment of Vessels: </w:t>
      </w:r>
      <w:r>
        <w:rPr>
          <w:rFonts w:ascii="Arial" w:cs="Arial" w:eastAsia="Arial" w:hAnsi="Arial"/>
          <w:sz w:val="17"/>
          <w:szCs w:val="17"/>
          <w:color w:val="auto"/>
        </w:rPr>
        <w:t>On September 30, 2015, we received notice of re-delivery for Ville d’Aquarius, our oldest vessel, built in 1996; the vessel</w:t>
      </w:r>
      <w:r>
        <w:rPr>
          <w:rFonts w:ascii="Arial" w:cs="Arial" w:eastAsia="Arial" w:hAnsi="Arial"/>
          <w:sz w:val="17"/>
          <w:szCs w:val="17"/>
          <w:i w:val="1"/>
          <w:iCs w:val="1"/>
          <w:color w:val="auto"/>
        </w:rPr>
        <w:t xml:space="preserve"> </w:t>
      </w:r>
      <w:r>
        <w:rPr>
          <w:rFonts w:ascii="Arial" w:cs="Arial" w:eastAsia="Arial" w:hAnsi="Arial"/>
          <w:sz w:val="17"/>
          <w:szCs w:val="17"/>
          <w:color w:val="auto"/>
        </w:rPr>
        <w:t>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impaired by $22.2 million to its estimated net realizable value, after deducting estimated selling costs. On November 2, 2015, we received notice of re-delivery for Ville d’Orion, our second oldest vessel, built in 1997;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vessel was re-delivered on December 3, 2015 and similar to her sister vessel, Ville d’Aquarius, a sale of the vessel was completed on December 8, 2015 for net proceeds of approximately $4.7 million. An impairment charge of $22.5 million was booked in the third quarter of 2015 for this vessel.</w:t>
      </w:r>
    </w:p>
    <w:p>
      <w:pPr>
        <w:spacing w:after="0" w:line="87" w:lineRule="exact"/>
        <w:rPr>
          <w:sz w:val="20"/>
          <w:szCs w:val="20"/>
          <w:color w:val="auto"/>
        </w:rPr>
      </w:pPr>
    </w:p>
    <w:p>
      <w:pPr>
        <w:ind w:left="900" w:right="24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were $6.5 million (or 4% of operating revenues) in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compared to $7.0 million (or 5% of operating revenues) for 2014. The reduction is mainly due to lower professional fees.</w:t>
      </w:r>
    </w:p>
    <w:p>
      <w:pPr>
        <w:spacing w:after="0" w:line="29" w:lineRule="exact"/>
        <w:rPr>
          <w:rFonts w:ascii="Arial" w:cs="Arial" w:eastAsia="Arial" w:hAnsi="Arial"/>
          <w:sz w:val="16"/>
          <w:szCs w:val="16"/>
          <w:color w:val="auto"/>
        </w:rPr>
      </w:pPr>
    </w:p>
    <w:p>
      <w:pPr>
        <w:ind w:left="900" w:right="40" w:hanging="446"/>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Other operating income: </w:t>
      </w:r>
      <w:r>
        <w:rPr>
          <w:rFonts w:ascii="Arial" w:cs="Arial" w:eastAsia="Arial" w:hAnsi="Arial"/>
          <w:sz w:val="17"/>
          <w:szCs w:val="17"/>
          <w:color w:val="auto"/>
        </w:rPr>
        <w:t>Other operating income represents miscellaneous revenue mainly from carrying passengers and sundry recharges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charters. In the year ended December 31, 2015, other operating income was $0.5 million, the same as in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a consequence of all preceding items, operating income was $19.3 million (or 12% of operating revenues) for the year ended December 31, 2015 compared to $42.3 million (or 31% of operating revenues)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on cash held by us for the year ended December 31, 2015 was $62,000 compared to $64,000 in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140" w:firstLine="456"/>
        <w:spacing w:after="0" w:line="254" w:lineRule="auto"/>
        <w:rPr>
          <w:sz w:val="20"/>
          <w:szCs w:val="20"/>
          <w:color w:val="auto"/>
        </w:rPr>
      </w:pPr>
      <w:r>
        <w:rPr>
          <w:rFonts w:ascii="Arial" w:cs="Arial" w:eastAsia="Arial" w:hAnsi="Arial"/>
          <w:sz w:val="18"/>
          <w:szCs w:val="18"/>
          <w:color w:val="auto"/>
        </w:rPr>
        <w:t>Interest expense for the year ended December 31, 2015 was $48.2 million (or 29% of operating revenues). Total average borrowings during the year, including the notes, the revolving credit facility from March 11, 2015 when it was fully drawn and the secured term loan from September 10, 2015 when it was fully drawn, was $462.8 million. Interest expense for 2014, excluding the effect of interest rate derivatives which do not qualify for hedge accounting, was $43.9 million (or 32% of operating revenues) on average borrowings, including the Previous Credit Facility until it was repaid on March 19, 2014, the notes from their date of issuance on March 19, 2014 and the Series A preferred shares until their redemption on August 22, 2014, was $437.4 million. The increase in interest cost in 2015 is due mainly to the full year effect of the higher rate of interest of 10.0% on the notes compared to approximately 4.0% on the Previous Credit Facility and the Series A Preferred Shares together with interest on the revolving credit facility and the secured term loan, both of which were drawn only in 2015.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Redemption of Series A Preferred Shares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There is no effect of the Series A preferred shares in 2015. The Series A preferred shares, which had a liquidation value at maturity of $45.0 million, were redeemed at a discount pursuant to a Share Repurchase Agreement for $36.4 million on August 22, 2014, using the proceeds received from the issuance of the Series B preferred shares, restricted cash and cash on hand. The transaction resulted in a non-cash gain of $8.6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 and Unrealized Gain on Interest Rate Derivatives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realized losses or unrealized gains on derivatives in 2015. A total of $277.0 million of interest rate derivatives at a weighted average rate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3.82% was outstanding from January 1, 2014 to March 19, 2014, when they were terminated concurrently with the repayment and termination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Previous Credit Facility. The derivative hedging instruments gave a realized loss of $2.8 million (or 2% of operating revenues)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for settlements in the period, as USD LIBOR rates were lower than the average fixed rate. These interest rate derivatives did not qualify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hedge accounting under U.S. GAAP, and were marked to market at each period end with any change in the fair value being booked to the income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 account. There was a $1.9 million unrealized gain in the year ended December 31, 2014 for revaluation of the balance sheet position given USD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LIBOR and movements in the forward curve for interest rates.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Unrealized mark-to-market adjustments had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Income taxes for the years ended December 31, 2015 and 2014 were not material as the vessel owning subsidiaries were subject to taxation based on tonnage rather than accounting profits.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the year ended December 31, 2015, net loss was $28.9 million, including $44.7 million non-cash impairment charge. Net income for the year ended December 31, 2014 was $6.1 million including the $8.6 million gain on redemption of the Series A preferred shares and $1.9 million non-cash interest rate derivative mark-to-market gain.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dividends payable on the $35.0 million Series B preferred shares issued on August 20, 2014 are presented as a reduction of net (loss) income, as and when declared by the Board of Directors. These dividends totaled $3.1 million for the year ended December 31, 2015 compared to $1.1 million in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Available to Common Shareholders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(loss) available to common shareholders, after the $44.7 million impairment charge, was $31.9 million for the year ended December 31, 2015 compared to net income of $5.0 million for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4"/>
          </w:tcPr>
          <w:p>
            <w:pPr>
              <w:jc w:val="right"/>
              <w:ind w:right="91"/>
              <w:spacing w:after="0" w:line="142" w:lineRule="exact"/>
              <w:rPr>
                <w:sz w:val="20"/>
                <w:szCs w:val="20"/>
                <w:color w:val="auto"/>
              </w:rPr>
            </w:pPr>
            <w:r>
              <w:rPr>
                <w:rFonts w:ascii="Arial" w:cs="Arial" w:eastAsia="Arial" w:hAnsi="Arial"/>
                <w:sz w:val="14"/>
                <w:szCs w:val="14"/>
                <w:b w:val="1"/>
                <w:bCs w:val="1"/>
                <w:color w:val="auto"/>
                <w:w w:val="95"/>
              </w:rPr>
              <w:t>(in millions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Time charter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138.6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Earnings allocated to Series B preferred shares</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Operating revenues reflect income under fixed rate time charters in effect and was $138.6 million in the year ended December 31, 2014, down $4.6 million from $143.2 million for 2013. The decrease in revenue is mainly due to lower daily rates on four vessels following the extension of their charters by three years effective February 1, 2014, a total of 64 days idle time for the two 4,113 TEU vessels pending re-deployment on new charters, a reduced daily rate on Julie Delmas for 155 days during a period of reduced capability due to a damaged crane and increased offhire, offset by the contribution from OOCL Tianjin from October 28, 2014. There were 6,270 ownership days in the year ended December 31, 2014 with 60 days offhire (including 48 days for drydockings) and 64 idle days giving utilization of 98.0%. In 2013, there were 6,205 ownership days, 28 days offhire (including 21 days for drydockings) representing utilization of 99.5%.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Operating expenses totaled $96.3 million for the year ended December 31, 2014 (or 69% of operating revenues) compared to $92.1 million for the year ended December 31, 2013 (or 64% of operating revenues).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900" w:right="100" w:hanging="446"/>
        <w:spacing w:after="0" w:line="30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Vessel operating expenses: </w:t>
      </w:r>
      <w:r>
        <w:rPr>
          <w:rFonts w:ascii="Arial" w:cs="Arial" w:eastAsia="Arial" w:hAnsi="Arial"/>
          <w:sz w:val="16"/>
          <w:szCs w:val="16"/>
          <w:color w:val="auto"/>
        </w:rPr>
        <w:t>Vessel operating expenses, which relate to the operation of the vessels themselves, were $48.8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2014 (or 35% of operating revenues) compared to $46.0 million for 2013 (or 32% of operating revenues). The average cost per ownership day was $7,778, up $357 or 4.8% from $7,421 for 2013. A large portion of the increase is for the cost of bunkers consumed when the two 4,113 TEU vessels were idle, between charters, and for repositioning for the commencement of the new charters.</w:t>
      </w:r>
    </w:p>
    <w:p>
      <w:pPr>
        <w:spacing w:after="0" w:line="5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$41.1 million (or 30% of operating revenues) for the year ended December 31, 2014, up slightly from $40.4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28% of operating revenues) in 2013 in part for the addition of OOCL Tianjin on October 28, 2014.</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were $7.0 million (or 5% of operating revenues)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compared to $6.0 million (or 4% of operating revenues) for 2013. The increase was mainly due to additional professional fees associated with increased activity levels.</w:t>
      </w:r>
    </w:p>
    <w:p>
      <w:pPr>
        <w:spacing w:after="0" w:line="86" w:lineRule="exact"/>
        <w:rPr>
          <w:rFonts w:ascii="Arial" w:cs="Arial" w:eastAsia="Arial" w:hAnsi="Arial"/>
          <w:sz w:val="18"/>
          <w:szCs w:val="18"/>
          <w:color w:val="auto"/>
        </w:rPr>
      </w:pPr>
    </w:p>
    <w:p>
      <w:pPr>
        <w:jc w:val="both"/>
        <w:ind w:left="900" w:right="38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represents miscellaneous revenue mainly from carrying passengers and sundry recharges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time charters. In the year ended December 31, 2014, other operating (income) was $0.5 million, compared to $0.4 million in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a consequence of all preceding items, operating income was $42.3 million (or 31% of operating revenues) for the year ended December 31, 2014 compared to $51.2 million (or 36% of operating revenues) in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on cash held by us for the year ended December 31, 2014 was $64,000 compared to $44,000 for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for the year ended December 31, 2014, was $43.9 million (or 32% of operating revenues). Total average borrowings during the year, including the Previous Credit Facility until it was repaid on March 19, 2014, the notes from their date of issuance on March 19, 2014 and the Series A preferred shares until their redemption on August 22, 2014, was $437.4 million. Interest expense for 2013 was $18.8 million (or 13% of operating revenues) on average borrowings, including the Series A preferred shares, of $450.1 million. The increase in interest cost in 2014 was due mainly to a higher rate of interest of 10.0% on the notes compared to approximately 4.0% on the Previous Credit Facility and the Series A Preferred Shares.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Redemption of Series A Preferred Shares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Series A preferred shares, which had a liquidation value at maturity of $45.0 million, were redeemed at a discount pursuant to a Share Repurchase Agreement for $36.4 million on August 22, 2014, using the proceeds received from the issuance of the Series B preferred shares, restricted cash and cash on hand. The transaction resulted in a non-cash gain of $8.6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 and Unrealized Gain on Interest Rate Derivatives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 total of $277.0 million of interest rate derivatives at a weighted average rate of 3.82% was outstanding from January 1, 2014 to March 19, 2014, when they were terminated concurrently with the repayment and termination of the Previous Credit Facility The derivative hedging instruments gave a realized loss of $2.8 million (or 2% of operating revenues) in the year ended December 31, 2014 for settlements in the period, as the USD LIBOR rates were lower than the average fixed rate. This compares to a realized loss of $14.0 million (or 10% of operating revenues) in the year ended December 31, 2013. These interest rate derivatives did not qualify for hedge accounting under U.S. GAAP, and were marked to market at each period end with any change in the fair value being booked to the income and expenditure account. There was a $1.9 million unrealized gain in the year ended December 31, 2014 for revaluation of the balance sheet position given the USD LIBOR rates and movements in the forward curve for interest rates. This compares to an unrealized gain of $14.3 million in 2013.</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Unrealized mark-to-market adjustments had no impact on operating performance or cash generation in the period reported.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Income taxes for the years ended December 31, 2014 and 2013 were not material as the vessel owning subsidiaries were subject to taxation based on tonnage rather than accounting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Net income for the year ended December 31, 2014 was $6.1 million including the $8.6 million gain on redemption of the Series A preferred shares and $1.9 million non-cash interest rate derivative mark-to-market gain. For the year ended December 31, 2013, net income was $32.5 million, including $14.3 million non-cash interest rate derivative mark-to-market gain. The decline in net income is due mainly to lower revenue as a result of the extensions to the four charters and idle time for the two 4,113 TEU vessels together with lower unrealized gains on interest rate derivatives, partly offset by the gain on redemption of the Series A preferred shares and lower realized losses on interest rate derivatives.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dividends payable on the $35.0 million Series B preferred shares issued on August 20, 2014 are presented as a reduction of net income in 2014, as and when declared by the Board of Directors. These dividends totaled $3.1 million for the year ended December 31, 2015 compared to $1.1 million for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Available to Common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income available to common shareholders was $5.0 million for the year ended December 31, 2014 compared to $32.5 million for 2013.</w:t>
      </w:r>
    </w:p>
    <w:p>
      <w:pPr>
        <w:spacing w:after="0" w:line="34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general and administrative expenses, interest and other financing costs including where appropriate the settlement of interest rate derivatives. In addition, each of our vessels is subject to a drydock every five years. The average cost of the 18 drydockings completed between April 2011 and January 2015 was $1.3 million with an average loss of revenue of $0.3 million while the relevant vessel was offhire. One vessel completed its scheduled drydocking in 2015. Two vessels were drydocked in each of 2014 and 2013. In addition, CMA CGM Thalassa was dry-docked in 2014 on a discretionary basis mainly to modify the bulbous bow to improve fuel efficiency at slow speeds. We have included a schedule of the next anticipated drydocking date for each of our vessels in “Business—Inspection by Classification Societies.”</w:t>
      </w:r>
    </w:p>
    <w:p>
      <w:pPr>
        <w:spacing w:after="0" w:line="17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main factor affecting operating cash flow in a period is the timing of the receipt of charterhire, which is due to be paid in advance, on the 1</w:t>
      </w:r>
      <w:r>
        <w:rPr>
          <w:rFonts w:ascii="Arial" w:cs="Arial" w:eastAsia="Arial" w:hAnsi="Arial"/>
          <w:sz w:val="13"/>
          <w:szCs w:val="13"/>
          <w:color w:val="auto"/>
        </w:rPr>
        <w:t>st</w:t>
      </w:r>
      <w:r>
        <w:rPr>
          <w:rFonts w:ascii="Arial" w:cs="Arial" w:eastAsia="Arial" w:hAnsi="Arial"/>
          <w:sz w:val="16"/>
          <w:szCs w:val="16"/>
          <w:color w:val="auto"/>
        </w:rPr>
        <w:t xml:space="preserve"> and 16</w:t>
      </w:r>
      <w:r>
        <w:rPr>
          <w:rFonts w:ascii="Arial" w:cs="Arial" w:eastAsia="Arial" w:hAnsi="Arial"/>
          <w:sz w:val="13"/>
          <w:szCs w:val="13"/>
          <w:color w:val="auto"/>
        </w:rPr>
        <w:t>th</w:t>
      </w:r>
      <w:r>
        <w:rPr>
          <w:rFonts w:ascii="Arial" w:cs="Arial" w:eastAsia="Arial" w:hAnsi="Arial"/>
          <w:sz w:val="16"/>
          <w:szCs w:val="16"/>
          <w:color w:val="auto"/>
        </w:rPr>
        <w:t xml:space="preserve"> of each month for vessels on charter to CMA CGM and every two weeks based on the start date of the charter in the case of our other charterers. The main factors affecting quarter end cash are the timing of the payment of interest on the notes, which is due to be paid semi-annually on April 1 and October 1 each year since October 1, 2014, and the result of the Excess Cash Flow offer up to a maximum of $20 million per annum commencing in 2015, which we are required to make within 120 days of the year end. In April and May 2015, we conducted an Excess Cash Flow offer to purchase up to $20.0 million aggregate amount of our notes at a purchase price of 102% of their aggregate principal amount plus accrued and unpaid interest to, but not including, the purchase date. The principal amount of notes tendered and accepted was $350,000. Beginning on March 11, 2015, we are required to make interest payments on the $40.0 million under the revolving credit facility. Assuming LIBOR to be 0.5%, quarterly interest on the fully drawn revolving credit facility would amount to approximately $0.4 million. Beginning on September 10, 2015, we are required to make interest payments on the $35.0 million drawn under the secured term loan. Assuming LIBOR to be 0.5%, quarterly interest on the fully drawn secured term loan would amount to approximately $0.3 million. Further, the secured term loan is repayable in 20 equal quarterly installments of $1.75 million, commencing three months after drawdown on September 15, 2015. The secured term loan agreement also requires an additional amount of $1.4 million to be repaid in eight equal quarterly installments of $0.175 million beginning on the same day as the 20 equal quarterly installments to provide a reserve for potential enhancement expenditure on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secured vessel ahead of the expiry of its current charter. In addition, we intend to declare and make quarterly dividend payments amounting to approximately $0.8 million per quarter on our Series B preferred shares on a perpetual basis. Finally, we may declare and pay dividends on our common shares.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Other than costs for drydocking, there are no other current material commitments for capital expenditures or other known and reasonably likely material cash requirements other than in respect of our growth strategy. Changes to the regulatory environment may lead to additional capital expenditure. For example, compliance with environmental regulations regarding ballast water management may require us to fit ballast water management systems to our vessels, although not before the first scheduled drydocking after January 1, 2017. See Item 4.B. “Information on the Company—Business Overview— Environmental and Other Regulations—Ballast Water Management.”</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All our revenues are denominated in U.S. dollars and a portion of our expenses are denominated in currencies other than U.S. dollars. As of December 31, 2015, we had $53.6 million in cash and cash equivalents. Our cash and cash equivalents are mainly held in U.S. dollars, with relatively small amounts of UK pounds sterling, Euros and HK dollars.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floating rate debt is represented by drawings under the revolving credit facility and under the secured term loan. We have in the past, and may in the future, enter into hedging instruments, including interest rate swap agreements, to hedge our cash flows. We would not enter into derivatives for trading or speculative purposes.</w:t>
      </w:r>
    </w:p>
    <w:p>
      <w:pPr>
        <w:spacing w:after="0" w:line="181"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Our liquidity and sources of cash have changed significantly as a result of the issuance of the notes, repayment of the Previous Credit Facility and termination of the associated interest rate derivatives in March 2014, the issuance of the Series B preferred shares and the redemption of the Series A preferred shares, mainly from the net proceeds therefrom, in August 2014 and the drawing on the revolving credit facility and the secured term loan.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consolidated cash flows for each of the three years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10"/>
          </w:tcPr>
          <w:p>
            <w:pPr>
              <w:jc w:val="right"/>
              <w:ind w:right="290"/>
              <w:spacing w:after="0" w:line="142" w:lineRule="exact"/>
              <w:rPr>
                <w:sz w:val="20"/>
                <w:szCs w:val="20"/>
                <w:color w:val="auto"/>
              </w:rPr>
            </w:pPr>
            <w:r>
              <w:rPr>
                <w:rFonts w:ascii="Arial" w:cs="Arial" w:eastAsia="Arial" w:hAnsi="Arial"/>
                <w:sz w:val="14"/>
                <w:szCs w:val="14"/>
                <w:b w:val="1"/>
                <w:bCs w:val="1"/>
                <w:color w:val="auto"/>
              </w:rPr>
              <w:t>(in millions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(loss) Income</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Movement in working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vessels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(108.2)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(55.2)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Proceeds from sale of vessels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termination of derivative instruments which do not qualify for hedge accounting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(22.1)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(101.2)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(80.1)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(366.4)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Proceeds from issuance of secured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240"/>
              <w:spacing w:after="0"/>
              <w:rPr>
                <w:sz w:val="20"/>
                <w:szCs w:val="20"/>
                <w:color w:val="auto"/>
              </w:rPr>
            </w:pPr>
            <w:r>
              <w:rPr>
                <w:rFonts w:ascii="Arial" w:cs="Arial" w:eastAsia="Arial" w:hAnsi="Arial"/>
                <w:sz w:val="18"/>
                <w:szCs w:val="18"/>
                <w:color w:val="auto"/>
              </w:rPr>
              <w:t>413.7</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incurred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(15.8)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proceeds from issuance of Series B preferred shares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secured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Proceeds from drawdown of credit facilities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Class A common dividends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A preferred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(36.4)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Series B preferred shares – dividends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244" w:gutter="0" w:footer="0" w:header="0"/>
        </w:sect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244"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Net cash provided by operating activities was $62.3 million for the year ended December 31, 2015 reflecting mainly net loss of $28.9 million, adjusted for depreciation of $44.9 million, vessel impairment of $44.7 million, amortization of deferred financing costs and original issue discount of $4.6 million and share-based compensation of $0.1 million, less gain on sale of vessels of $0.1 million, amortization of intangible liabilities of $2.1 million and movements in working capital of $0.9 million.</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2015 was $62.3 million which was $1.4 million higher than in 2014 mainly due to higher operating income before the impairment charge, and up $21.7 million due mainly to the additional vessels, partially offset by a small negative movement in working capital in 2015 of $0.8 million compared to an improvement working capital of $16.6 million in 2014 as charter hire was paid more promptly.</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Cash flows used in investing activities for the year ended December 31, 2015 included $108.2 million for the purchase of OOCL Qingdao and OOCL Ningbo ($55.2 million for OOCL Tianjin in 2014), $9.5 million net proceeds from the sale of Ville d’Aquarius and Ville d’Orion (nil in 2014) and $2.6 million on drydocking costs ($2.8 million in 2014).</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flows from financing activities for the year ended December 31, 2015 included $75.0 million proceeds from the drawdown of our revolving credit facility and our secured term loan less $0.4 million repurchase of notes, $1.9 million repayment of the secured term loan, $1.0 million deferred financing costs incurred, $3.1 million dividend paid on the Series B preferred shares and $9.5 million dividends paid on Class A common shares. Cash flows from financing activities for the year ended December 31, 2014 were mainly associated with the issuance of the notes and repayment and termination of the Previous Credit Facility and the issuance of the Series B preferred shares and redemption of the Series A preferred shares, together with $1.1 million dividend paid on the Series B preferred shares.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Overall, there was a net increase in cash and cash equivalents of $20.3 million in the year ended December 31, 2015, resulting in closing cash of $53.6 million compared to closing cash of $33.3 million at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Net cash provided by operating activities was $60.9 million for the year ended December 31, 2014 reflecting mainly net income of $6.1 million, adjusted for depreciation of $41.1 million, amortization of deferred financing costs and original issue discount of $6.8 million, settlement of hedges which do not qualify for hedge accounting of $2.8 million, share-based compensation of $0.2 million and movements in working capital of $16.6 million less change in fair value of derivatives of $1.9 million, amortization of intangible liabilities of $2.1 million and gain on redemption of Series A preferred shares of $8.6 million.</w:t>
      </w:r>
    </w:p>
    <w:p>
      <w:pPr>
        <w:spacing w:after="0" w:line="18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2014 at $60.9 million was $13.4 million lower than in 2013 mainly due to lower operating income, down $8.9 million, from reduced revenue from the four amended and extended charters and from idle time on the two 4,113 TEU vessels, and increased interest costs following the issuance of the notes on March 19, 2014, partially offset by reduced settlement of interest rate derivatives and improved working capital as charter hire has been paid more promptly.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Cash flows used in investing activities for the year ended December 31, 2014 included $55.2 million for the purchase of OOCL Tianjin (nil in 2013), $22.1 million for the settlement and termination of interest rate derivatives ($14.0 million in 2013) and $2.8 million on drydocking costs ($2.6 million in 2013).</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Cash flows from financing activities for the year ended December 31, 2014 included $413.7 million proceeds from the issuance of the notes and $33.9 million net proceeds from the issuance of the Series B preferred shares less $366.4 million repayment and termination of the Credit Facility, $36.4 million redemption of the Series A preferred shares, $15.8 million costs associated with the issuance of the notes and $1.1 million dividend paid on the Series B preferred shares. The only cash flow from financing activities in 2013 was $59.3 million repayment of the Previous Credit Facility.</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Overall, there was a net increase in cash and cash equivalents of $8.8 million in the year ended December 31, 2014, resulting in closing cash of $33.3 million compared to closing cash of $24.5 million at December 31,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 and the Indenture</w:t>
      </w:r>
    </w:p>
    <w:p>
      <w:pPr>
        <w:spacing w:after="0" w:line="11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The notes were issued under an indenture, dated as of March 19, 2014, among the Company, the guarantors party thereto and Deutsche Bank Trust Company Americas, as trustee and as security agent. The following description of the indenture, as amended or supplemented, and the form of note is qualified by reference to the indenture, the supplemental indentures and the form of note, copies of which are filed as exhibits to this annual report.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notes bear interest at 10.000% per annum and mature on April 1, 2019. Interest is payable semi-annually on April 1 and October 1 of each year, beginning on October 1, 2014, to holders of record at the close of business on March 15 or September 15, as the case may be, immediately preceding each such interest payment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notes are secured by first priority ship mortgages on 16 vessels owned by certain subsidiaries (the “Mortgaged Vessels”) including OOCL Qingdao and certain other associated property, contract rights and bank accounts, as well as share pledges over the subsidiaries that own the Mortgaged Vessels (together with the Mortgaged Vessels, the “Initial Collateral”). In addition, the notes are guaranteed by all of the vessel owning subsidiaries. In the future, vessels, shipping containers and container shipping-related assets and certain other associated property and contract rights may be pledged in addition to or in substitution for Initial Collateral. As used herein, “Collateral” refers to the Initial Collateral and any such additional or substitute collateral.</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Collateral also secures on a first priority basis up to $40.0 million of indebtedness which may be incurred under the revolving credit facility, which is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notes are fully and unconditionally guaranteed, jointly and severally, on a senior basis, by Global Ship Lease Services Limited (“GSLS Limited”) and all of our restricted subsidiaries. The notes will be guaranteed by our future restricted subsidiaries in the circumstances provided in the indenture governing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redeem the notes in whole or in part, at our option, at any time before April 1, 2016, at a redemption price equal to 100% of the principal amount plus a make-whole premium as provided in the indenture governing the notes. We may redeem the notes in whole or in part, at our option, at any time on or after April 1, 2016, at the redemption prices (expressed as percentages of principal amount) set forth below plus accrued and unpaid interest, if any, on the notes redeemed, to the applicable redemption date, if redeemed during the twelve-month period beginning on April 1 of the years indicated below, subject to the rights of holders of notes on the relevant record date to receive interest on the relevant interest payment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78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2016</w:t>
            </w:r>
          </w:p>
        </w:tc>
        <w:tc>
          <w:tcPr>
            <w:tcW w:w="37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2017</w:t>
            </w:r>
          </w:p>
        </w:tc>
        <w:tc>
          <w:tcPr>
            <w:tcW w:w="4600" w:type="dxa"/>
            <w:vAlign w:val="bottom"/>
            <w:gridSpan w:val="3"/>
          </w:tcPr>
          <w:p>
            <w:pPr>
              <w:jc w:val="right"/>
              <w:ind w:right="60"/>
              <w:spacing w:after="0"/>
              <w:rPr>
                <w:sz w:val="20"/>
                <w:szCs w:val="20"/>
                <w:color w:val="auto"/>
              </w:rPr>
            </w:pPr>
            <w:r>
              <w:rPr>
                <w:rFonts w:ascii="Arial" w:cs="Arial" w:eastAsia="Arial" w:hAnsi="Arial"/>
                <w:sz w:val="18"/>
                <w:szCs w:val="18"/>
                <w:color w:val="auto"/>
              </w:rPr>
              <w:t>102.500%</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4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at any time before April 1, 2016, we could have redeemed up to 35% of the aggregate principal amount of the notes with the net proceeds of an equity offering at 110.000% of the principal amount of the notes, plus accrued and unpaid interest, if any, so long as at least 65% of the originally issued aggregate principal amount of the notes remains outstanding after such redemption.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Amounts and Redemption for Changes in Withholding Taxes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required by law, we will make payments on the notes free of withholding or deduction for taxes. If withholding or deduction is required, we will, subject to certain customary exceptions, be required to pay additional amounts so that the net amounts holders of the notes receive will equal the amount holders of the notes would have received if withholding or deduction had not been imposed. If, as a result of a change in law, we are required to pay such additional amounts, we may redeem the notes in whole but not in part, at any time at 100% of their principal amount, plus accrued and unpaid interest, if any, to the redemption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occurrence of certain change of control events, holders of the notes will have the right to require us to repurchase some or all of their notes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101% of their face amount, plus accrued and unpaid interest to the repurchase date.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of Asset Sales and Events of Loss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will be obligated in certain instances to make offers to purchase outstanding notes with the net proceeds of certain sales, such as those of Ville d’Aquarius and Ville d’Orion in the year ended December 31, 2015, or other dispositions of assets or upon the occurrence of an event of loss with respect to Collateral. The purchase price of the notes will be 102% of their principal amount plus accrued and unpaid interest, if any. The Collateral Sale Offer of approximately $8.4 million with respect to the sale of Ville d’Aquarius and Ville d’Orion was accepted in March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have at least $1.0 million of Excess Cash Flow (as defined in the indenture governing the notes) for each fiscal year, commencing in respect of the year ended December 31, 2014, we will be required to make an offer to repurchase a maximum principal amount of notes per annum equal to the lesser of</w:t>
      </w:r>
    </w:p>
    <w:p>
      <w:pPr>
        <w:ind w:right="300" w:firstLine="8"/>
        <w:spacing w:after="0" w:line="254"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Excess Cash Flow for such fiscal year and (b) $20.0 million, at a price equal to 102% of the aggregate principal amount of notes repurchased plus accrued and unpaid interest, if any, on the notes. For each of the years 2014 and 2015, the Excess Cash Flow offer amounted to $20.0 million. The Excess Cash Flow Offer of $20.0 million for 2015 was accepted in March 2016, whereas only approximately $350,000 of the Excess Cash Flow Offer of $20.0 million for 2014 was accepted in April 2015.</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indenture governing the notes contains covenants that, among other things, limit our ability and the ability of our restricted subsidiaries to:</w:t>
      </w:r>
    </w:p>
    <w:p>
      <w:pPr>
        <w:spacing w:after="0" w:line="14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covenants are subject to important exceptions and qualifications, which are provided in the indenture governing the notes.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connection with the private placement of notes, we and GSLS Limited, as initial borrowers, and together with each of our 17 subsidiaries that owned Mortgaged Vessels, as initial guarantors, entered into a credit agreement dated as of March 19, 2014, with Citibank, N.A., London Branch, as original lender, lead arranger and book-runner, Citibank International plc, as facility agent and Deutsche Bank Trust Company Americas, as security agent, together with security and other agreements, which provide for our revolving credit facility. The following description of the revolving credit facility is qualified by reference to the credit agreement, dated as of March 19, 2014, a copy of which is filed as an exhibit to this annual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revolving credit facility provides for aggregate commitments of $40.0 million, which shall be reduced to $25.0 million if on any testing date, our debt service coverage ratio in respect of the preceding six months is less than 1:1. Debt service coverage will be tested on December 31, 2016, June 30, 2017 and December 31, 2017. Subject to customary conditions precedent, certain of our subsidiaries may borrow under the revolving credit facility to finance (or refinance) the acquisition of vessels and may also borrow amounts not to exceed, at any time, $5.0 million for general corporate purposes. To the extent that borrowings under the revolving credit facility are applied towards all or part of the acquisition cost (or the refinancing thereof) of a vessel, we will be required to pledge, on a first-priority basis, such vessel, together with certain other associated property, contract rights and bank accounts, and the capital stock of the applicable vessel-owning subsidiary, as additional Collateral securing the obligations under the revolving credit facility and the notes and the vessel owning company will become a joint and several guarantor under the notes and the revolving credit facility. The revolving credit facility was fully drawn to finance the purchase of OOCL Qingdao on March 11, 2015. Further, $0.8 million was repaid in January 2016 out of the net sale proceeds of Ville d’Aquarius and Ville d’Orion.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Borrowings under the revolving credit facility bear interest at LIBOR plus a margin of 3.25% per annum, payable at least quarterly in arrears or at the end of certain other interest payment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paying interest on outstanding principal under the revolving credit facility, we are required to pay a quarterly commitment fee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1.30% per annum to the lenders under the revolving credit facility in respect of the unutilized commitments thereunder. We also pay certain other customary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revolving credit facility is October 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revolving credit facility will require us to prepay outstanding loans, subject to certain exceptions, with the net cash proceeds of certain sales or other dispositions of Collateral, such as the sales of Ville d’Aquarius and Ville d’Orion, or upon the occurrence of an event of loss with respect to Collateral and upon a change of control. Further, if in respect of a measurement period ending on any of December 31, 2016, June 30, 2017 or December 31, 2017, the debt service coverage ratio (essentially the ratio of EBITDA to net interest) is less than 1.0:1.0, then the availability under the facility will be reduced to $25.0 million and any drawings in excess of this must be prepaid.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will be able to voluntarily prepay outstanding loans under the revolving credit facility at any time, subject to certain notice requirements and without penalty other than break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Guarantees will be jointly and severally provided by us and the same subsidiaries guaranteeing the notes. In addition, any subsidiaries who become borrowers under the revolving credit facility will also provide a guarantee. Our obligations under the revolving credit facility will be secured by first-priority security interests (subject to certain permitted liens) over the Collateral that will rank equal with the security interest of the notes, subject to the right of the finance parties under the revolving credit facility to receive the net proceeds of any foreclosure on the Collateral before the holders of the notes.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are required to maintain minimum cash and cash equivalents in an amount of $15.0 million as at June 30 and December 31 in each year up to and including 2015 and $20.0 million on the same test dates thereafter.</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the revolving credit facility contains negative covenants that, among other things and subject to certain significant exceptions, limit our ability and the ability of our restricted subsidiaries to:</w:t>
      </w:r>
    </w:p>
    <w:p>
      <w:pPr>
        <w:spacing w:after="0" w:line="7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credit agreement governing our revolving credit facility also contains certain customary representations and warranties, affirmative covenants and events of default. If an event of default occurs, the lenders under the revolving credit facility will be entitled to take various actions, including the acceleration of amounts due under the revolving credit facility and actions customarily permitted to be taken by a secured creditor. Amendments and waivers of the covenants described above or any other provisions which affect solely the revolving credit facility will require the consent of lenders holding all or the majority of the commitments and loans under the revolving credit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Secured Term Loan</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July 29, 2015, we entered into a $35.0 million secured term loan with DVB Bank SE (the “secured term loan”). The entire amount was drawn on September 10, 2015. The borrower is Global Ship Lease 20 Limited (the “borrower”), our subsidiary and owner of the OOCL Tianjin, which vessel is secured to the facility (the “secured vessel”). The secured term loan is guaranteed by Global Ship Lease, Inc. The following description of the secured term loan is qualified by reference to the $35 million facility agreement, a copy of which is filed as an exhibit to this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secured term loan provides for aggregate commitments not exceeding the lower of $35.0 million and 65% of the charter attached fair market value of the secured vessel at the time of drawdown. Subject to customary conditions precedent, drawing was permitted no later than September 30, 2015, to refinance the vessel or for general corporate purposes, including the purchase of additional vessels by the Global Ship Lease group.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Borrowings under the secured term loan bear interest at USD LIBOR plus a margin of 2.75% per annum up to November 30, 2018 and 3.25% thereafter, payable at least quarterly in arrears or at the end of certain other interest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commitment fee, although we pay certain other customary fees, including an initial arrangement fee of 1.25%.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secured term loan is September 10, 2020, which is five years after drawdown.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secured term loan is repayable in 20 equal quarterly installments, commencing three months after drawdown. An additional $1.4 million is to be repaid over eight equal quarterly installments, on the same dates as the first eight regular repayments, to provide a reserve for potential enhancement expenditure on the secured vessel, such as modifications to the bow or propeller. These additional installments reduce the debt balance and can be redrawn to fund the enhancement work, or, if no such work is required, redrawn or utilized to permanently reduce the quarterly installments for the remainder of the term of the loan.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secured term loan requires early repayment, inter alia, (i) on November 30, 2018, if the notes are not refinanced by that date or (ii) if the secured vessel ceases to be employed on a charter and remains without employment for a period in excess of 90 days. The secured term loan must also be repaid if the vessel is sold or becomes a total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are able to voluntarily prepay the outstanding amount under the secured term loan at any time, subject to certain notice requirements, without penalty other than break costs if such voluntary prepayment is other than at a roll or maturity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guarantee is provided by us. The obligations under the secured term loan are secured by first-priority security interests (subject to certain permitted liens) over the secured vessel and related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required to maintain (i) minimum cash and cash equivalents in an amount of $15.0 million as at June 30 and December 31 in each year up to and including 2015 and $20.0 million on the same test dates thereafter and (ii) minimum shareholders’ equity of $200.0 million. Further, the facility agent is entitled to test a security cover covenant twice a year on the dates that we submit the unaudited financial statements for the first and third quarters. The security cover is calculated as the percentage of charter attached fair market value of the secured vessel to loan outstanding and is to be less than 133% in the 12 months to July 29, 2016, less than 148% between July 30, 2016 and July 29, 2017 and less than 166% thereafter. We were compliant with the covenant when tested for the third quarter of 2015.</w:t>
      </w:r>
    </w:p>
    <w:p>
      <w:pPr>
        <w:spacing w:after="0" w:line="19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secured term loan also contains certain customary representations and warranties, affirmative covenants and events of default. If an event of default occurs, the lenders under the secured term loan will be entitled to take various actions, including the acceleration of amounts due under the facility and actions customarily permitted to be taken by a secured creditor. Amendments and waivers of the covenants described above or any other provisions which affect the secured term loan will require the consent of lenders holding all or the majority of the commitments and loans under the facility.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Credit Facility</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Previous Credit Facility with ABN AMRO Bank N.V. (also the “Agent”) and the other parties thereto from time to time was entered into in 2007 and was originally an $800.0 million revolving facility, non-amortizing for five years and with a term of eight years. All of our then vessel owning subsidiaries and GSLS Limited were borrowers and guarantors jointly and severally guaranteeing our obligations under the Previous Credit Facility. As described above, we used a portion of the net proceeds of the private placement of notes to repay all outstanding borrowings under, and terminate, our Previous Credit Facility on March 19,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at December 31, 2015, we had $419.7 million of secured indebtedness under the notes, we had fully drawn the $40.0 million availability under our revolving credit facility and we had an outstanding balance of $33.1 million under the secured term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liquidity requirements are significant, primarily due to debt service requirements. Based on the $419.7 million principal amount of the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fixed interest rate, our cash interest expense in a year is $42.0 million. In addition, we have an obligation to make an Excess Cash Flow tender offer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to $20.0 million annually. Further, the revolving credit facility of $40.0 million was fully drawn to partly fund the purchase of OOCL Qingdao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11, 2015. Assuming a LIBOR of 0.5%, the annual interest cost associated with the revolving credit facility would be $1.5 million. The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matures on October 1, 2018. In addition, the outstanding balance at December 31, 2015 of $33.1 million under our secured term loan would incur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interest of $1.1 million, assuming a LIBOR of 0.5%, increasing to $1.3 million annually after November 30, 2018. Amortization of the secured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is $7.7 million annually, reducing to $7.0 million after December 10, 2017. In certain circumstances, the outstanding balance of the secured term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becomes repayable late 2018. Finally, the dividend on the $35.0 million Series B preferred shares amounts to $3.1 million each year.</w:t>
      </w:r>
    </w:p>
    <w:p>
      <w:pPr>
        <w:spacing w:after="0" w:line="21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funds generated by the business and retained will be sufficient to meet our operating needs for the next twelve months, including working capital requirements, drydocking costs and debt repayment obligations.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market conditions warrant, we may from time to time, depending upon market conditions, seek to repurchase debt securities that we have issued or repay loans that we have borrowed, including the notes and borrowings under our revolving credit facility or the secured term loan, in privately negotiated or open market transactions, by tender offer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dividends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net cash flows from operating activities depend on the number of vessels under charter, days on-hire, vessel charter rates, operating expenses, drydock costs, interest and other financing costs and general and administrative expenses. Pursuant to our ship management agreements, we have agreed to pay our ship managers an annual management fee per vessel and to reimburse them for operating costs they incur on our behalf (up to a cap pursuant to the global expense agreement for vessels managed by CMA Ships). Charterhire is payable by our charterers 15 days in advance and estimated ship management costs are payable monthly in advance. Although we can provide no assurances (see Item 3.D. “Key Information—Risk Factors—Risks Related to our Business—We are highly dependent on charter payments from CMA CGM”), we expect that our cash flow from our chartering arrangements will be sufficient to cover our ship management costs and fees, interest payments under the notes, our revolving credit facility and our secured term loan, including amortization, insurance premiums, vessel taxes, general and administrative expenses, dividends on our Series B preferred shares and other costs and any other working capital requirements for the short and medium term and planned drydocking expenses.</w:t>
      </w:r>
    </w:p>
    <w:p>
      <w:pPr>
        <w:spacing w:after="0" w:line="16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estimate that the average cost of the 18 drydockings completed between April 2011 and January 2015 was approximately $1.3 million, with an average loss of revenue of $0.3 million from offhire. We have included a schedule of the next anticipated drydocking date for each of our vessels in the section of this Annual Report entitled Item 4.B. “Information on the Company—Business Overview—Inspection by Classification Societies.”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other liquidity requirements include an annual Excess Cash Flow offer of up to $20.0 million on our notes and repaying the remaining principal balance of the notes at the stated maturity date on April 1, 2019, if they have not been repaid or redeemed earlier. Further, the maturity date of the revolving credit facility is October 1, 2018. Finally, the secured term loan is repayable in 20 equal quarterly installments of $1.75 million, commencing December 10, 2015. The loan agreement requires an additional $175,000 to be repaid with each of the first eight quarterly installments to provide a reserve for potential enhancement expenditure on the secured vessel ahead of the expiry of the initial charter to OOCL. These additional installments reduce the debt balance and can be redrawn to fund the enhancement work or utilized to permanently reduce the quarterly installments for the remainder of the term of the loan if no such work is required. The secured term loan matures on September 10, 2020, five years after drawdown, with early repayment, inter alia, if the 2019 Notes are not refinanced by November 30, 2018, or if the secured vessel (OOCL Tianjin) ceases to be employed on a charter for a period in excess of 90 days or is sold or is a total loss.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notes.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container shipping industry is cyclical, with the demand for container shipping services and therefore the demand for container ships, driven by global trade. Between 1997 and 2007, containerized trade exhibited compound annual growth of approximately 10%, with a period of super-cyclical growth from 2002 to mid-2008 fueled partly by significant increases in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In 2012, 2013 and 2014, containerized trade grew, year-on-year, by 3.0%, 5.1% and 5.4%, respectively. In 2015, containerized trade growth is estimated to have grown approximately 2.3%. In contrast, containership capacity grew by 5.9%, 5.5% and 6.4% in 2012, 2013 and 2014, respectively, and is estimated to have grown by 8.0% in 2015.</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period of super-cyclical growth, combined with operators seeking economies of scale achievable with ever larger vessels, led to a significant orderbook of new containerships. In December 2008, the orderbook was estimated to represent over 60% of existing global capacity measured in TEU. Since then, however, the industry has been recalibrating to a lower demand growth paradigm. In February 2016, the orderbook-to-fleet ratio stood at just under 20%. Furthermore, scrapping activity reached record levels of over 450,000 TEU in 2013, with another 400,000 TEU scrapped in 2014. Scrapping in 2015 was initially at lower levels, but accelerated as the year progressed; almost 25% of the year’s scrapping activity took place in December.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Vessel newbuilding prices, second hand values and charter rates have tended to be closely correlated and are all strongly influenced by the dynamics of supply and demand. From 2005 through 2014, the average newbuilding price for a theoretical 3,500 – 3,600 TEU containership was around $49 million, with average prices ranging between $36 million (2009) and $67 million (2008). During the same period, secondhand values for a 10-year old vessel of similar size averaged $29 million and ranged between $10 million (2014) and $52 million (2005). Meantime, spot market charter rates for such tonnage averaged about $17,800 per day and ranged between $5,500 (2009) and $44,000 (2005). In February 2016, prevailing spot market charter rates were around $6,000 per day, with newbuilding prices at approximately $38 million and second hand values at about $10 million.</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Liner companies’ results are also highly sensitive to the dynamics of supply and demand. Results were adversely affected in 2009, recovered significantly in 2010 and declined again in 2011. Commencing March 2012, operators successfully implemented a series of General Rate Increases (“GRI”s) in a number of trades in order to improve financial performance. GRI initiatives continued to be implemented through 2013, 2014 and 2015 to positive, but generally short-lived, effect. Freight rates have remained volatile on most tradelanes and have come under strong downward pressure in late 2015 and early 2016.</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February 2016, the industry was facing significant headwinds in the near term: over 7% of the global containership fleet was idle and the macroeconomic backdrop fragile and uncertain. However, with ongoing scrapping, and a comparatively modest orderbook-to-fleet ratio (especially for mid-size and smaller vessels), medium term prospects are expected to be better.</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described under “—Contractual Obligations” and Item 11. “Quantitative and Qualitative Disclosure About Market Risk”, we do not have any other transactions, obligations or relationships that could be considered material off-balance sheet arrangements.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contractual obligations presented below represent our estimates of future payments under fixed contractual obligations and commitments as at December 31, 2015. These amounts do not include dividends on the Series B preferred shares.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Less than</w:t>
            </w:r>
          </w:p>
        </w:tc>
        <w:tc>
          <w:tcPr>
            <w:tcW w:w="40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More than</w:t>
            </w:r>
          </w:p>
        </w:tc>
        <w:tc>
          <w:tcPr>
            <w:tcW w:w="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4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60" w:type="dxa"/>
            <w:vAlign w:val="bottom"/>
            <w:gridSpan w:val="3"/>
          </w:tcPr>
          <w:p>
            <w:pPr>
              <w:jc w:val="right"/>
              <w:ind w:right="427"/>
              <w:spacing w:after="0"/>
              <w:rPr>
                <w:sz w:val="20"/>
                <w:szCs w:val="20"/>
                <w:color w:val="auto"/>
              </w:rPr>
            </w:pPr>
            <w:r>
              <w:rPr>
                <w:rFonts w:ascii="Arial" w:cs="Arial" w:eastAsia="Arial" w:hAnsi="Arial"/>
                <w:sz w:val="14"/>
                <w:szCs w:val="14"/>
                <w:b w:val="1"/>
                <w:bCs w:val="1"/>
                <w:color w:val="auto"/>
                <w:w w:val="88"/>
              </w:rPr>
              <w:t>3-5 years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7"/>
          </w:tcPr>
          <w:p>
            <w:pPr>
              <w:ind w:left="280"/>
              <w:spacing w:after="0" w:line="142" w:lineRule="exact"/>
              <w:rPr>
                <w:sz w:val="20"/>
                <w:szCs w:val="20"/>
                <w:color w:val="auto"/>
              </w:rPr>
            </w:pPr>
            <w:r>
              <w:rPr>
                <w:rFonts w:ascii="Arial" w:cs="Arial" w:eastAsia="Arial" w:hAnsi="Arial"/>
                <w:sz w:val="14"/>
                <w:szCs w:val="14"/>
                <w:b w:val="1"/>
                <w:bCs w:val="1"/>
                <w:color w:val="auto"/>
              </w:rPr>
              <w:t>(in millions of U.S. dollars)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Long-term debt obligations, excluding interest(1)</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69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91.2</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$ 366.3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Interest on long-term debt(2)</w:t>
            </w:r>
          </w:p>
        </w:tc>
        <w:tc>
          <w:tcPr>
            <w:tcW w:w="500" w:type="dxa"/>
            <w:vAlign w:val="bottom"/>
          </w:tcPr>
          <w:p>
            <w:pPr>
              <w:jc w:val="right"/>
              <w:spacing w:after="0"/>
              <w:rPr>
                <w:sz w:val="20"/>
                <w:szCs w:val="20"/>
                <w:color w:val="auto"/>
              </w:rPr>
            </w:pPr>
            <w:r>
              <w:rPr>
                <w:rFonts w:ascii="Arial" w:cs="Arial" w:eastAsia="Arial" w:hAnsi="Arial"/>
                <w:sz w:val="18"/>
                <w:szCs w:val="18"/>
                <w:color w:val="auto"/>
              </w:rPr>
              <w:t>42.4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77.7</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Ship management agreements(3)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3"/>
          </w:tcPr>
          <w:p>
            <w:pPr>
              <w:ind w:left="69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168.9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$ 375.6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20" w:hanging="452"/>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total outstanding as at December 31, 2015 of $419.7 million aggregate principal amount of the notes, $40.0 million borrowings under our revolving credit facility and $33.1 million drawings less amortization under our secured term loan.</w:t>
      </w:r>
    </w:p>
    <w:p>
      <w:pPr>
        <w:ind w:left="460" w:right="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aggregate interest payments on the notes, assuming amortization of the notes with the maximum excess cash flow offers on March 31, 2016, 2017 and 2018, interest at 325 basis points over USD LIBOR (assumed to be 0.5%) for our revolving credit facility to its final maturity date of October 1, 2018 and interest for our secured term loan at 275 basis points over USD LIBOR until November 30, 2018 and 325 basis points over USD LIBOR thereafter until its latest maturity on September 10, 2020.</w:t>
      </w:r>
    </w:p>
    <w:p>
      <w:pPr>
        <w:spacing w:after="0" w:line="1" w:lineRule="exact"/>
        <w:rPr>
          <w:rFonts w:ascii="Arial" w:cs="Arial" w:eastAsia="Arial" w:hAnsi="Arial"/>
          <w:sz w:val="18"/>
          <w:szCs w:val="18"/>
          <w:color w:val="auto"/>
        </w:rPr>
      </w:pPr>
    </w:p>
    <w:p>
      <w:pPr>
        <w:ind w:left="460" w:hanging="452"/>
        <w:spacing w:after="0" w:line="295"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the management fee payable for two-month notice period required in connection with the termination of the 13 ship management contracts with CMA Ships based on the annual management fee of $123,000 per vessel and the minimum term of one year, as well as a three-month notice period required in connection with the five ship management contracts with our other ship manager, based on the annual management fee of $123,000. These obligations do not include any amount for the reimbursement of daily operating costs incurred by the ship managers on our behalf.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2015 are listed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5740" w:type="dxa"/>
            <w:vAlign w:val="bottom"/>
            <w:gridSpan w:val="2"/>
          </w:tcPr>
          <w:p>
            <w:pPr>
              <w:spacing w:after="0" w:line="195" w:lineRule="exact"/>
              <w:rPr>
                <w:sz w:val="20"/>
                <w:szCs w:val="20"/>
                <w:color w:val="auto"/>
              </w:rPr>
            </w:pPr>
            <w:r>
              <w:rPr>
                <w:rFonts w:ascii="Arial" w:cs="Arial" w:eastAsia="Arial" w:hAnsi="Arial"/>
                <w:sz w:val="18"/>
                <w:szCs w:val="18"/>
                <w:color w:val="auto"/>
              </w:rPr>
              <w:t>Michael S. Gross</w:t>
            </w:r>
          </w:p>
        </w:tc>
        <w:tc>
          <w:tcPr>
            <w:tcW w:w="340" w:type="dxa"/>
            <w:vAlign w:val="bottom"/>
          </w:tcPr>
          <w:p>
            <w:pPr>
              <w:jc w:val="center"/>
              <w:spacing w:after="0" w:line="195" w:lineRule="exact"/>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Chairman of the Board</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Angus R. Frew</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Alain Wils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John J. van de Merwe</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Susan J. Cook</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Vivek Puri</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Technical Officer</w:t>
            </w:r>
          </w:p>
        </w:tc>
      </w:tr>
    </w:tbl>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Michael S. Gross. </w:t>
      </w:r>
      <w:r>
        <w:rPr>
          <w:rFonts w:ascii="Arial" w:cs="Arial" w:eastAsia="Arial" w:hAnsi="Arial"/>
          <w:sz w:val="17"/>
          <w:szCs w:val="17"/>
          <w:color w:val="auto"/>
        </w:rPr>
        <w:t>Mr. Gross has been a director since inception and was appointed Chairman in September 2008. Since December 2010, Mr. Gross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Chairman of the board of directors, Chief Executive Officer and President of Solar Senior Capital Ltd, a finance company focusing on debt and equity investments in leveraged companies. From December 2007 through December 2010, Mr. Gross served as the Chairman of the board of directors and Chief Executive Officer of Solar Capital Ltd. From July 2006 through approximately the first quarter of 2009, Mr. Gross was a partner in Magnetar Capital Partners LP, the holding company for Magnetar Financial LLC. Mr. Gross was the Chairman, Chief Executive Officer and Secretary of Marathon Acquisition Corp. from April 2006 to August 2008. Between February 2004 and February 2006, Mr. Gross was the President and Chief Executive Officer of Apollo Investment Corporation (“AIC”), a publicly traded business development company, and was the managing partner of Apollo Investment Management, L.P. (“AIM”), a leading private equity firm that he founded in 1990 and the investment adviser to AIC. From 1990 to February 2006, Mr. Gross was a senior partner at AIM. Mr. Gross currently serves on the board of directors of Jarden Corporation.</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Howard Boyd. </w:t>
      </w:r>
      <w:r>
        <w:rPr>
          <w:rFonts w:ascii="Arial" w:cs="Arial" w:eastAsia="Arial" w:hAnsi="Arial"/>
          <w:sz w:val="17"/>
          <w:szCs w:val="17"/>
          <w:color w:val="auto"/>
        </w:rPr>
        <w:t>Mr. Boyd has been a director since August 2008. In 1996, Mr. Boyd was named chief executive officer of Safmarine, a container liner</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Mr. Frew has been a director since August 2008. He has been Secretary General of BIMCO since October 2013. Previously, Mr. Frew was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 the UK Chamber of Shipping since July 2009. Mr. Frew was 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6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Alain Wils. </w:t>
      </w:r>
      <w:r>
        <w:rPr>
          <w:rFonts w:ascii="Arial" w:cs="Arial" w:eastAsia="Arial" w:hAnsi="Arial"/>
          <w:sz w:val="16"/>
          <w:szCs w:val="16"/>
          <w:color w:val="auto"/>
        </w:rPr>
        <w:t>Mr. Wils has been a director since May 2014. He is a consultant in the shipping and logistics industries, after more than 40 years of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sector. Mr. Wils joined the CMA CGM group in 1996 as managing 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56"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b w:val="1"/>
          <w:bCs w:val="1"/>
          <w:color w:val="auto"/>
        </w:rPr>
        <w:t xml:space="preserve">John J. van de Merwe. </w:t>
      </w:r>
      <w:r>
        <w:rPr>
          <w:rFonts w:ascii="Arial" w:cs="Arial" w:eastAsia="Arial" w:hAnsi="Arial"/>
          <w:sz w:val="16"/>
          <w:szCs w:val="16"/>
          <w:color w:val="auto"/>
        </w:rPr>
        <w:t>Mr. van de Merwe has been a director since May 2014. With over 40 years of experience in operations, sales, pricing,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 management, logistics, general and executive management in the international transportation industry, he is currently an independent consultant based in the Netherlands, providing services on maritime, transportation and logistics related topics, an activity he started in 2006. Mr. van de Merwe joined CMA CGM in 2000 to become President, and later President/CEO, of their high growth North American entity, based in Secaucus, New Jersey and</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later Marseille, and retired in 2006. In 1972, he started his career in Rotterdam, the Netherlands where he joined Sea-Land Service Inc. in operations. He subsequently spent 28 years with Sea-Land and held a number of management positions, including sales, operations, pricing and became General Manager for North Europe in 1988. In 1990, he assumed responsibility for 29 countries, 23 ports and over 1,000 staff as Vice President/General Manager Europe, which role included business development in the former Soviet Union. In 1990, Mr. van de Merwe became the first non-American Officer of Sea-Land and, in 1997, he was appointed Division Head for the new Asia/Middle East/ Europe Division. He also served on the Senior Management Board and pioneered the concept of a shared service center for Sea-Land in Mumbai. Mr. van de Merwe holds an International Marketing Degree from the Netherlands Institute for Marketing.</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Mr. Webber became our Chief Executive Officer in August 2008. From 1979 to 1996, Mr. Webber worked for PriceWaterhouse, the last five</w:t>
      </w:r>
      <w:r>
        <w:rPr>
          <w:rFonts w:ascii="Arial" w:cs="Arial" w:eastAsia="Arial" w:hAnsi="Arial"/>
          <w:sz w:val="18"/>
          <w:szCs w:val="18"/>
          <w:b w:val="1"/>
          <w:bCs w:val="1"/>
          <w:color w:val="auto"/>
        </w:rPr>
        <w:t xml:space="preserve"> </w:t>
      </w:r>
      <w:r>
        <w:rPr>
          <w:rFonts w:ascii="Arial" w:cs="Arial" w:eastAsia="Arial" w:hAnsi="Arial"/>
          <w:sz w:val="18"/>
          <w:szCs w:val="18"/>
          <w:color w:val="auto"/>
        </w:rPr>
        <w:t>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80"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Susan J. Cook. </w:t>
      </w:r>
      <w:r>
        <w:rPr>
          <w:rFonts w:ascii="Arial" w:cs="Arial" w:eastAsia="Arial" w:hAnsi="Arial"/>
          <w:sz w:val="17"/>
          <w:szCs w:val="17"/>
          <w:color w:val="auto"/>
        </w:rPr>
        <w:t>Ms. Cook became our Chief Financial Officer in August 2008. From 1986 to 2006, Ms. Cook worked for The Peninsular and Oriental Steam</w:t>
      </w:r>
      <w:r>
        <w:rPr>
          <w:rFonts w:ascii="Arial" w:cs="Arial" w:eastAsia="Arial" w:hAnsi="Arial"/>
          <w:sz w:val="17"/>
          <w:szCs w:val="17"/>
          <w:b w:val="1"/>
          <w:bCs w:val="1"/>
          <w:color w:val="auto"/>
        </w:rPr>
        <w:t xml:space="preserve"> </w:t>
      </w:r>
      <w:r>
        <w:rPr>
          <w:rFonts w:ascii="Arial" w:cs="Arial" w:eastAsia="Arial" w:hAnsi="Arial"/>
          <w:sz w:val="17"/>
          <w:szCs w:val="17"/>
          <w:color w:val="auto"/>
        </w:rPr>
        <w:t>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165"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Mr. Lister became our Chief Commercial Officer in August 2008. From 2005 until 2007, Mr. Lister was Senior Vice President at DVB</w:t>
      </w:r>
      <w:r>
        <w:rPr>
          <w:rFonts w:ascii="Arial" w:cs="Arial" w:eastAsia="Arial" w:hAnsi="Arial"/>
          <w:sz w:val="16"/>
          <w:szCs w:val="16"/>
          <w:b w:val="1"/>
          <w:bCs w:val="1"/>
          <w:color w:val="auto"/>
        </w:rPr>
        <w:t xml:space="preserve"> </w:t>
      </w:r>
      <w:r>
        <w:rPr>
          <w:rFonts w:ascii="Arial" w:cs="Arial" w:eastAsia="Arial" w:hAnsi="Arial"/>
          <w:sz w:val="16"/>
          <w:szCs w:val="16"/>
          <w:color w:val="auto"/>
        </w:rPr>
        <w:t>Group Merchant Bank (Asia) Ltd, responsible for developing DVB’s Singapore ship fund and leasing project. Before that, from 2004 to 2005, he worked for the German KG financier and ship owning group Nordcapital as Director of Business Development. From 1991 to 2002, Mr. Lister worked for a number of shipping companies in both South America and the United States. Mr. Lister graduated from Durham University and holds an MBA from INSEAD.</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Vivek Puri. </w:t>
      </w:r>
      <w:r>
        <w:rPr>
          <w:rFonts w:ascii="Arial" w:cs="Arial" w:eastAsia="Arial" w:hAnsi="Arial"/>
          <w:sz w:val="17"/>
          <w:szCs w:val="17"/>
          <w:color w:val="auto"/>
        </w:rPr>
        <w:t>Mr. Puri became our Chief Technical Officer in November 2008. Prior to joining us, Mr. Puri was Senior Vice President and Chief Technical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Global Ship Lease Services Limited, our wholly-owned subsidiary, has entered into an employment agreement with Mr. Webber and, pursuant to the terms of an inter-company agreement between us and Global Ship Lease Services Limited, Mr. Webber serves as our Chief Executive Officer. Pursuant to his employment agreement, Mr. Webber receives an annual salary of £304,668 and is eligible to receive a bonus payment up to an annual maximum of 60% of his salary at the discretion of Global Ship Lease Services Limited.</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Global Ship Lease Services Limited has entered into an employment agreement with Ms. Cook and, pursuant to the inter-company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Ms. Cook serves as our Chief Financial Officer. Pursuant to her employment agreement, Ms. Cook receives an annual salary of £173,400 and is eligible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 a bonus payment up to an annual maximum of 40% of her salary at the discretion of Global Ship Lease Services Limited.</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Global Ship Lease Services Limited has entered into an employment agreement with Mr. Lister and, pursuant to the inter-company agreement,</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Mr. Lister serves as our Chief Commercial Officer. Pursuant to his employment agreement, Mr. Lister receives an annual salary of £183,852 and is eligible to receive a bonus payment up to an annual maximum of 40% of his salary at the discretion of Global Ship Lease Services Limited.</w:t>
      </w:r>
    </w:p>
    <w:p>
      <w:pPr>
        <w:spacing w:after="0" w:line="1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Global Ship Lease Services Limited has entered into an employment agreement with Mr. Puri and, pursuant to the inter-company agreement, Mr. Puri serves as our Chief Technical Officer. Pursuant to his employment agreement, Mr. Puri receives an annual salary of £136,680 and is eligible to receive a bonus payment up to an annual maximum of 40% of his salary at the discretion of Global Ship Lease Services Limited.</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Chairman of our board of directors receives an annual fee of $157,500. Our other directors receive an annual fee of $105,000. For 2016, 20% of the annual fee is to be settled by the issuance of shares under the 2015 Equity Incentive Plan. A total of 8,529 shares were issued on March 31, 2016 in respect of directors fees for the first quarter of 2016. The Chairman of the audit committee receives an additional fee of $15,000 and each member of the audit committee receives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adopted the Global Ship Lease, Inc. 2015 Equity Incentive Plan (the “2015 Plan”) on August 28, 2015 when it was approved at our 2015 annual meeting. The 2015 Plan is substantively similar to the prior plan, the Global Ship Lease, Inc. 2008 Equity Incentive Plan (the “2008” Plan”), which became effective on the closing of the Merger and under which we do not intend to make any further awards.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2015 Plan allows our and our subsidiaries’ employees, consultants and directors to receive options, stock appreciation rights, stock grants, stock units and dividend equivalents. The following description of the Plan is qualified by reference to the 2015 Plan, a copy of which is filed as an exhibit to this annual report.</w:t>
      </w:r>
    </w:p>
    <w:p>
      <w:pPr>
        <w:spacing w:after="0" w:line="18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2015 Plan is administered by our board of directors or a committee of the board of directors. Subject to adjustment as provided below, the maximum aggregate number of Class A common shares that may be delivered pursuant to awards granted under the 2015 Plan during its 10-year term is 1,500,000. The maximum number of Class A common shares with respect to which awards may be granted to any participant in the 2015 Plan in any fiscal year is 500,000 per participant. If an award granted under the 2015 Plan is forfeited, or otherwise expires, terminates or is canceled without the delivery of shares, then the shares covered by such award will again be available to be delivered pursuant to other awards under the 2015 Plan.</w:t>
      </w:r>
    </w:p>
    <w:p>
      <w:pPr>
        <w:spacing w:after="0" w:line="15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the event that we are subject to a change of control, the 2015 Plan administrator, in its sole discretion, may make such adjustments and other substitutions to the 2015 Plan and outstanding awards under the 2015 Plan as it deems equitable or desirable.</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grant date.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Stock grants may be issued with or without cash consideration under the 2015 Plan. The holder of a stock grant awarded under the 2015 Plan shall have the same voting, dividend and other rights as other Class A common shareholders. The 2015 Plan administrator may provide a participant who holds stock grants with dividends or dividend equivalents payable in cash, Class A common shares or other property.</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2015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provisions of the 2015 Plan, awards granted under the 2015 Plan may include dividend equivalents. The 2015 Plan administrator may determine the amounts, terms and conditions of any such awards provided that they comply with applicable laws.</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March 2016, Mr. Webber was granted 76,300 restricted shares, Ms. Cook 43,426 restricted shares, Mr. Lister 46,044 restricted shares and Mr. Puri 34,230 restricted shares. Half of these awards, totalling 100,000 restricted shares, are expected to vest when the individual leaves employment provided that this is after December 31, 2016 and is not as a result of termination for cause. The other half is expected to vest after December 31, 2016 but only after the company’s stock price has been at least $5.00 for 20 consecutive trading days, provided that this is before December 31, 2019. On March 31, 2016, a total of 8,529 shares were issued under the 2015 Plan as part of our directors’ compensation. No other awards have been granted under the 2015 Plan and none may be granted after the tenth anniversary of the date of shareholder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2008 Plan, under which we do not intend to make any additional grants, has entitled our and our subsidiaries’ employees, consultants and directors to receive options, stock appreciation rights, stock grants, stock units and dividend equivalents. The material terms of the 2008 Plan are substantively similar to the 2015 Plan described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total of 1,498,123 Class A common shares have been awarded under the Plan.</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2008 Plan, which vested over a three-year period. One third of the award vested over 20 business days commencing mid-September 2009, one third vested over 20 business days commencing mid-September 2010 and one third vested over 20 business days commencing mid-September 2011. In November 2008, Mr. Puri was granted 80,000 restricted shares, half of which vested over 20 business days commencing mid-September 2009 and the other half vested over 20 business days commencing mid-September 2010. In March 2011, Mr. Puri was granted 15,000 restricted shares that vested over 20 business days commencing mid-September 2011. In September 2011, Mr. Webber was granted 55,000 restricted shares, Ms. Cook was granted 34,000 restricted shares, Mr. Lister was granted 34,000 restricted shares and Mr. Puri was granted 27,000 restricted shares, which were expected to vest over a two-year period. One half of the award was expected to vest over 20 business days commencing mid-September 2012, and one half over 20 business days commencing mid-September 2013. In March 2012, the grants made in September 2011 were amended and restated to provide that vesting would occur only when the individual leaves employment, for whatever reason other than for termination for cause, provided that this would be after September 30, 2012 in respect of half of the grant and September 30, 2013 for the other half of the grant. In March 2012, Mr. Webber was granted 27,500 restricted shares, Ms. Cook was granted 17,000 restricted shares, Mr. Lister was granted 17,000 restricted shares and Mr. Puri was granted 13,500 restricted shares, which are expected to vest when the individual leaves employment provided that this will be after September 30, 2014 and is not as a result of termination for cause or resignation prior to January 1, 2017. In March 2013, Mr. Webber was granted 27,500 restricted shares, Ms. Cook was granted 17,000 restricted shares, Mr. Lister was granted 17,000 restricted shares and Mr. Puri was granted 13,500 restricted shares, which are expected to vest when the individual leaves employment provided that this will be after September 30, 2015 and is not as a result of termination for cause or resignation prior to January 1, 2017. Other than the annual awards of restricted stock units as part of the compensation of our board of directors, no other awards have been made.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Board Practices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is divided into three classes with one class of directors being elected in each year and each class serving a three-year term.</w:t>
      </w:r>
    </w:p>
    <w:p>
      <w:pPr>
        <w:spacing w:after="0" w:line="24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current term of office of the Term I class of directors consisting of Mr. Morel and Mr. van de Merwe expires at the annual meeting of shareholders to be held in 2018.</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term of office of the Term II class of directors, consisting of Mr. Boyd and Mr. Frew, expires at the annual meeting of shareholders to be held in 2016.</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current term of office of the Term III class of directors, consisting of Mr. Gross and Mr. Wils, expires at the annual meeting of shareholders to be held in 2017.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our directors have service contracts with us or any of our subsidiaries providing for benefits upon the termination of their employment.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Our board of directors has determined that all directors are “independent directors” as such term is defined in Rule 10A-3 under the Securities Exchange Act of 1934, as amended (the “Exchange Act”), and the NYSE rules.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 Our board committee charters are available on our website (www.globalshiplease.com) and in print to any investor upon request. The information included on our website is not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have established an audit committee, comprised of three members of our board of directors, who,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 Our audit committee consists of Messrs. Boyd, Frew and Morel, each of whom is “independent” as defined in Rule 10A-3 under the Exchange Act and the NYSE rules.</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Frew satisfies the NYSE’s definition of financial sophistication and also qualifies as an “audit committee financial expert,” as defined under Item 401 of Regulation S-K under the Exchange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and Gross. The compensation committee is responsible for and reports to the board of directors on the evaluation and compensation of executives, oversees the administration of compensation plans, reviews and determines director and executive compensation and prepares any report on executive compensation required by the rules and regulations of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U.S. issuers are required to have a nominating and corporate governance committee that is comprised entirely of independent directors. Although as a foreign private issuer this rule does not apply to us, we have a nominating and corporate governance committee. 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whenever necessary.</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each of December 31, 2015, 2014 and 2013, we had eight employees.</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See “Item 7.A. Major Shareholders and Related Party Transactions—Major Shareholders” for information regarding beneficial ownership by our directors and executive officers.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6.B. Compensation – 2015 Equity Incentive Plan” for information regarding our equity incentive plan.</w:t>
      </w:r>
    </w:p>
    <w:p>
      <w:pPr>
        <w:spacing w:after="0" w:line="1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Major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March 31, 2016 by:</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of our common shares shown as beneficially owned, subject to applicable community property laws. As of March 31, 2016, an aggregate of 54,955,969 Class A and Class B common shares were issued and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Class A common shares and the Class B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32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4"/>
              </w:rPr>
              <w:t>Amount of</w:t>
            </w:r>
          </w:p>
        </w:tc>
        <w:tc>
          <w:tcPr>
            <w:tcW w:w="2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Approximate Percentage of</w:t>
            </w:r>
          </w:p>
        </w:tc>
        <w:tc>
          <w:tcPr>
            <w:tcW w:w="0" w:type="dxa"/>
            <w:vAlign w:val="bottom"/>
          </w:tcPr>
          <w:p>
            <w:pPr>
              <w:spacing w:after="0"/>
              <w:rPr>
                <w:sz w:val="1"/>
                <w:szCs w:val="1"/>
                <w:color w:val="auto"/>
              </w:rPr>
            </w:pPr>
          </w:p>
        </w:tc>
      </w:tr>
      <w:tr>
        <w:trPr>
          <w:trHeight w:val="144"/>
        </w:trPr>
        <w:tc>
          <w:tcPr>
            <w:tcW w:w="6140" w:type="dxa"/>
            <w:vAlign w:val="bottom"/>
            <w:gridSpan w:val="2"/>
            <w:vMerge w:val="continue"/>
          </w:tcPr>
          <w:p>
            <w:pPr>
              <w:spacing w:after="0"/>
              <w:rPr>
                <w:sz w:val="12"/>
                <w:szCs w:val="12"/>
                <w:color w:val="auto"/>
              </w:rPr>
            </w:pPr>
          </w:p>
        </w:tc>
        <w:tc>
          <w:tcPr>
            <w:tcW w:w="3260" w:type="dxa"/>
            <w:vAlign w:val="bottom"/>
            <w:gridSpan w:val="2"/>
          </w:tcPr>
          <w:p>
            <w:pPr>
              <w:jc w:val="center"/>
              <w:ind w:right="1280"/>
              <w:spacing w:after="0" w:line="145" w:lineRule="exact"/>
              <w:rPr>
                <w:sz w:val="20"/>
                <w:szCs w:val="20"/>
                <w:color w:val="auto"/>
              </w:rPr>
            </w:pPr>
            <w:r>
              <w:rPr>
                <w:rFonts w:ascii="Arial" w:cs="Arial" w:eastAsia="Arial" w:hAnsi="Arial"/>
                <w:sz w:val="14"/>
                <w:szCs w:val="14"/>
                <w:b w:val="1"/>
                <w:bCs w:val="1"/>
                <w:color w:val="auto"/>
                <w:w w:val="92"/>
              </w:rPr>
              <w:t>Beneficial Ownership of Class A</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Beneficial Owner (1)</w:t>
            </w:r>
          </w:p>
        </w:tc>
        <w:tc>
          <w:tcPr>
            <w:tcW w:w="3260" w:type="dxa"/>
            <w:vAlign w:val="bottom"/>
            <w:gridSpan w:val="2"/>
          </w:tcPr>
          <w:p>
            <w:pPr>
              <w:jc w:val="center"/>
              <w:ind w:right="1260"/>
              <w:spacing w:after="0" w:line="129" w:lineRule="exact"/>
              <w:rPr>
                <w:sz w:val="20"/>
                <w:szCs w:val="20"/>
                <w:color w:val="auto"/>
              </w:rPr>
            </w:pPr>
            <w:r>
              <w:rPr>
                <w:rFonts w:ascii="Arial" w:cs="Arial" w:eastAsia="Arial" w:hAnsi="Arial"/>
                <w:sz w:val="14"/>
                <w:szCs w:val="14"/>
                <w:b w:val="1"/>
                <w:bCs w:val="1"/>
                <w:color w:val="auto"/>
                <w:w w:val="89"/>
              </w:rPr>
              <w:t>and Class B common shares</w:t>
            </w:r>
          </w:p>
        </w:tc>
        <w:tc>
          <w:tcPr>
            <w:tcW w:w="20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Outstanding Common Shares</w:t>
            </w: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S. Gross(2)(3)</w:t>
            </w:r>
          </w:p>
        </w:tc>
        <w:tc>
          <w:tcPr>
            <w:tcW w:w="1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10,738,973</w:t>
            </w:r>
          </w:p>
        </w:tc>
        <w:tc>
          <w:tcPr>
            <w:tcW w:w="128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Howard Boyd(3)</w:t>
            </w:r>
          </w:p>
        </w:tc>
        <w:tc>
          <w:tcPr>
            <w:tcW w:w="3260" w:type="dxa"/>
            <w:vAlign w:val="bottom"/>
            <w:gridSpan w:val="2"/>
          </w:tcPr>
          <w:p>
            <w:pPr>
              <w:jc w:val="right"/>
              <w:ind w:right="1280"/>
              <w:spacing w:after="0"/>
              <w:rPr>
                <w:sz w:val="20"/>
                <w:szCs w:val="20"/>
                <w:color w:val="auto"/>
              </w:rPr>
            </w:pPr>
            <w:r>
              <w:rPr>
                <w:rFonts w:ascii="Arial" w:cs="Arial" w:eastAsia="Arial" w:hAnsi="Arial"/>
                <w:sz w:val="18"/>
                <w:szCs w:val="18"/>
                <w:color w:val="auto"/>
              </w:rPr>
              <w:t>61,174</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Frew(3)</w:t>
            </w:r>
          </w:p>
        </w:tc>
        <w:tc>
          <w:tcPr>
            <w:tcW w:w="32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61,174</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Guy Morel(3)</w:t>
            </w:r>
          </w:p>
        </w:tc>
        <w:tc>
          <w:tcPr>
            <w:tcW w:w="3260" w:type="dxa"/>
            <w:vAlign w:val="bottom"/>
            <w:gridSpan w:val="2"/>
          </w:tcPr>
          <w:p>
            <w:pPr>
              <w:jc w:val="right"/>
              <w:ind w:right="1280"/>
              <w:spacing w:after="0"/>
              <w:rPr>
                <w:sz w:val="20"/>
                <w:szCs w:val="20"/>
                <w:color w:val="auto"/>
              </w:rPr>
            </w:pPr>
            <w:r>
              <w:rPr>
                <w:rFonts w:ascii="Arial" w:cs="Arial" w:eastAsia="Arial" w:hAnsi="Arial"/>
                <w:sz w:val="18"/>
                <w:szCs w:val="18"/>
                <w:color w:val="auto"/>
              </w:rPr>
              <w:t>61,174</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Alain Wils(3)</w:t>
            </w:r>
          </w:p>
        </w:tc>
        <w:tc>
          <w:tcPr>
            <w:tcW w:w="32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1,312</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John J. van de Merwe(3)</w:t>
            </w:r>
          </w:p>
        </w:tc>
        <w:tc>
          <w:tcPr>
            <w:tcW w:w="3260" w:type="dxa"/>
            <w:vAlign w:val="bottom"/>
            <w:gridSpan w:val="2"/>
          </w:tcPr>
          <w:p>
            <w:pPr>
              <w:jc w:val="right"/>
              <w:ind w:right="1280"/>
              <w:spacing w:after="0"/>
              <w:rPr>
                <w:sz w:val="20"/>
                <w:szCs w:val="20"/>
                <w:color w:val="auto"/>
              </w:rPr>
            </w:pPr>
            <w:r>
              <w:rPr>
                <w:rFonts w:ascii="Arial" w:cs="Arial" w:eastAsia="Arial" w:hAnsi="Arial"/>
                <w:sz w:val="18"/>
                <w:szCs w:val="18"/>
                <w:color w:val="auto"/>
              </w:rPr>
              <w:t>2,312</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Webber(4)</w:t>
            </w:r>
          </w:p>
        </w:tc>
        <w:tc>
          <w:tcPr>
            <w:tcW w:w="32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204,800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Susan J. Cook(5)</w:t>
            </w:r>
          </w:p>
        </w:tc>
        <w:tc>
          <w:tcPr>
            <w:tcW w:w="3260" w:type="dxa"/>
            <w:vAlign w:val="bottom"/>
            <w:gridSpan w:val="2"/>
          </w:tcPr>
          <w:p>
            <w:pPr>
              <w:jc w:val="right"/>
              <w:ind w:right="1280"/>
              <w:spacing w:after="0"/>
              <w:rPr>
                <w:sz w:val="20"/>
                <w:szCs w:val="20"/>
                <w:color w:val="auto"/>
              </w:rPr>
            </w:pPr>
            <w:r>
              <w:rPr>
                <w:rFonts w:ascii="Arial" w:cs="Arial" w:eastAsia="Arial" w:hAnsi="Arial"/>
                <w:sz w:val="18"/>
                <w:szCs w:val="18"/>
                <w:color w:val="auto"/>
              </w:rPr>
              <w:t>103,600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Lister(6)</w:t>
            </w:r>
          </w:p>
        </w:tc>
        <w:tc>
          <w:tcPr>
            <w:tcW w:w="32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103,600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Vivek Puri(7)</w:t>
            </w:r>
          </w:p>
        </w:tc>
        <w:tc>
          <w:tcPr>
            <w:tcW w:w="3260" w:type="dxa"/>
            <w:vAlign w:val="bottom"/>
            <w:gridSpan w:val="2"/>
          </w:tcPr>
          <w:p>
            <w:pPr>
              <w:jc w:val="right"/>
              <w:ind w:right="1280"/>
              <w:spacing w:after="0"/>
              <w:rPr>
                <w:sz w:val="20"/>
                <w:szCs w:val="20"/>
                <w:color w:val="auto"/>
              </w:rPr>
            </w:pPr>
            <w:r>
              <w:rPr>
                <w:rFonts w:ascii="Arial" w:cs="Arial" w:eastAsia="Arial" w:hAnsi="Arial"/>
                <w:sz w:val="18"/>
                <w:szCs w:val="18"/>
                <w:color w:val="auto"/>
              </w:rPr>
              <w:t>49,400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individuals)</w:t>
            </w:r>
          </w:p>
        </w:tc>
        <w:tc>
          <w:tcPr>
            <w:tcW w:w="32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11,387,519</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CMA CGM S.A.(8)</w:t>
            </w:r>
          </w:p>
        </w:tc>
        <w:tc>
          <w:tcPr>
            <w:tcW w:w="3260" w:type="dxa"/>
            <w:vAlign w:val="bottom"/>
            <w:gridSpan w:val="2"/>
          </w:tcPr>
          <w:p>
            <w:pPr>
              <w:jc w:val="right"/>
              <w:ind w:right="1280"/>
              <w:spacing w:after="0"/>
              <w:rPr>
                <w:sz w:val="20"/>
                <w:szCs w:val="20"/>
                <w:color w:val="auto"/>
              </w:rPr>
            </w:pPr>
            <w:r>
              <w:rPr>
                <w:rFonts w:ascii="Arial" w:cs="Arial" w:eastAsia="Arial" w:hAnsi="Arial"/>
                <w:sz w:val="18"/>
                <w:szCs w:val="18"/>
                <w:color w:val="auto"/>
              </w:rPr>
              <w:t>24,412,700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individuals is c/o Portland House, Stag Place, London SW1E 5RS, United Kingdom.</w:t>
      </w:r>
    </w:p>
    <w:p>
      <w:pPr>
        <w:spacing w:after="0" w:line="34" w:lineRule="exact"/>
        <w:rPr>
          <w:rFonts w:ascii="Arial" w:cs="Arial" w:eastAsia="Arial" w:hAnsi="Arial"/>
          <w:sz w:val="17"/>
          <w:szCs w:val="17"/>
          <w:color w:val="auto"/>
        </w:rPr>
      </w:pPr>
    </w:p>
    <w:p>
      <w:pPr>
        <w:ind w:left="460" w:right="50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Gross owns and controls Marathon Founders, LLC, which is the record holder of 6,217,712 Class A and Class B common shares. As a result, Mr. Gross may be deemed to beneficially own the shares held by Marathon Founders, LLC. The business address of Mr. Gross is c/o Marathon Founders, LLC, 500 Park Avenue, New York, New York 10022.</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these individuals is a director and the holding includes an aggregate of 8,529 shares issued on March 31, 2016 under the 2015 Equity incentive Plan as part of their compensation for the first quarter of 2016.</w:t>
      </w:r>
    </w:p>
    <w:p>
      <w:pPr>
        <w:ind w:left="460" w:right="1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March 31, 2016, Mr. Webber held 186,300 restricted stock units scheduled to vest after May 30, 2016 that are not included in the table above.</w:t>
      </w:r>
    </w:p>
    <w:p>
      <w:pPr>
        <w:ind w:left="460" w:right="1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Cook serves as our Chief Financial Officer and Secretary. At March 31, 2016, Ms. Cook held 111,426 restricted stock units scheduled to vest after May 30, 2016 that are not included in the table above.</w:t>
      </w:r>
    </w:p>
    <w:p>
      <w:pPr>
        <w:ind w:left="460" w:right="2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Lister serves as our Chief Commercial Officer. At March 31, 2016, Mr. Lister held 114,044 restricted stock units scheduled to vest after May 30, 2016 that are not included in the table above.</w:t>
      </w:r>
    </w:p>
    <w:p>
      <w:pPr>
        <w:ind w:left="460" w:right="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Puri serves as our Chief Technical Officer. At March 31, 2016, Mr. Puri held 88,230 restricted stock units scheduled to vest after May 30, 2016 that are not included in the table above.</w:t>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business address of CMA CGM S.A. is 4, quai d’Arenc, 13235 Marseille Cedex 02, France.</w:t>
      </w:r>
    </w:p>
    <w:p>
      <w:pPr>
        <w:spacing w:after="0" w:line="21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As of March 31, 2016, we had 16 shareholders of record, six of which were located in the United States and held an aggregate of 29,894,723 of our Class A and Class B common shares, representing 54.4% of our outstanding common shares. However, one of the U.S. shareholders of record is CEDE &amp; CO., a nominee of The Depository Trust Company, which held 24,818,607 of our common shares as of March 31, 2016. We believe that the shares held by CEDE &amp; CO. include common shares beneficially owned by both holders in the United States and non-U.S. beneficial owners.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major shareholders do not have different voting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aware of any arrangements the operation of which may at a subsequent date result in our change of control.</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See Item 4.B. “Information on the Company—Business Overview” for a discussion of our commercial transactions and agreements with CMA CGM and CMA Ships.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At the time of the Merger, we entered into a registration rights agreement with CMA CGM, Marathon Investors, LLC, Marathon Founders, LLC and the other initial shareholders of Marathon common stock (including Michael Gross), pursuant to which we agreed to register for resale on a registration statement under the Securities Act of 1933, as amended, and applicable state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securities laws, the common shares issued to such shareholders pursuant to the Merger or upon exercise of warrants. CMA CGM has the right to demand up to three registrations and the Marathon initial shareholders have the right to demand up to two registrations. These shareholders also have the right to request that we file a shelf registration statement with respect to their common shares as soon as the applicable transfer restrictions under the shareholders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 An amendment to the registration rights agreement was agreed to on February 11, 2013 in the context of CMA CGM desiring to pledge their holdings of our Class A common shares and Class B common shares as security for a new facility agreement. The amendment provides that if we have received a notice of pledge in respect of these shares, then we may not file a registration statement in respect of them, essentially unless the pledgors agree. We received a notice of pledge on February 11, 2013. 10,737,004 common shares held by Marathon’s initial shareholders were registered for sale under a registration statement on Form F-3 filed with the SEC on July 28, 2014.</w:t>
      </w:r>
    </w:p>
    <w:p>
      <w:pPr>
        <w:spacing w:after="0" w:line="3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Item 18. “Financial Statements”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to the 47,541,484 Class A common shares outstanding at December 31, 2015, there were 7,405,956 subordinated Class B common shares held by Marathon’s initial shareholders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revolving credit facility and the indenture that governs our notes,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There were 1,400,000 depositary shares outstanding at December 31, 2015,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 Dividends on the Series B preferred shares are payable at 8.75% per annum in arrears on a quarterly basis, when and if declared by the Board of Directors. Following the issuance of the Series B preferred shares of the Company,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10.B. “Additional Information—Memorandum and Articles of Association.” Dividends have been declared as scheduled with respect to our Series B preferred shares.</w:t>
      </w:r>
    </w:p>
    <w:p>
      <w:pPr>
        <w:spacing w:after="0" w:line="17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ability to pay dividends may be subject to constraints under our secured term loan, revolving credit facility or the indenture governing our notes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3.D. “Key Information—Risk Factors” for a discussion of the risks associated with our ability to pay dividends.</w:t>
      </w:r>
    </w:p>
    <w:p>
      <w:pPr>
        <w:spacing w:after="0" w:line="16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12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10.E. “Additional Information—Taxation—Tax Consequences of Holding Class A Common Shares —Taxation of dividends paid on Class A common shares” for information regarding the eligibility requirements for “qualified dividend income.”</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2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sets forth the high and low closing sales price of our Class A common shares and our depositary shares, each of which represents a 1/100th interest in a share of our Series B preferred shares as reported on the NYSE for the periods shown: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7"/>
              </w:rPr>
              <w:t>Depositary Share,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representing</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6"/>
            <w:vMerge w:val="restart"/>
          </w:tcPr>
          <w:p>
            <w:pPr>
              <w:jc w:val="center"/>
              <w:ind w:right="460"/>
              <w:spacing w:after="0"/>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7"/>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1/100</w:t>
            </w:r>
            <w:r>
              <w:rPr>
                <w:rFonts w:ascii="Arial" w:cs="Arial" w:eastAsia="Arial" w:hAnsi="Arial"/>
                <w:sz w:val="12"/>
                <w:szCs w:val="12"/>
                <w:b w:val="1"/>
                <w:bCs w:val="1"/>
                <w:color w:val="auto"/>
                <w:w w:val="98"/>
              </w:rPr>
              <w:t>th</w:t>
            </w:r>
            <w:r>
              <w:rPr>
                <w:rFonts w:ascii="Arial" w:cs="Arial" w:eastAsia="Arial" w:hAnsi="Arial"/>
                <w:sz w:val="14"/>
                <w:szCs w:val="14"/>
                <w:b w:val="1"/>
                <w:bCs w:val="1"/>
                <w:color w:val="auto"/>
                <w:w w:val="98"/>
              </w:rPr>
              <w:t xml:space="preserve"> interest in</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7"/>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Series B Preferred</w:t>
            </w:r>
          </w:p>
        </w:tc>
        <w:tc>
          <w:tcPr>
            <w:tcW w:w="0" w:type="dxa"/>
            <w:vAlign w:val="bottom"/>
          </w:tcPr>
          <w:p>
            <w:pPr>
              <w:spacing w:after="0"/>
              <w:rPr>
                <w:sz w:val="1"/>
                <w:szCs w:val="1"/>
                <w:color w:val="auto"/>
              </w:rPr>
            </w:pPr>
          </w:p>
        </w:tc>
      </w:tr>
      <w:tr>
        <w:trPr>
          <w:trHeight w:val="171"/>
        </w:trPr>
        <w:tc>
          <w:tcPr>
            <w:tcW w:w="6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Ended</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Common 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2"/>
        </w:trPr>
        <w:tc>
          <w:tcPr>
            <w:tcW w:w="6560" w:type="dxa"/>
            <w:vAlign w:val="bottom"/>
            <w:gridSpan w:val="4"/>
            <w:vMerge w:val="continue"/>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High</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High</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December</w:t>
            </w:r>
          </w:p>
        </w:tc>
        <w:tc>
          <w:tcPr>
            <w:tcW w:w="5800" w:type="dxa"/>
            <w:vAlign w:val="bottom"/>
            <w:tcBorders>
              <w:top w:val="single" w:sz="8" w:color="CCEEFF"/>
            </w:tcBorders>
            <w:gridSpan w:val="3"/>
            <w:shd w:val="clear" w:color="auto" w:fill="CCEEFF"/>
          </w:tcPr>
          <w:p>
            <w:pPr>
              <w:jc w:val="right"/>
              <w:ind w:right="5140"/>
              <w:spacing w:after="0"/>
              <w:rPr>
                <w:sz w:val="20"/>
                <w:szCs w:val="20"/>
                <w:color w:val="auto"/>
              </w:rPr>
            </w:pPr>
            <w:r>
              <w:rPr>
                <w:rFonts w:ascii="Arial" w:cs="Arial" w:eastAsia="Arial" w:hAnsi="Arial"/>
                <w:sz w:val="18"/>
                <w:szCs w:val="18"/>
                <w:color w:val="auto"/>
                <w:w w:val="91"/>
              </w:rPr>
              <w:t>31, 2011</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$7.43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December 31, 2012</w:t>
            </w:r>
          </w:p>
        </w:tc>
        <w:tc>
          <w:tcPr>
            <w:tcW w:w="2720" w:type="dxa"/>
            <w:vAlign w:val="bottom"/>
            <w:gridSpan w:val="5"/>
          </w:tcPr>
          <w:p>
            <w:pPr>
              <w:jc w:val="center"/>
              <w:ind w:left="1770"/>
              <w:spacing w:after="0"/>
              <w:rPr>
                <w:sz w:val="20"/>
                <w:szCs w:val="20"/>
                <w:color w:val="auto"/>
              </w:rPr>
            </w:pPr>
            <w:r>
              <w:rPr>
                <w:rFonts w:ascii="Arial" w:cs="Arial" w:eastAsia="Arial" w:hAnsi="Arial"/>
                <w:sz w:val="18"/>
                <w:szCs w:val="18"/>
                <w:color w:val="auto"/>
                <w:w w:val="93"/>
              </w:rPr>
              <w:t>$3.90</w:t>
            </w:r>
          </w:p>
        </w:tc>
        <w:tc>
          <w:tcPr>
            <w:tcW w:w="620" w:type="dxa"/>
            <w:vAlign w:val="bottom"/>
            <w:gridSpan w:val="4"/>
          </w:tcPr>
          <w:p>
            <w:pPr>
              <w:jc w:val="center"/>
              <w:ind w:right="40"/>
              <w:spacing w:after="0"/>
              <w:rPr>
                <w:sz w:val="20"/>
                <w:szCs w:val="20"/>
                <w:color w:val="auto"/>
              </w:rPr>
            </w:pPr>
            <w:r>
              <w:rPr>
                <w:rFonts w:ascii="Arial" w:cs="Arial" w:eastAsia="Arial" w:hAnsi="Arial"/>
                <w:sz w:val="18"/>
                <w:szCs w:val="18"/>
                <w:color w:val="auto"/>
                <w:w w:val="93"/>
              </w:rPr>
              <w:t>$1.60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720" w:type="dxa"/>
            <w:vAlign w:val="bottom"/>
            <w:gridSpan w:val="5"/>
            <w:shd w:val="clear" w:color="auto" w:fill="CCEEFF"/>
          </w:tcPr>
          <w:p>
            <w:pPr>
              <w:jc w:val="center"/>
              <w:ind w:left="1770"/>
              <w:spacing w:after="0"/>
              <w:rPr>
                <w:sz w:val="20"/>
                <w:szCs w:val="20"/>
                <w:color w:val="auto"/>
              </w:rPr>
            </w:pPr>
            <w:r>
              <w:rPr>
                <w:rFonts w:ascii="Arial" w:cs="Arial" w:eastAsia="Arial" w:hAnsi="Arial"/>
                <w:sz w:val="18"/>
                <w:szCs w:val="18"/>
                <w:color w:val="auto"/>
                <w:w w:val="93"/>
              </w:rPr>
              <w:t>$6.34</w:t>
            </w:r>
          </w:p>
        </w:tc>
        <w:tc>
          <w:tcPr>
            <w:tcW w:w="6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3"/>
              </w:rPr>
              <w:t>$4.61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December 31, 2014 (Series B preferred from August 20, 2014)</w:t>
            </w:r>
          </w:p>
        </w:tc>
        <w:tc>
          <w:tcPr>
            <w:tcW w:w="2720" w:type="dxa"/>
            <w:vAlign w:val="bottom"/>
            <w:gridSpan w:val="5"/>
          </w:tcPr>
          <w:p>
            <w:pPr>
              <w:jc w:val="center"/>
              <w:ind w:left="1770"/>
              <w:spacing w:after="0"/>
              <w:rPr>
                <w:sz w:val="20"/>
                <w:szCs w:val="20"/>
                <w:color w:val="auto"/>
              </w:rPr>
            </w:pPr>
            <w:r>
              <w:rPr>
                <w:rFonts w:ascii="Arial" w:cs="Arial" w:eastAsia="Arial" w:hAnsi="Arial"/>
                <w:sz w:val="18"/>
                <w:szCs w:val="18"/>
                <w:color w:val="auto"/>
                <w:w w:val="93"/>
              </w:rPr>
              <w:t>$5.85</w:t>
            </w:r>
          </w:p>
        </w:tc>
        <w:tc>
          <w:tcPr>
            <w:tcW w:w="620" w:type="dxa"/>
            <w:vAlign w:val="bottom"/>
            <w:gridSpan w:val="4"/>
          </w:tcPr>
          <w:p>
            <w:pPr>
              <w:jc w:val="center"/>
              <w:ind w:right="40"/>
              <w:spacing w:after="0"/>
              <w:rPr>
                <w:sz w:val="20"/>
                <w:szCs w:val="20"/>
                <w:color w:val="auto"/>
              </w:rPr>
            </w:pPr>
            <w:r>
              <w:rPr>
                <w:rFonts w:ascii="Arial" w:cs="Arial" w:eastAsia="Arial" w:hAnsi="Arial"/>
                <w:sz w:val="18"/>
                <w:szCs w:val="18"/>
                <w:color w:val="auto"/>
                <w:w w:val="93"/>
              </w:rPr>
              <w:t>$3.12</w:t>
            </w:r>
          </w:p>
        </w:tc>
        <w:tc>
          <w:tcPr>
            <w:tcW w:w="9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$24.70</w:t>
            </w:r>
          </w:p>
        </w:tc>
        <w:tc>
          <w:tcPr>
            <w:tcW w:w="60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720" w:type="dxa"/>
            <w:vAlign w:val="bottom"/>
            <w:gridSpan w:val="5"/>
            <w:shd w:val="clear" w:color="auto" w:fill="CCEEFF"/>
          </w:tcPr>
          <w:p>
            <w:pPr>
              <w:jc w:val="center"/>
              <w:ind w:left="1770"/>
              <w:spacing w:after="0"/>
              <w:rPr>
                <w:sz w:val="20"/>
                <w:szCs w:val="20"/>
                <w:color w:val="auto"/>
              </w:rPr>
            </w:pPr>
            <w:r>
              <w:rPr>
                <w:rFonts w:ascii="Arial" w:cs="Arial" w:eastAsia="Arial" w:hAnsi="Arial"/>
                <w:sz w:val="18"/>
                <w:szCs w:val="18"/>
                <w:color w:val="auto"/>
                <w:w w:val="93"/>
              </w:rPr>
              <w:t>$6.29</w:t>
            </w:r>
          </w:p>
        </w:tc>
        <w:tc>
          <w:tcPr>
            <w:tcW w:w="6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3"/>
              </w:rPr>
              <w:t>$2.50</w:t>
            </w:r>
          </w:p>
        </w:tc>
        <w:tc>
          <w:tcPr>
            <w:tcW w:w="920" w:type="dxa"/>
            <w:vAlign w:val="bottom"/>
            <w:gridSpan w:val="5"/>
            <w:shd w:val="clear" w:color="auto" w:fill="CCEEFF"/>
          </w:tcPr>
          <w:p>
            <w:pPr>
              <w:jc w:val="center"/>
              <w:ind w:right="20"/>
              <w:spacing w:after="0"/>
              <w:rPr>
                <w:sz w:val="20"/>
                <w:szCs w:val="20"/>
                <w:color w:val="auto"/>
              </w:rPr>
            </w:pPr>
            <w:r>
              <w:rPr>
                <w:rFonts w:ascii="Arial" w:cs="Arial" w:eastAsia="Arial" w:hAnsi="Arial"/>
                <w:sz w:val="18"/>
                <w:szCs w:val="18"/>
                <w:color w:val="auto"/>
                <w:w w:val="90"/>
              </w:rPr>
              <w:t>$23.94</w:t>
            </w:r>
          </w:p>
        </w:tc>
        <w:tc>
          <w:tcPr>
            <w:tcW w:w="60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0"/>
              </w:rPr>
              <w:t>$11.51</w:t>
            </w:r>
          </w:p>
        </w:tc>
        <w:tc>
          <w:tcPr>
            <w:tcW w:w="0" w:type="dxa"/>
            <w:vAlign w:val="bottom"/>
          </w:tcPr>
          <w:p>
            <w:pPr>
              <w:spacing w:after="0"/>
              <w:rPr>
                <w:sz w:val="1"/>
                <w:szCs w:val="1"/>
                <w:color w:val="auto"/>
              </w:rPr>
            </w:pPr>
          </w:p>
        </w:tc>
      </w:tr>
      <w:tr>
        <w:trPr>
          <w:trHeight w:val="378"/>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Quarter Ended</w:t>
            </w:r>
          </w:p>
        </w:tc>
        <w:tc>
          <w:tcPr>
            <w:tcW w:w="560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Low</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Low</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6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auto"/>
              </w:rPr>
              <w:t>March 31, 2014</w:t>
            </w: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$5.85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$4.12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8"/>
              <w:spacing w:after="0" w:line="195"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June 30, 2014</w:t>
            </w:r>
          </w:p>
        </w:tc>
        <w:tc>
          <w:tcPr>
            <w:tcW w:w="25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color w:val="auto"/>
                <w:w w:val="93"/>
              </w:rPr>
              <w:t>$4.44</w:t>
            </w:r>
          </w:p>
        </w:tc>
        <w:tc>
          <w:tcPr>
            <w:tcW w:w="2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$3.72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September 30, 2014 (Series B preferred from August 20, 2014)</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$4.40</w:t>
            </w:r>
          </w:p>
        </w:tc>
        <w:tc>
          <w:tcPr>
            <w:tcW w:w="2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$3.63</w:t>
            </w:r>
          </w:p>
        </w:tc>
        <w:tc>
          <w:tcPr>
            <w:tcW w:w="120" w:type="dxa"/>
            <w:vAlign w:val="bottom"/>
          </w:tcPr>
          <w:p>
            <w:pPr>
              <w:spacing w:after="0"/>
              <w:rPr>
                <w:sz w:val="18"/>
                <w:szCs w:val="18"/>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$24.70</w:t>
            </w:r>
          </w:p>
        </w:tc>
        <w:tc>
          <w:tcPr>
            <w:tcW w:w="22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0"/>
              </w:rPr>
              <w:t>$22.00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5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color w:val="auto"/>
                <w:w w:val="93"/>
              </w:rPr>
              <w:t>$4.50</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$3.12</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$23.20</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$17.44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March 31, 2015</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$5.64</w:t>
            </w:r>
          </w:p>
        </w:tc>
        <w:tc>
          <w:tcPr>
            <w:tcW w:w="2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$4.63</w:t>
            </w:r>
          </w:p>
        </w:tc>
        <w:tc>
          <w:tcPr>
            <w:tcW w:w="120" w:type="dxa"/>
            <w:vAlign w:val="bottom"/>
          </w:tcPr>
          <w:p>
            <w:pPr>
              <w:spacing w:after="0"/>
              <w:rPr>
                <w:sz w:val="18"/>
                <w:szCs w:val="18"/>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$23.30</w:t>
            </w:r>
          </w:p>
        </w:tc>
        <w:tc>
          <w:tcPr>
            <w:tcW w:w="22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0"/>
              </w:rPr>
              <w:t>$18.19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June 30, 2015</w:t>
            </w:r>
          </w:p>
        </w:tc>
        <w:tc>
          <w:tcPr>
            <w:tcW w:w="25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color w:val="auto"/>
                <w:w w:val="93"/>
              </w:rPr>
              <w:t>$5.97</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$5.10</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$23.94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$22.20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September 30, 2015</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$6.29</w:t>
            </w:r>
          </w:p>
        </w:tc>
        <w:tc>
          <w:tcPr>
            <w:tcW w:w="2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$4.40</w:t>
            </w:r>
          </w:p>
        </w:tc>
        <w:tc>
          <w:tcPr>
            <w:tcW w:w="120" w:type="dxa"/>
            <w:vAlign w:val="bottom"/>
          </w:tcPr>
          <w:p>
            <w:pPr>
              <w:spacing w:after="0"/>
              <w:rPr>
                <w:sz w:val="18"/>
                <w:szCs w:val="18"/>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$23.54</w:t>
            </w:r>
          </w:p>
        </w:tc>
        <w:tc>
          <w:tcPr>
            <w:tcW w:w="22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0"/>
              </w:rPr>
              <w:t>$21.37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5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color w:val="auto"/>
                <w:w w:val="93"/>
              </w:rPr>
              <w:t>$4.69</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$2.50</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$23.54</w:t>
            </w: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$11.51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4"/>
          </w:tcPr>
          <w:p>
            <w:pPr>
              <w:spacing w:after="0"/>
              <w:rPr>
                <w:sz w:val="20"/>
                <w:szCs w:val="20"/>
                <w:color w:val="auto"/>
              </w:rPr>
            </w:pPr>
            <w:r>
              <w:rPr>
                <w:rFonts w:ascii="Arial" w:cs="Arial" w:eastAsia="Arial" w:hAnsi="Arial"/>
                <w:sz w:val="18"/>
                <w:szCs w:val="18"/>
                <w:color w:val="auto"/>
              </w:rPr>
              <w:t>March 31, 2016</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$2.60</w:t>
            </w:r>
          </w:p>
        </w:tc>
        <w:tc>
          <w:tcPr>
            <w:tcW w:w="22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0"/>
                <w:szCs w:val="20"/>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20"/>
                <w:szCs w:val="20"/>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$ 8.00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560" w:type="dxa"/>
            <w:vAlign w:val="bottom"/>
            <w:gridSpan w:val="4"/>
          </w:tcPr>
          <w:p>
            <w:pPr>
              <w:spacing w:after="0"/>
              <w:rPr>
                <w:sz w:val="20"/>
                <w:szCs w:val="20"/>
                <w:color w:val="auto"/>
              </w:rPr>
            </w:pPr>
            <w:r>
              <w:rPr>
                <w:rFonts w:ascii="Arial" w:cs="Arial" w:eastAsia="Arial" w:hAnsi="Arial"/>
                <w:sz w:val="14"/>
                <w:szCs w:val="14"/>
                <w:b w:val="1"/>
                <w:bCs w:val="1"/>
                <w:color w:val="auto"/>
              </w:rPr>
              <w:t>Month Ended</w:t>
            </w:r>
          </w:p>
        </w:tc>
        <w:tc>
          <w:tcPr>
            <w:tcW w:w="2000" w:type="dxa"/>
            <w:vAlign w:val="bottom"/>
          </w:tcPr>
          <w:p>
            <w:pPr>
              <w:spacing w:after="0"/>
              <w:rPr>
                <w:sz w:val="24"/>
                <w:szCs w:val="24"/>
                <w:color w:val="auto"/>
              </w:rPr>
            </w:pPr>
          </w:p>
        </w:tc>
        <w:tc>
          <w:tcPr>
            <w:tcW w:w="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High</w:t>
            </w:r>
          </w:p>
        </w:tc>
        <w:tc>
          <w:tcPr>
            <w:tcW w:w="620" w:type="dxa"/>
            <w:vAlign w:val="bottom"/>
            <w:gridSpan w:val="4"/>
          </w:tcPr>
          <w:p>
            <w:pPr>
              <w:ind w:left="8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24"/>
                <w:szCs w:val="24"/>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October 31,</w:t>
            </w:r>
          </w:p>
        </w:tc>
        <w:tc>
          <w:tcPr>
            <w:tcW w:w="5700" w:type="dxa"/>
            <w:vAlign w:val="bottom"/>
            <w:tcBorders>
              <w:top w:val="single" w:sz="8" w:color="CCEEFF"/>
            </w:tcBorders>
            <w:gridSpan w:val="2"/>
            <w:shd w:val="clear" w:color="auto" w:fill="CCEEFF"/>
          </w:tcPr>
          <w:p>
            <w:pPr>
              <w:jc w:val="right"/>
              <w:ind w:right="5300"/>
              <w:spacing w:after="0"/>
              <w:rPr>
                <w:sz w:val="20"/>
                <w:szCs w:val="20"/>
                <w:color w:val="auto"/>
              </w:rPr>
            </w:pPr>
            <w:r>
              <w:rPr>
                <w:rFonts w:ascii="Arial" w:cs="Arial" w:eastAsia="Arial" w:hAnsi="Arial"/>
                <w:sz w:val="18"/>
                <w:szCs w:val="18"/>
                <w:color w:val="auto"/>
                <w:w w:val="94"/>
              </w:rPr>
              <w:t>2015</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$4.69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$22.53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$21.77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November 30, 2015</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$4.19</w:t>
            </w:r>
          </w:p>
        </w:tc>
        <w:tc>
          <w:tcPr>
            <w:tcW w:w="2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$3.33</w:t>
            </w:r>
          </w:p>
        </w:tc>
        <w:tc>
          <w:tcPr>
            <w:tcW w:w="120" w:type="dxa"/>
            <w:vAlign w:val="bottom"/>
          </w:tcPr>
          <w:p>
            <w:pPr>
              <w:spacing w:after="0"/>
              <w:rPr>
                <w:sz w:val="18"/>
                <w:szCs w:val="18"/>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0"/>
              </w:rPr>
              <w:t>$14.90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5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color w:val="auto"/>
                <w:w w:val="93"/>
              </w:rPr>
              <w:t>$3.40</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$2.50</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$11.51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color w:val="auto"/>
              </w:rPr>
              <w:t>January 31, 2016</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$2.60</w:t>
            </w:r>
          </w:p>
        </w:tc>
        <w:tc>
          <w:tcPr>
            <w:tcW w:w="2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$1.67</w:t>
            </w:r>
          </w:p>
        </w:tc>
        <w:tc>
          <w:tcPr>
            <w:tcW w:w="120" w:type="dxa"/>
            <w:vAlign w:val="bottom"/>
          </w:tcPr>
          <w:p>
            <w:pPr>
              <w:spacing w:after="0"/>
              <w:rPr>
                <w:sz w:val="18"/>
                <w:szCs w:val="18"/>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$ 8.00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2500" w:type="dxa"/>
            <w:vAlign w:val="bottom"/>
            <w:gridSpan w:val="4"/>
            <w:shd w:val="clear" w:color="auto" w:fill="CCEEFF"/>
          </w:tcPr>
          <w:p>
            <w:pPr>
              <w:jc w:val="center"/>
              <w:ind w:left="1830"/>
              <w:spacing w:after="0"/>
              <w:rPr>
                <w:sz w:val="20"/>
                <w:szCs w:val="20"/>
                <w:color w:val="auto"/>
              </w:rPr>
            </w:pPr>
            <w:r>
              <w:rPr>
                <w:rFonts w:ascii="Arial" w:cs="Arial" w:eastAsia="Arial" w:hAnsi="Arial"/>
                <w:sz w:val="18"/>
                <w:szCs w:val="18"/>
                <w:color w:val="auto"/>
                <w:w w:val="93"/>
              </w:rPr>
              <w:t>$2.13</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$1.53</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$12.94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4"/>
          </w:tcPr>
          <w:p>
            <w:pPr>
              <w:spacing w:after="0"/>
              <w:rPr>
                <w:sz w:val="20"/>
                <w:szCs w:val="20"/>
                <w:color w:val="auto"/>
              </w:rPr>
            </w:pPr>
            <w:r>
              <w:rPr>
                <w:rFonts w:ascii="Arial" w:cs="Arial" w:eastAsia="Arial" w:hAnsi="Arial"/>
                <w:sz w:val="18"/>
                <w:szCs w:val="18"/>
                <w:color w:val="auto"/>
              </w:rPr>
              <w:t>March 31, 2016</w:t>
            </w:r>
          </w:p>
        </w:tc>
        <w:tc>
          <w:tcPr>
            <w:tcW w:w="2500" w:type="dxa"/>
            <w:vAlign w:val="bottom"/>
            <w:gridSpan w:val="4"/>
          </w:tcPr>
          <w:p>
            <w:pPr>
              <w:jc w:val="center"/>
              <w:ind w:left="1830"/>
              <w:spacing w:after="0"/>
              <w:rPr>
                <w:sz w:val="20"/>
                <w:szCs w:val="20"/>
                <w:color w:val="auto"/>
              </w:rPr>
            </w:pPr>
            <w:r>
              <w:rPr>
                <w:rFonts w:ascii="Arial" w:cs="Arial" w:eastAsia="Arial" w:hAnsi="Arial"/>
                <w:sz w:val="18"/>
                <w:szCs w:val="18"/>
                <w:color w:val="auto"/>
                <w:w w:val="93"/>
              </w:rPr>
              <w:t>$1.32</w:t>
            </w:r>
          </w:p>
        </w:tc>
        <w:tc>
          <w:tcPr>
            <w:tcW w:w="22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0"/>
                <w:szCs w:val="20"/>
                <w:color w:val="auto"/>
              </w:rPr>
            </w:pPr>
          </w:p>
        </w:tc>
        <w:tc>
          <w:tcPr>
            <w:tcW w:w="700" w:type="dxa"/>
            <w:vAlign w:val="bottom"/>
            <w:gridSpan w:val="4"/>
          </w:tcPr>
          <w:p>
            <w:pPr>
              <w:jc w:val="right"/>
              <w:ind w:right="8"/>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20"/>
                <w:szCs w:val="20"/>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$11.36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the registration statement on Form F-4 (File No. 333-150309) filed with the SEC on April 18, 2008 and are hereby incorporated by reference into this Annual Report.</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rights, preferences and restrictions attaching to each class of shares of our capital stock are described in the sections “Description of Capital Shares,” “Description of Preferred Shares,” and “Description of Depositary Shares” of the Amendment No. 1 to our registration statement on Form F-3 (File No. 333-197518) filed with the SEC on July 28, 2014 and hereby incorporated by reference into this Annual Report. There have been no changes since that date, other than the issuance of the Series B preferred shares in August 2014, as described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August 20, 2014, we issued 1,400,000 depositary shares, each of which represents 1/100th of one share of our Series B preferred shares. In the event of any liquidation, dissolution or winding up of our affairs, holders of the Series B preferred shares will have the right to receive the liquidation preference of $2,500.00 per share of Series B preferred shares (equivalent to $25.00 per depositary share or $35.0 million in the aggregate) plus an amount equal to all accumulated and unpaid dividends thereon to the date of payment, whether or not declared. Dividends are payable at 8.75% per annum in arrears on a quarterly basis, when and if declared by the Board of Directors. Following the issuance of the Series B preferred shares of the Company, no dividend may be declared or paid or set apart for payment on our common stock and each other class or series of capital stock established after the original issue date of the Series B preferred shares that is not expressly made senior to or on parity with the Series B preferred shares as to the payment of dividends and amounts payable upon liquidation, dissolution or winding up, whether voluntary or involuntary (“Junior Securities”) (other than a dividend payable solely in Junior Securities), unless full cumulative dividends have been or contemporaneously are being paid or declared and set aside for payment on all outstanding Series B preferred shares and any securities that rank pari passu with the Series B preferred shares through the most recent respective dividend payment dates. Holders of the Series B preferred shares generally have no voting rights, except in limited circumstances.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rights, preferences and restrictions attaching to the Series B preferred shares are described in the section “Description of Series B Preferred Shares and Depositary Shares” of our prospectus supplement dated August 13, 2014 filed with the SEC on August 15, 2014 and hereby incorporated by reference into this Annual Report. There have been no changes since that date. The rights, preferences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restrictions attaching to the Series B preferred shares are further qualified by (i) the Certificate of Designations of Global Ship Lease, Inc., filed with the Registrar or Deputy Registrar of Corporations of the Republic of the Marshall Islands and effective August 19, 2014, and (ii) the Deposit Agreement, dated as of August 20, 2014, by and among Global Ship Lease, Inc., Computershare Inc. and Computershare Trust Company, N.A., as applicable, as depositary, registrar and transfer agent, and the holders from time to time of the depositary receipts described therein (each of (i) and (ii) being incorporated by reference to Exhibits 3.1 and 4.1, respectively, of Global Ship Lease, Inc.’s Report on Form 6-K (File No. 001-34153) filed on August 20, 2014), each of which is hereby incorporated by reference into this Annual Report. There have been no changes since that date.</w:t>
      </w:r>
    </w:p>
    <w:p>
      <w:pPr>
        <w:spacing w:after="0" w:line="178"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are not aware of any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Reference is made to Item 4.B. “Information on the Company—Business Overview” for a description of the time charters, the ship management agreements and the global expense agreement, which is incorporated herein by reference. Reference is made to Item 5.B. “Operating and Financial Review and Prospects—Liquidity and Capital Resources—Liquidity, working capital and dividends—Indebtedness” for a description of the credit agreement governing our revolving credit facility, the indenture governing our notes and the agreement governing our secured term loan, which is incorporated herein by reference. Reference is made to Item 6.B. “Directors, Senior Management and Employees—Compensation” for a description of employment agreements, which is incorporated herein by reference. Reference is made to Item 7.B. “Major Shareholders and Related Party Transactions—Related Party Transactions” for a description of the registration rights agreement, which is incorporated herein by reference.</w:t>
      </w:r>
    </w:p>
    <w:p>
      <w:pPr>
        <w:spacing w:after="0" w:line="2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Taxation</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represents the material U.S. federal income tax consequences of the acquisition, ownership and disposition of our Class A common shares.</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This section is based on current provisions of the Code, current and proposed Treasury regulations promulgated thereunder, and administrative and judicial decisions as of the date hereof, all of which are subject to change, possibly on a retroactive basis.</w:t>
      </w:r>
    </w:p>
    <w:p>
      <w:pPr>
        <w:spacing w:after="0" w:line="170"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6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should consult their tax advisors regarding the specific tax consequences to them of the acquisition, holding or disposition of our Class A common shares, in light of their particular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29" w:lineRule="exact"/>
        <w:rPr>
          <w:sz w:val="20"/>
          <w:szCs w:val="20"/>
          <w:color w:val="auto"/>
        </w:rPr>
      </w:pPr>
    </w:p>
    <w:p>
      <w:pPr>
        <w:ind w:left="900" w:right="4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satisfy one of the following three ownership tests (discussed in more detail below): (1) the more than 50% ownership test, or 50% Ownership Test, (2) the controlled foreign corporation test, or CFC Test or (3) the “Publicly Traded Test”;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(that include the filing of U.S. income tax returns).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organized under the laws of the Marshall Islands. Each of the vessels in the fleet is owned by a separate wholly owned subsidiary organized either in the Marshall Islands, Cyprus or Hong Kong. The U.S. Treasury Department recognizes the Marshall Islands, Cyprus and Hong Kong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currently may not be able to satisfy the 50% Ownership Test due to our lack of knowledge of the direct and indirect owners of entities which own our Class A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CFC Test requires that the non-U.S.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 Moreover, the Class A common shares represent more than 50% of both the voting power and value of all classes of our shares.</w:t>
      </w:r>
    </w:p>
    <w:p>
      <w:pPr>
        <w:spacing w:after="0" w:line="193"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information that we have as to our shareholders and other matters, we believed that we qualified for the Section 883 exemption for 2015 under the Publicly Traded Test, and expect to so qualify for 2016. However, it is possible that our ownership may change such that qualified shareholders will not own, in the aggregate, a sufficient amount of our stock for more than half the days during the taxable year to preclude the non-qualifying 5% Shareholders from owning 50% or more of the total value of our stock held by the 5% Shareholders group, causing the 5% Override Rule to apply. If the 5% Override Rule applies, we would fail the Publicly Traded Test, and may fail to qualify for the Section 883 exemption.</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Such an ownership change, and certain other requirements for our stock to be treated as primarily and regularly traded on an established securities market, are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were not to qualify for the Section 883 exemption in any year, the U.S.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11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Section 7874 of the Code provides that a foreign corporation that acquires substantially all the properties of a U.S. corporation is generally treated as though it were a U.S. corporation for U.S. federal income tax purposes if, after the acquisition, (1) at least 80% (by vote or value) of the stock of the foreign corporation is owned by former shareholders of the U.S. corporation by reason of owning stock in the U.S. corporation, and (2) the foreign corporation’s expanded affiliate group does not have substantial business activities in the foreign corporation’s jurisdiction of organization.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65"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900" w:right="380" w:hanging="446"/>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 meets certain holding period and other requirements and we are not a PFIC in the taxable year in which the dividends are paid or in the immediately preceding taxable year. Special rules may apply to any “extraordinary dividend” paid by us. An extraordinary dividend is, generally, a dividend with respect to a share if the amount of the dividend is equal to or in excess of 10 percent of a shareholder’s adjusted basis (or fair market value in certain circumstances) in such share.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tax on net investment income</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7"/>
          <w:szCs w:val="17"/>
          <w:i w:val="1"/>
          <w:iCs w:val="1"/>
          <w:color w:val="auto"/>
        </w:rPr>
        <w:t xml:space="preserve">Tidewater </w:t>
      </w:r>
      <w:r>
        <w:rPr>
          <w:rFonts w:ascii="Arial" w:cs="Arial" w:eastAsia="Arial" w:hAnsi="Arial"/>
          <w:sz w:val="17"/>
          <w:szCs w:val="17"/>
          <w:color w:val="auto"/>
        </w:rPr>
        <w:t>decision, and in its discussion stated that the time charters at issue in</w:t>
      </w:r>
      <w:r>
        <w:rPr>
          <w:rFonts w:ascii="Arial" w:cs="Arial" w:eastAsia="Arial" w:hAnsi="Arial"/>
          <w:sz w:val="17"/>
          <w:szCs w:val="17"/>
          <w:i w:val="1"/>
          <w:iCs w:val="1"/>
          <w:color w:val="auto"/>
        </w:rPr>
        <w:t xml:space="preserve"> Tidewater </w:t>
      </w:r>
      <w:r>
        <w:rPr>
          <w:rFonts w:ascii="Arial" w:cs="Arial" w:eastAsia="Arial" w:hAnsi="Arial"/>
          <w:sz w:val="17"/>
          <w:szCs w:val="17"/>
          <w:color w:val="auto"/>
        </w:rPr>
        <w:t>would be treated as producing services income for PFIC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IRS’s statement with respect to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cannot be relied upon or otherwise cited as precedent by taxpayers. Further, the facts in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are not directly analogous to our facts. Consequently, no assurance can be given that the IRS or a court of law would accept our position, and there is a risk that the IRS or a court of law could determine that the company is a PFIC.</w:t>
      </w:r>
    </w:p>
    <w:p>
      <w:pPr>
        <w:spacing w:after="0" w:line="17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78"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each U.S. holder of our Class A common shares will generally be required to file an IRS Form 8621 if such U.S. holder holds its shares in any year in which we were classified as a PFIC.</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16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18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If we are classified as a PFIC for any taxable year during which a U.S. holder holds our Class A common shares and any of our non-U.S. subsidiaries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preferential rates of tax on qualified dividend income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if we are treated as a CFC, gains realized by a U.S. 10% Holder on the sale or other disposition of Class A common shares may be treated as dividend income to the extent of our certain accumulated earnings and profits. Moreover, for the period in which we are a CFC and a U.S. holder is a U.S. 10% Holder, we generally will not be treated as a PFIC with respect to Class A common shares held by such U.S. holder (but may be treated as a PFIC with respect to other U.S. holders).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If we are treated as a U.S. corporation pursuant to Section 7874 of the Code, non-U.S. holders generally will be subject to withholding tax at a rate of 30% on all dividends paid by us, unless a reduced rate of tax is available under a tax treaty or the dividends are exempt from withholding because they are effectively connected with a non-U.S. holder’s conduct of a U.S. trade or business (and, in each case, the relevant certification requirements are satisfied).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W-8BEN or 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8.75% Series B Cumulative Redeemable Perpetual Preferred Shares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Series B preferred shares are treated as equity rather than debt for U.S. federal income tax purposes. Prospective investors should consult their tax advisors regarding the specific tax consequences to them of the acquisition, holding or disposition of our Series B preferred shares, in light of their particular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 Statements by Experts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 Subsidiaries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8.1 to this annual report.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are exposed to the impact of interest rate changes primarily through our floating-rate borrowings under our revolving credit facility. Significant increases in interest rates could adversely affect our results of operations and our ability to service our own debt. Details of the expected maturity of our borrowings are presented in Item 5.F. “Operating and Financial Review and Prospects—Contractual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maximum borrowings of $40.0 million under the revolving credit facility and borrowings of $33.1 million under the secured term loan and ignoring cash on deposit, a hypothetical 1% increase in LIBOR would have the impact of reducing our annual net income, before income taxes, by approximately $0.7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global expense agreement, under certain predefined circumstances, we will be able to recover a portion of our vessel operating costs above a pre-determined threshold.</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American Depositary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2015, the end of the period covered by this report, our disclosure controls and procedures were effective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relate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30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Management evaluated the effectiveness of our internal control over financial reporting as of December 31, 2015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2015.</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effectiveness of our internal controls over financial reporting as of December 31, 2015 has been audited by PricewaterhouseCoopers Audit, France, the independent registered public accounting firm that audited our December 31, 2015 consolidated financial statements, as stated in their report included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the year ended December 31, 2015, there were no changes with regard to internal control over financial reporting that have materially affected or are reasonably likely to materially affect our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Board has determined that our director and chairman of the audit committee, Mr. Frew, qualifies as an audit committee financial expert and is independent under applicable NYSE and SEC standards.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This document is available in the Corporate Governance section of our website (www.globalshiplease.com). The information included on our website is not incorporate herein by reference. We also intend to disclose any waivers to or amendments of our Code of Business Conduct and Ethics for the benefit of our directors and executive officers on our website. We will provide a hard copy of our Code of Business Conduct and Ethics free of charge upon written request of a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accountant for 2015 and 2014 was PricewaterhouseCoopers Audit, France, an independent registered public accounting firm.</w:t>
      </w:r>
    </w:p>
    <w:p>
      <w:pPr>
        <w:spacing w:after="0" w:line="341" w:lineRule="exact"/>
        <w:rPr>
          <w:sz w:val="20"/>
          <w:szCs w:val="20"/>
          <w:color w:val="auto"/>
        </w:rPr>
      </w:pPr>
    </w:p>
    <w:p>
      <w:pPr>
        <w:jc w:val="right"/>
        <w:ind w:right="5120"/>
        <w:spacing w:after="0" w:line="488" w:lineRule="auto"/>
        <w:rPr>
          <w:sz w:val="20"/>
          <w:szCs w:val="20"/>
          <w:color w:val="auto"/>
        </w:rPr>
      </w:pPr>
      <w:r>
        <w:rPr>
          <w:rFonts w:ascii="Arial" w:cs="Arial" w:eastAsia="Arial" w:hAnsi="Arial"/>
          <w:sz w:val="16"/>
          <w:szCs w:val="16"/>
          <w:b w:val="1"/>
          <w:bCs w:val="1"/>
          <w:color w:val="auto"/>
        </w:rPr>
        <w:t xml:space="preserve">Fees Incurred by Global Ship Lease for PricewaterhouseCoopers Audit’s Services </w:t>
      </w:r>
      <w:r>
        <w:rPr>
          <w:rFonts w:ascii="Arial" w:cs="Arial" w:eastAsia="Arial" w:hAnsi="Arial"/>
          <w:sz w:val="16"/>
          <w:szCs w:val="16"/>
          <w:color w:val="auto"/>
        </w:rPr>
        <w:t>In 2015 and 2014 the fees for services rendered by the auditors were as follows:</w:t>
      </w: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$325,600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$ 311,900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Audit-Related Fees</w:t>
            </w:r>
          </w:p>
        </w:tc>
        <w:tc>
          <w:tcPr>
            <w:tcW w:w="27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97,100</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All Other Fees</w:t>
            </w:r>
          </w:p>
        </w:tc>
        <w:tc>
          <w:tcPr>
            <w:tcW w:w="270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374,650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507,000</w:t>
            </w:r>
          </w:p>
        </w:tc>
        <w:tc>
          <w:tcPr>
            <w:tcW w:w="10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fees for 2015 and 2014 are primarily for tax consultation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8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 compensation committee that consists of three directors, all of whom satisfy NYSE standards for independence;</w:t>
      </w:r>
    </w:p>
    <w:p>
      <w:pPr>
        <w:spacing w:after="0" w:line="130" w:lineRule="exact"/>
        <w:rPr>
          <w:rFonts w:ascii="Arial" w:cs="Arial" w:eastAsia="Arial" w:hAnsi="Arial"/>
          <w:sz w:val="18"/>
          <w:szCs w:val="18"/>
          <w:color w:val="auto"/>
        </w:rPr>
      </w:pPr>
    </w:p>
    <w:p>
      <w:pPr>
        <w:ind w:left="900" w:right="98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consists of three directors, all of whom satisfy NYSE standards for independence;</w:t>
      </w:r>
    </w:p>
    <w:p>
      <w:pPr>
        <w:spacing w:after="0" w:line="75"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obtained shareholder approval prior to the adoption of our equity compensation plans, instead of obtaining approval of only the full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80" w:type="dxa"/>
            <w:vAlign w:val="bottom"/>
            <w:gridSpan w:val="6"/>
          </w:tcPr>
          <w:p>
            <w:pPr>
              <w:jc w:val="center"/>
              <w:ind w:right="4020"/>
              <w:spacing w:after="0"/>
              <w:rPr>
                <w:sz w:val="20"/>
                <w:szCs w:val="20"/>
                <w:color w:val="auto"/>
              </w:rPr>
            </w:pPr>
            <w:r>
              <w:rPr>
                <w:rFonts w:ascii="Arial" w:cs="Arial" w:eastAsia="Arial" w:hAnsi="Arial"/>
                <w:sz w:val="18"/>
                <w:szCs w:val="18"/>
                <w:b w:val="1"/>
                <w:bCs w:val="1"/>
                <w:color w:val="auto"/>
              </w:rPr>
              <w:t>PART III</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458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720" w:type="dxa"/>
            <w:vAlign w:val="bottom"/>
            <w:tcBorders>
              <w:top w:val="single" w:sz="8" w:color="auto"/>
            </w:tcBorders>
          </w:tcPr>
          <w:p>
            <w:pPr>
              <w:spacing w:after="0"/>
              <w:rPr>
                <w:sz w:val="24"/>
                <w:szCs w:val="24"/>
                <w:color w:val="auto"/>
              </w:rPr>
            </w:pPr>
          </w:p>
        </w:tc>
        <w:tc>
          <w:tcPr>
            <w:tcW w:w="474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20" w:type="dxa"/>
            <w:vAlign w:val="bottom"/>
            <w:gridSpan w:val="10"/>
          </w:tcPr>
          <w:p>
            <w:pPr>
              <w:ind w:left="46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040" w:type="dxa"/>
            <w:vAlign w:val="bottom"/>
            <w:gridSpan w:val="9"/>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20" w:type="dxa"/>
            <w:vAlign w:val="bottom"/>
            <w:gridSpan w:val="10"/>
          </w:tcPr>
          <w:p>
            <w:pPr>
              <w:ind w:left="460"/>
              <w:spacing w:after="0"/>
              <w:rPr>
                <w:sz w:val="20"/>
                <w:szCs w:val="20"/>
                <w:color w:val="auto"/>
              </w:rPr>
            </w:pPr>
            <w:r>
              <w:rPr>
                <w:rFonts w:ascii="Arial" w:cs="Arial" w:eastAsia="Arial" w:hAnsi="Arial"/>
                <w:sz w:val="18"/>
                <w:szCs w:val="18"/>
                <w:color w:val="auto"/>
                <w:w w:val="92"/>
              </w:rPr>
              <w:t>The following financial statements, together with the report of PricewaterhouseCoopers Audit thereon, are filed as part of this Annual Report: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2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820" w:type="dxa"/>
            <w:vAlign w:val="bottom"/>
            <w:gridSpan w:val="10"/>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20" w:type="dxa"/>
            <w:vAlign w:val="bottom"/>
            <w:gridSpan w:val="10"/>
          </w:tcPr>
          <w:p>
            <w:pPr>
              <w:spacing w:after="0" w:line="190" w:lineRule="exact"/>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500" w:type="dxa"/>
            <w:vAlign w:val="bottom"/>
          </w:tcPr>
          <w:p>
            <w:pPr>
              <w:ind w:left="60"/>
              <w:spacing w:after="0" w:line="190" w:lineRule="exact"/>
              <w:rPr>
                <w:sz w:val="20"/>
                <w:szCs w:val="20"/>
                <w:color w:val="auto"/>
              </w:rPr>
            </w:pPr>
            <w:r>
              <w:rPr>
                <w:rFonts w:ascii="Arial" w:cs="Arial" w:eastAsia="Arial" w:hAnsi="Arial"/>
                <w:sz w:val="18"/>
                <w:szCs w:val="18"/>
                <w:color w:val="auto"/>
                <w:w w:val="93"/>
              </w:rPr>
              <w:t>FIN-2</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 as at December 31, 2015 and 2014</w:t>
              </w:r>
            </w:hyperlink>
          </w:p>
        </w:tc>
        <w:tc>
          <w:tcPr>
            <w:tcW w:w="6180" w:type="dxa"/>
            <w:vAlign w:val="bottom"/>
            <w:gridSpan w:val="6"/>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w w:val="93"/>
              </w:rPr>
              <w:t>FIN-3</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Income for the years ended December 31, 2015, 2014 and 2013</w:t>
              </w:r>
            </w:hyperlink>
          </w:p>
        </w:tc>
        <w:tc>
          <w:tcPr>
            <w:tcW w:w="4160" w:type="dxa"/>
            <w:vAlign w:val="bottom"/>
            <w:gridSpan w:val="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w w:val="93"/>
              </w:rPr>
              <w:t>FIN-4</w:t>
            </w:r>
          </w:p>
        </w:tc>
        <w:tc>
          <w:tcPr>
            <w:tcW w:w="0" w:type="dxa"/>
            <w:vAlign w:val="bottom"/>
          </w:tcPr>
          <w:p>
            <w:pPr>
              <w:spacing w:after="0"/>
              <w:rPr>
                <w:sz w:val="1"/>
                <w:szCs w:val="1"/>
                <w:color w:val="auto"/>
              </w:rPr>
            </w:pPr>
          </w:p>
        </w:tc>
      </w:tr>
      <w:tr>
        <w:trPr>
          <w:trHeight w:val="196"/>
        </w:trPr>
        <w:tc>
          <w:tcPr>
            <w:tcW w:w="10820" w:type="dxa"/>
            <w:vAlign w:val="bottom"/>
            <w:gridSpan w:val="1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Cash Flows for the years ended December 31, 2015, 2014 and 2013</w:t>
              </w:r>
            </w:hyperlink>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w w:val="93"/>
              </w:rPr>
              <w:t>FIN-5</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Consolidated Statements of Stockholders’ Equity for the years ended December 31, 2015, 2014 and 2013</w:t>
              </w:r>
            </w:hyperlink>
          </w:p>
        </w:tc>
        <w:tc>
          <w:tcPr>
            <w:tcW w:w="3220" w:type="dxa"/>
            <w:vAlign w:val="bottom"/>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w w:val="93"/>
              </w:rPr>
              <w:t>FIN-6</w:t>
            </w:r>
          </w:p>
        </w:tc>
        <w:tc>
          <w:tcPr>
            <w:tcW w:w="0" w:type="dxa"/>
            <w:vAlign w:val="bottom"/>
          </w:tcPr>
          <w:p>
            <w:pPr>
              <w:spacing w:after="0"/>
              <w:rPr>
                <w:sz w:val="1"/>
                <w:szCs w:val="1"/>
                <w:color w:val="auto"/>
              </w:rPr>
            </w:pPr>
          </w:p>
        </w:tc>
      </w:tr>
      <w:tr>
        <w:trPr>
          <w:trHeight w:val="196"/>
        </w:trPr>
        <w:tc>
          <w:tcPr>
            <w:tcW w:w="10820" w:type="dxa"/>
            <w:vAlign w:val="bottom"/>
            <w:gridSpan w:val="1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Notes to the Consolidated Financial Statements</w:t>
              </w:r>
            </w:hyperlink>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w w:val="93"/>
              </w:rPr>
              <w:t>FIN-7</w:t>
            </w:r>
          </w:p>
        </w:tc>
        <w:tc>
          <w:tcPr>
            <w:tcW w:w="0" w:type="dxa"/>
            <w:vAlign w:val="bottom"/>
          </w:tcPr>
          <w:p>
            <w:pPr>
              <w:spacing w:after="0"/>
              <w:rPr>
                <w:sz w:val="1"/>
                <w:szCs w:val="1"/>
                <w:color w:val="auto"/>
              </w:rPr>
            </w:pPr>
          </w:p>
        </w:tc>
      </w:tr>
      <w:tr>
        <w:trPr>
          <w:trHeight w:val="385"/>
        </w:trPr>
        <w:tc>
          <w:tcPr>
            <w:tcW w:w="780" w:type="dxa"/>
            <w:vAlign w:val="bottom"/>
            <w:tcBorders>
              <w:top w:val="single" w:sz="8" w:color="0000EE"/>
            </w:tcBorders>
          </w:tcPr>
          <w:p>
            <w:pPr>
              <w:spacing w:after="0"/>
              <w:rPr>
                <w:sz w:val="24"/>
                <w:szCs w:val="24"/>
                <w:color w:val="auto"/>
              </w:rPr>
            </w:pPr>
          </w:p>
        </w:tc>
        <w:tc>
          <w:tcPr>
            <w:tcW w:w="2640" w:type="dxa"/>
            <w:vAlign w:val="bottom"/>
            <w:tcBorders>
              <w:top w:val="single" w:sz="8" w:color="0000EE"/>
            </w:tcBorders>
          </w:tcPr>
          <w:p>
            <w:pPr>
              <w:spacing w:after="0"/>
              <w:rPr>
                <w:sz w:val="24"/>
                <w:szCs w:val="24"/>
                <w:color w:val="auto"/>
              </w:rPr>
            </w:pPr>
          </w:p>
        </w:tc>
        <w:tc>
          <w:tcPr>
            <w:tcW w:w="2660" w:type="dxa"/>
            <w:vAlign w:val="bottom"/>
            <w:gridSpan w:val="4"/>
          </w:tcPr>
          <w:p>
            <w:pPr>
              <w:jc w:val="right"/>
              <w:ind w:right="28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185"/>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080" w:type="dxa"/>
            <w:vAlign w:val="bottom"/>
          </w:tcPr>
          <w:p>
            <w:pPr>
              <w:spacing w:after="0"/>
              <w:rPr>
                <w:sz w:val="16"/>
                <w:szCs w:val="16"/>
                <w:color w:val="auto"/>
              </w:rPr>
            </w:pPr>
          </w:p>
        </w:tc>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77"/>
        </w:trPr>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9"/>
              </w:rPr>
              <w:t>Amended and Restated Articles of Incorporation of GSL Holdings, Inc. (incorporated by reference to Exhibit C to Exhibit 2.1 Marathon</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7"/>
              </w:rPr>
              <w:t>Amended and Restated By-laws of GSL Holdings, Inc. (incorporated by reference to Exhibit 3.2 of Global Ship Lease, Inc.’s Registration</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Statement on Form F-4 (File No. 333-150309) filed on April 18, 2008).</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2"/>
              </w:rPr>
              <w:t>Certificate of Designations of Global Ship Lease, Inc., filed with the Registrar or Deputy Registrar of Corporations of the Republic of the Marshall</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1"/>
              </w:rPr>
              <w:t>Islands and effective August 19, 2014 (incorporated by reference to Exhibit 3.1 of Global Ship Lease, Inc.’s Current Report on Form 6-K (File No.</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001-34153) filed on August 20, 2014).</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0"/>
              </w:rPr>
              <w:t>Specimen Class A common share certificate (incorporated by reference to Exhibit 4.2 of Global Ship Lease, Inc.’s Registration Statement on Form</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F-1 (File No. 333-153448) filed on September 12, 2008).</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0"/>
              </w:rPr>
              <w:t>Deposit Agreement, dated as of August 20, 2014, by and among Global Ship Lease, Inc., Computershare Inc. and Computershare Trust Company,</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4"/>
              </w:rPr>
              <w:t>N.A., as applicable, as depositary, registrar and transfer agent, and the holders from time to time of the depositary receipts described therein</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6"/>
              </w:rPr>
              <w:t>(incorporated by reference to Exhibit 4.1 of Global Ship Lease, Inc.’s Current Report on Form 6-K (File No. 001-34153) filed on August 20,</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3"/>
              </w:rPr>
              <w:t>Form of Registration Rights Agreement between GSL Holdings, Inc., Marathon Founders, LLC, Marathon Investors, LLC, the insiders listed on</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3"/>
              </w:rPr>
              <w:t>the signature page thereto and CMA CGM S.A. (incorporated by reference to Exhibit A-1 to Exhibit 2.1 of Marathon Acquisition Corp.’s Current</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Report on Form 8-K (File No. 001-32983) filed on July 24, 2008).</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2"/>
              </w:rPr>
              <w:t>First Amendment to Registration Rights Agreement, dated as of February 11,2013, among Global Ship Lease, Inc. (formerly GSL Holdings, Inc.)</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3"/>
              </w:rPr>
              <w:t>and CMA CGM S.A. (incorporated by reference to Exhibit I of Global Ship Lease, Inc.’s Current Report on Form 6-K (File No. 001-34153) filed</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on February 28, 2013).</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7"/>
              </w:rPr>
              <w:t>Form of Indemnification Agreement between Marathon Acquisition Corp. and each of its directors and executive officers (incorporated by</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3"/>
              </w:rPr>
              <w:t>reference to Exhibit 10.6 of Amendment No. 2 to Marathon Acquisition Corp.’s Registration Statement on Form S-1 (File No. 333-134078) filed</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on August 1, 2006).</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0"/>
              </w:rPr>
              <w:t>Indenture, dated as of March 19, 2014, among Global Ship Lease, Inc., the guarantors party thereto and Deutsche Bank Trust Company Americas,</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1"/>
              </w:rPr>
              <w:t>as trustee and as security agent (incorporated by reference to Exhibit 99.1 of Global Ship Lease, Inc.’s Current Report on Form 6-K (File No. 001-</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34153) filed on March 21, 2014).</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3"/>
              </w:rPr>
              <w:t>Form of Notes (included in Exhibit 4.8) (incorporated by reference to Exhibit 99.1 of Global Ship Lease, Inc.’s Current Report on Form 6-K (File</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No. 001-34153) filed on March 21, 2014).</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3"/>
              </w:rPr>
              <w:t>Supplemental Indenture For Additional Guarantor, dated as of December 23, 2014, among Global Ship Lease, Inc., the other guarantors party</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2"/>
              </w:rPr>
              <w:t>thereto and Deutsche Bank Trust Company Americas, as trustee and as security agent (incorporated by reference to Exhibit 4.10 of Global Ship</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Lease, Inc.’s Annual Report on Form 20-F (File No. 333-34153) filed April 21, 2015).</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4"/>
              </w:rPr>
              <w:t>Supplemental Indenture For Additional Guarantor, dated as of February 23, 2015, among Global Ship Lease, Inc., the other guarantors party</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2"/>
              </w:rPr>
              <w:t>thereto and Deutsche Bank Trust Company Americas, as trustee and as security agent (incorporated by reference to Exhibit 4.11 of Global Ship</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Lease, Inc.’s Annual Report on Form 20-F (File No. 333-34153) filed April 21, 2015).</w:t>
            </w:r>
          </w:p>
        </w:tc>
      </w:tr>
      <w:tr>
        <w:trPr>
          <w:trHeight w:val="310"/>
        </w:trPr>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1"/>
              </w:rPr>
              <w:t>Credit Agreement, dated as of March 19, 2014, among Global Ship Lease, Inc., Global Ship Lease Services Limited, the guarantors party thereto,</w:t>
            </w:r>
          </w:p>
        </w:tc>
      </w:tr>
      <w:tr>
        <w:trPr>
          <w:trHeight w:val="216"/>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w w:val="91"/>
              </w:rPr>
              <w:t>Citibank N.A., London Branch, Citibank International plc and Deutsche Bank Trust Company Americas (incorporated by reference to Exhibit 99.3</w:t>
            </w:r>
          </w:p>
        </w:tc>
      </w:tr>
      <w:tr>
        <w:trPr>
          <w:trHeight w:val="230"/>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of Global Ship Lease, Inc.’s Current Report on Form 6-K (File No. 001-34153) filed on March 21, 2014).</w:t>
            </w:r>
          </w:p>
        </w:tc>
      </w:tr>
      <w:tr>
        <w:trPr>
          <w:trHeight w:val="365"/>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0" w:type="dxa"/>
            <w:vAlign w:val="bottom"/>
            <w:gridSpan w:val="2"/>
          </w:tcPr>
          <w:p>
            <w:pPr>
              <w:ind w:left="4960"/>
              <w:spacing w:after="0"/>
              <w:rPr>
                <w:sz w:val="20"/>
                <w:szCs w:val="20"/>
                <w:color w:val="auto"/>
              </w:rPr>
            </w:pPr>
            <w:r>
              <w:rPr>
                <w:rFonts w:ascii="Arial" w:cs="Arial" w:eastAsia="Arial" w:hAnsi="Arial"/>
                <w:sz w:val="18"/>
                <w:szCs w:val="18"/>
                <w:color w:val="auto"/>
              </w:rPr>
              <w:t>85</w:t>
            </w:r>
          </w:p>
        </w:tc>
        <w:tc>
          <w:tcPr>
            <w:tcW w:w="49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5"/>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820" w:type="dxa"/>
            <w:vAlign w:val="bottom"/>
            <w:gridSpan w:val="3"/>
          </w:tcPr>
          <w:p>
            <w:pPr>
              <w:ind w:left="51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77"/>
        </w:trPr>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3"/>
              </w:rPr>
              <w:t>Intercreditor Agreement, dated as of March 19, 2014, among Global Ship Lease, Inc., the parties listed on Part A of Schedule 5 thereto, Citibank</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2"/>
              </w:rPr>
              <w:t>N.A., London Branch, Deutsche Bank Trust Company Americas and the other parties from time to time party thereto (incorporated by reference to</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Exhibit 99.4 of Global Ship Lease, Inc.’s Current Report on Form 6-K (File No. 001-34153) filed on March 21, 2014).</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0"/>
              </w:rPr>
              <w:t>Form of Guarantee made by Global Ship Lease, Inc. in favor of the charterer listed on Schedule I thereto (incorporated by reference to Exhibit 10.10</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r>
      <w:tr>
        <w:trPr>
          <w:trHeight w:val="310"/>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3"/>
              </w:rPr>
              <w:t>Form of Guarantee made by CMA CGM S.A. for Global Ship Lease, Inc. (incorporated by reference to Exhibit 10.11 of Global Ship Lease, Inc.’s</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Registration Statement on Form F-1 (File No. 333-147070) filed on November 1, 2007).</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0"/>
              </w:rPr>
              <w:t>US$35,000,000 Facility Agreement dated 29 July 2015 among Global Ship Lease 20 Limited as borrower, guaranteed by Global Ship Lease, Inc. as</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2"/>
              </w:rPr>
              <w:t>guarantor, arranged by DVB Bank SE as mandated lead arranger with DVB Bank SE acting as facility agent and DVB Bank SE acting as security</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3"/>
              </w:rPr>
              <w:t>agent (incorporated by reference to Exhibit III to Global Ship Lease, Inc.’s Report on Form 6-K (File No. 001-34153) filed on November 4, 2015).</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4.13</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2"/>
              </w:rPr>
              <w:t>Form of Charter Agreement entered into by a subsidiary of Global Ship Lease, Inc. and CMA CGM S.A. or one of its subsidiaries (incorporated by</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7"/>
              </w:rPr>
              <w:t>reference to Exhibit A-3 to Exhibit 2.1 of Marathon Acquisition Corp.’s Current Report on Form 8-K (File No. 001-32983) filed on March 25,</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4.14</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1"/>
              </w:rPr>
              <w:t>Form of Ship Management Agreement entered into by CMA Ships and a Subsidiary of Global Ship Lease, Inc. (incorporated by reference to Exhibit</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A-4 to Exhibit 2.1 of Marathon Acquisition Corp.’s Current Report on Form 8-K (File No. 001-32983) filed on March 25, 2008).</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4.15</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4"/>
              </w:rPr>
              <w:t>Form of Guarantee made by Global Ship Lease, Inc. for CMA CGM S.A. and CMA Ships (incorporated by reference to Exhibit 10.14 of Global</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Ship Lease, Inc.’s Registration Statement on Form F-1 (File No. 333-147070) filed on November 1, 2007).</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2"/>
              </w:rPr>
              <w:t>Form of Guarantee made by CMA CGM S.A. in favor of Global Ship Lease, Inc. and its Subsidiaries (incorporated by reference to Exhibit 10.15 of</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3"/>
              </w:rPr>
              <w:t>Form of Global Expense Agreement between CMA Ship Management and Global Ship Lease, Inc. (incorporated by reference to Exhibit 10.16 of</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4.18</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1"/>
              </w:rPr>
              <w:t>Form of Indemnification Agreement entered into between Global Ship Lease, Inc. and each of its directors and officers (incorporated by reference to</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Exhibit 10.17 of Global Ship Lease, Inc.’s Registration Statement on Form F-1 (File No. 333-147070) filed on November 1, 2007).</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3"/>
              </w:rPr>
              <w:t>2008 Equity Incentive Plan (incorporated by reference to Exhibit 10.22 of Global Ship Lease, Inc’s Registration Statement on Form F-1 (File No.</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333-153448) filed on September 12, 2008)</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1"/>
              </w:rPr>
              <w:t>Global Ship Lease, Inc. 2015 Equity Incentive Plan (incorporated by reference to Appendix A to Global Ship Lease, Inc.’s Report on Form 6-K (File</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No. 001-34153) filed on July 31, 2015).</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4"/>
              </w:rPr>
              <w:t>Form of Employment Agreement of Ian J. Webber (incorporated by reference to Exhibit 10.23 of Amendment No. 3 to Global Ship Lease, Inc.’s</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3"/>
              </w:rPr>
              <w:t>Form of Employment Agreement of Susan J. Cook (incorporated by reference to Exhibit 10.24 of Amendment No. 3 to Global Ship Lease, Inc.’s</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4.23</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2"/>
              </w:rPr>
              <w:t>Form of Employment Agreement of Thomas A. Lister (incorporated by reference to Exhibit 10.25 of Amendment No. 3 to Global Ship Lease, Inc.’s</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24"/>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List of Subsidiaries of Global Ship Lease, Inc.</w:t>
            </w:r>
          </w:p>
        </w:tc>
      </w:tr>
      <w:tr>
        <w:trPr>
          <w:trHeight w:val="324"/>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12.1*</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r>
      <w:tr>
        <w:trPr>
          <w:trHeight w:val="324"/>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12.2*</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13.1*</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1"/>
              </w:rPr>
              <w:t>Global Ship Lease, Inc. Certification of Ian J. Webber, Chief Executive Officer, pursuant to 18 U.S.C. Section 1350, as adopted pursuant to Section</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906 of the Sarbanes-Oxley Act of 2002.</w:t>
            </w:r>
          </w:p>
        </w:tc>
      </w:tr>
      <w:tr>
        <w:trPr>
          <w:trHeight w:val="310"/>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13.2*</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w w:val="91"/>
              </w:rPr>
              <w:t>Global Ship Lease, Inc. Certification of Susan J. Cook, Chief Financial Officer, pursuant to 18 U.S.C. Section 1350, as adopted pursuant to Section</w:t>
            </w:r>
          </w:p>
        </w:tc>
      </w:tr>
      <w:tr>
        <w:trPr>
          <w:trHeight w:val="23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906 of the Sarbanes-Oxley Act of 2002.</w:t>
            </w:r>
          </w:p>
        </w:tc>
      </w:tr>
      <w:tr>
        <w:trPr>
          <w:trHeight w:val="324"/>
        </w:trPr>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15.1*</w:t>
            </w:r>
          </w:p>
        </w:tc>
        <w:tc>
          <w:tcPr>
            <w:tcW w:w="10820" w:type="dxa"/>
            <w:vAlign w:val="bottom"/>
            <w:gridSpan w:val="3"/>
          </w:tcPr>
          <w:p>
            <w:pPr>
              <w:ind w:left="100"/>
              <w:spacing w:after="0"/>
              <w:rPr>
                <w:sz w:val="20"/>
                <w:szCs w:val="20"/>
                <w:color w:val="auto"/>
              </w:rPr>
            </w:pPr>
            <w:r>
              <w:rPr>
                <w:rFonts w:ascii="Arial" w:cs="Arial" w:eastAsia="Arial" w:hAnsi="Arial"/>
                <w:sz w:val="18"/>
                <w:szCs w:val="18"/>
                <w:color w:val="auto"/>
              </w:rPr>
              <w:t>Consent of PricewaterhouseCoopers Audit.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ind w:left="686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J. WEBBER</w:t>
      </w:r>
    </w:p>
    <w:p>
      <w:pPr>
        <w:spacing w:after="0" w:line="3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SHIPPING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references to the following terms have the following meaning as used in this Annual Report: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seawater, taken on a ship to increase draught, to change trim, or to improve stability or a voyage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a ship is not laden with cargo.</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Bareboat charter. </w:t>
      </w:r>
      <w:r>
        <w:rPr>
          <w:rFonts w:ascii="Arial" w:cs="Arial" w:eastAsia="Arial" w:hAnsi="Arial"/>
          <w:sz w:val="17"/>
          <w:szCs w:val="17"/>
          <w:color w:val="auto"/>
        </w:rPr>
        <w:t>A charter of a ship under which the ship-owner is usually paid a fixed amount of charterhire for a certain period of time during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charterer is responsible for all ship operating expenses, including expenses for crewing, lubricating oil, insurance, maintenance and drydockings, and for all voyage expenses such as bunker fuel. A bareboat charter is also known as a “demise charter” or a “time charter by demise.”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Capacity. </w:t>
      </w:r>
      <w:r>
        <w:rPr>
          <w:rFonts w:ascii="Arial" w:cs="Arial" w:eastAsia="Arial" w:hAnsi="Arial"/>
          <w:sz w:val="18"/>
          <w:szCs w:val="18"/>
          <w:color w:val="auto"/>
        </w:rPr>
        <w:t>The nominal carrying capacity of the ship, measured in TEU.</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Charterer. </w:t>
      </w:r>
      <w:r>
        <w:rPr>
          <w:rFonts w:ascii="Arial" w:cs="Arial" w:eastAsia="Arial" w:hAnsi="Arial"/>
          <w:sz w:val="18"/>
          <w:szCs w:val="18"/>
          <w:color w:val="auto"/>
        </w:rPr>
        <w:t>The party that hires a ship for a period of time or for a voyage.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Charterhire. </w:t>
      </w:r>
      <w:r>
        <w:rPr>
          <w:rFonts w:ascii="Arial" w:cs="Arial" w:eastAsia="Arial" w:hAnsi="Arial"/>
          <w:sz w:val="18"/>
          <w:szCs w:val="18"/>
          <w:color w:val="auto"/>
        </w:rPr>
        <w:t>A sum of money paid to the ship-owner by a charterer for the use of a ship.</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 or lessor.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 a time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or bareboat charter basis.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ship and complies with the applicable rules and regulations of the country of the ship’s registry and the international conventions of which that country is a member. A ship that receives its certification is referred to as being “in-class.”</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w:t>
      </w:r>
      <w:r>
        <w:rPr>
          <w:rFonts w:ascii="Arial" w:cs="Arial" w:eastAsia="Arial" w:hAnsi="Arial"/>
          <w:sz w:val="18"/>
          <w:szCs w:val="18"/>
          <w:i w:val="1"/>
          <w:iCs w:val="1"/>
          <w:color w:val="auto"/>
        </w:rPr>
        <w:t xml:space="preserve"> </w:t>
      </w:r>
      <w:r>
        <w:rPr>
          <w:rFonts w:ascii="Arial" w:cs="Arial" w:eastAsia="Arial" w:hAnsi="Arial"/>
          <w:sz w:val="18"/>
          <w:szCs w:val="18"/>
          <w:color w:val="auto"/>
        </w:rPr>
        <w:t>known as a carrier, liner company or an operator.</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i w:val="1"/>
          <w:iCs w:val="1"/>
          <w:color w:val="auto"/>
        </w:rPr>
        <w:t xml:space="preserve">Drydocking. </w:t>
      </w:r>
      <w:r>
        <w:rPr>
          <w:rFonts w:ascii="Arial" w:cs="Arial" w:eastAsia="Arial" w:hAnsi="Arial"/>
          <w:sz w:val="16"/>
          <w:szCs w:val="16"/>
          <w:color w:val="auto"/>
        </w:rPr>
        <w:t>Placing the ship in a drydock in order to check and repair areas and parts below the water line. During drydockings, which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Freight rate</w:t>
      </w:r>
      <w:r>
        <w:rPr>
          <w:rFonts w:ascii="Arial" w:cs="Arial" w:eastAsia="Arial" w:hAnsi="Arial"/>
          <w:sz w:val="17"/>
          <w:szCs w:val="17"/>
          <w:color w:val="auto"/>
        </w:rPr>
        <w:t>. The amount charged by container shipping companies for transporting cargo, normally as a rate per 20-foot or 40-foot container.</w:t>
      </w:r>
    </w:p>
    <w:p>
      <w:pPr>
        <w:spacing w:after="0" w:line="237"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i w:val="1"/>
          <w:iCs w:val="1"/>
          <w:color w:val="auto"/>
        </w:rPr>
        <w:t>Geared containerships</w:t>
      </w:r>
      <w:r>
        <w:rPr>
          <w:rFonts w:ascii="Arial" w:cs="Arial" w:eastAsia="Arial" w:hAnsi="Arial"/>
          <w:sz w:val="18"/>
          <w:szCs w:val="18"/>
          <w:color w:val="auto"/>
        </w:rPr>
        <w:t>. Self-sustained containerships, which are able to load and discharge containers with their own on-board cranes and derricks.</w:t>
      </w:r>
      <w:r>
        <w:rPr>
          <w:rFonts w:ascii="Arial" w:cs="Arial" w:eastAsia="Arial" w:hAnsi="Arial"/>
          <w:sz w:val="18"/>
          <w:szCs w:val="18"/>
          <w:i w:val="1"/>
          <w:iCs w:val="1"/>
          <w:color w:val="auto"/>
        </w:rPr>
        <w:t xml:space="preserve"> </w:t>
      </w: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Headhaul. </w:t>
      </w:r>
      <w:r>
        <w:rPr>
          <w:rFonts w:ascii="Arial" w:cs="Arial" w:eastAsia="Arial" w:hAnsi="Arial"/>
          <w:sz w:val="18"/>
          <w:szCs w:val="18"/>
          <w:color w:val="auto"/>
        </w:rPr>
        <w:t>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Liner company or liner</w:t>
      </w:r>
      <w:r>
        <w:rPr>
          <w:rFonts w:ascii="Arial" w:cs="Arial" w:eastAsia="Arial" w:hAnsi="Arial"/>
          <w:sz w:val="18"/>
          <w:szCs w:val="18"/>
          <w:color w:val="auto"/>
        </w:rPr>
        <w:t>. A container shipping company (also referred to as lines or operators).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KG</w:t>
      </w:r>
      <w:r>
        <w:rPr>
          <w:rFonts w:ascii="Arial" w:cs="Arial" w:eastAsia="Arial" w:hAnsi="Arial"/>
          <w:sz w:val="18"/>
          <w:szCs w:val="18"/>
          <w:color w:val="auto"/>
        </w:rPr>
        <w:t>. Kommanditgesellschaft, a closed end fund construct broadly analogous to a limited partnership. It has been employed as an investment vehicle for</w:t>
      </w:r>
      <w:r>
        <w:rPr>
          <w:rFonts w:ascii="Arial" w:cs="Arial" w:eastAsia="Arial" w:hAnsi="Arial"/>
          <w:sz w:val="18"/>
          <w:szCs w:val="18"/>
          <w:i w:val="1"/>
          <w:iCs w:val="1"/>
          <w:color w:val="auto"/>
        </w:rPr>
        <w:t xml:space="preserve"> </w:t>
      </w:r>
      <w:r>
        <w:rPr>
          <w:rFonts w:ascii="Arial" w:cs="Arial" w:eastAsia="Arial" w:hAnsi="Arial"/>
          <w:sz w:val="18"/>
          <w:szCs w:val="18"/>
          <w:color w:val="auto"/>
        </w:rPr>
        <w:t>high net worth individuals (primarily German) in various types of assets, including shipping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Intermediate survey</w:t>
      </w:r>
      <w:r>
        <w:rPr>
          <w:rFonts w:ascii="Arial" w:cs="Arial" w:eastAsia="Arial" w:hAnsi="Arial"/>
          <w:sz w:val="17"/>
          <w:szCs w:val="17"/>
          <w:color w:val="auto"/>
        </w:rPr>
        <w:t>. The inspection of a ship by a classification society surveyor that takes place 24 to 36 months after each special survey.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Newbuilding. </w:t>
      </w:r>
      <w:r>
        <w:rPr>
          <w:rFonts w:ascii="Arial" w:cs="Arial" w:eastAsia="Arial" w:hAnsi="Arial"/>
          <w:sz w:val="18"/>
          <w:szCs w:val="18"/>
          <w:color w:val="auto"/>
        </w:rPr>
        <w:t>A ship on order, under construction or just delivered.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Off-hire. </w:t>
      </w:r>
      <w:r>
        <w:rPr>
          <w:rFonts w:ascii="Arial" w:cs="Arial" w:eastAsia="Arial" w:hAnsi="Arial"/>
          <w:sz w:val="16"/>
          <w:szCs w:val="16"/>
          <w:color w:val="auto"/>
        </w:rPr>
        <w:t>The period in which a ship is not available for service under a charter and, accordingly, the charterer generally is not required to pay the hire.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Off-hire periods can include days spent on repairs, drydocking and surveys, whether or not scheduled.</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Orderbook-to-fleet ratio</w:t>
      </w:r>
      <w:r>
        <w:rPr>
          <w:rFonts w:ascii="Arial" w:cs="Arial" w:eastAsia="Arial" w:hAnsi="Arial"/>
          <w:sz w:val="18"/>
          <w:szCs w:val="18"/>
          <w:color w:val="auto"/>
        </w:rPr>
        <w:t>. The ratio of the orderbook for new vessels yet to be delivered to the existing on-the-water fleet determined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TEU capacity and expressed as a percentage.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government, flag state, class certification and international rules and regulations.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w:t>
      </w:r>
      <w:r>
        <w:rPr>
          <w:rFonts w:ascii="Arial" w:cs="Arial" w:eastAsia="Arial" w:hAnsi="Arial"/>
          <w:sz w:val="18"/>
          <w:szCs w:val="18"/>
          <w:i w:val="1"/>
          <w:iCs w:val="1"/>
          <w:color w:val="auto"/>
        </w:rPr>
        <w:t xml:space="preserve"> </w:t>
      </w:r>
      <w:r>
        <w:rPr>
          <w:rFonts w:ascii="Arial" w:cs="Arial" w:eastAsia="Arial" w:hAnsi="Arial"/>
          <w:sz w:val="18"/>
          <w:szCs w:val="18"/>
          <w:color w:val="auto"/>
        </w:rPr>
        <w:t>a classification society.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vessel operating expenses while the charterer is responsible for paying the voyage expenses such as fuel and additional voyage insurance. The ship-owner is paid charterhire, which accrues on a daily basis.</w:t>
      </w:r>
    </w:p>
    <w:p>
      <w:pPr>
        <w:spacing w:after="0" w:line="181"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i w:val="1"/>
          <w:iCs w:val="1"/>
          <w:color w:val="auto"/>
        </w:rPr>
        <w:t>Vessel operating expenses</w:t>
      </w:r>
      <w:r>
        <w:rPr>
          <w:rFonts w:ascii="Arial" w:cs="Arial" w:eastAsia="Arial" w:hAnsi="Arial"/>
          <w:sz w:val="17"/>
          <w:szCs w:val="17"/>
          <w:color w:val="auto"/>
        </w:rPr>
        <w:t>. The costs of operating a ship, primarily consisting of crew wages and associated costs, insurance premiums, ship</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 stevedoring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agents’ fees, canal dues, extra war risk insurance and commissions.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DECEMBER 31, 2015</w:t>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jc w:val="right"/>
              <w:ind w:right="193"/>
              <w:spacing w:after="0"/>
              <w:rPr>
                <w:sz w:val="20"/>
                <w:szCs w:val="20"/>
                <w:color w:val="auto"/>
              </w:rPr>
            </w:pPr>
            <w:r>
              <w:rPr>
                <w:rFonts w:ascii="Arial" w:cs="Arial" w:eastAsia="Arial" w:hAnsi="Arial"/>
                <w:sz w:val="14"/>
                <w:szCs w:val="14"/>
                <w:color w:val="auto"/>
              </w:rPr>
              <w:t>Page</w:t>
            </w:r>
          </w:p>
        </w:tc>
      </w:tr>
      <w:tr>
        <w:trPr>
          <w:trHeight w:val="190"/>
        </w:trPr>
        <w:tc>
          <w:tcPr>
            <w:tcW w:w="9460" w:type="dxa"/>
            <w:vAlign w:val="bottom"/>
            <w:gridSpan w:val="7"/>
          </w:tcPr>
          <w:p>
            <w:pPr>
              <w:spacing w:after="0" w:line="190" w:lineRule="exact"/>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1860" w:type="dxa"/>
            <w:vAlign w:val="bottom"/>
          </w:tcPr>
          <w:p>
            <w:pPr>
              <w:jc w:val="right"/>
              <w:spacing w:after="0" w:line="190" w:lineRule="exact"/>
              <w:rPr>
                <w:sz w:val="20"/>
                <w:szCs w:val="20"/>
                <w:color w:val="auto"/>
              </w:rPr>
            </w:pPr>
            <w:r>
              <w:rPr>
                <w:rFonts w:ascii="Arial" w:cs="Arial" w:eastAsia="Arial" w:hAnsi="Arial"/>
                <w:sz w:val="18"/>
                <w:szCs w:val="18"/>
                <w:color w:val="auto"/>
              </w:rPr>
              <w:t>FIN-2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46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 as at December 31, 2015 and 2014</w:t>
              </w:r>
            </w:hyperlink>
          </w:p>
        </w:tc>
        <w:tc>
          <w:tcPr>
            <w:tcW w:w="4820" w:type="dxa"/>
            <w:vAlign w:val="bottom"/>
            <w:gridSpan w:val="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FIN-3</w:t>
            </w:r>
          </w:p>
        </w:tc>
      </w:tr>
      <w:tr>
        <w:trPr>
          <w:trHeight w:val="304"/>
        </w:trPr>
        <w:tc>
          <w:tcPr>
            <w:tcW w:w="66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Income for the years ended December 31, 2015, 2014 and 2013</w:t>
              </w:r>
            </w:hyperlink>
          </w:p>
        </w:tc>
        <w:tc>
          <w:tcPr>
            <w:tcW w:w="284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FIN-4</w:t>
            </w:r>
          </w:p>
        </w:tc>
      </w:tr>
      <w:tr>
        <w:trPr>
          <w:trHeight w:val="304"/>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Consolidated Statements of Cash Flows for the years ended December 31, 2015, 2014 and 2013</w:t>
              </w:r>
            </w:hyperlink>
          </w:p>
        </w:tc>
        <w:tc>
          <w:tcPr>
            <w:tcW w:w="254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FIN-5</w:t>
            </w:r>
          </w:p>
        </w:tc>
      </w:tr>
      <w:tr>
        <w:trPr>
          <w:trHeight w:val="304"/>
        </w:trPr>
        <w:tc>
          <w:tcPr>
            <w:tcW w:w="8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Consolidated Statement of Changes in Stockholders’ Equity for the years ended December 31, 2015, 2014 and 2013</w:t>
              </w:r>
            </w:hyperlink>
          </w:p>
        </w:tc>
        <w:tc>
          <w:tcPr>
            <w:tcW w:w="10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FIN-6</w:t>
            </w:r>
          </w:p>
        </w:tc>
      </w:tr>
      <w:tr>
        <w:trPr>
          <w:trHeight w:val="304"/>
        </w:trPr>
        <w:tc>
          <w:tcPr>
            <w:tcW w:w="946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Notes to Consolidated Financial Statements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FIN-7 - 24</w:t>
            </w:r>
          </w:p>
        </w:tc>
      </w:tr>
      <w:tr>
        <w:trPr>
          <w:trHeight w:val="3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20" w:type="dxa"/>
            <w:vAlign w:val="bottom"/>
            <w:gridSpan w:val="4"/>
          </w:tcPr>
          <w:p>
            <w:pPr>
              <w:ind w:left="860"/>
              <w:spacing w:after="0"/>
              <w:rPr>
                <w:sz w:val="20"/>
                <w:szCs w:val="20"/>
                <w:color w:val="auto"/>
              </w:rPr>
            </w:pPr>
            <w:r>
              <w:rPr>
                <w:rFonts w:ascii="Arial" w:cs="Arial" w:eastAsia="Arial" w:hAnsi="Arial"/>
                <w:sz w:val="18"/>
                <w:szCs w:val="18"/>
                <w:color w:val="auto"/>
              </w:rPr>
              <w:t>FIN-1</w:t>
            </w:r>
          </w:p>
        </w:tc>
        <w:tc>
          <w:tcPr>
            <w:tcW w:w="18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Global Ship Lease, Inc.</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changes in stockholders’ equity and cash flows present fairly, in all material respects, the financial position of Global Ship Lease, Inc. and its subsidiaries (“the Company”)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Internal Control - 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section entitled “Management’s Annual Report on Internal Control Over Financial Reporting” under Item 15 of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2 (b) to the consolidated financial statements, the Company has entered into significant contracts with CMA CGM, a related party and the main source of the Company’s operating revenue and consequently the Company is highly dependent on the performance by CMA CGM of its obligations under those contracts which will in turn depend partly on CMA CGM’s financial situation.</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FIN-2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53,591</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color w:val="auto"/>
              </w:rPr>
              <w:t>Vessels in operation (note 4)</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846,939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836,537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Intangible assets (note 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assets (note 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847,289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837,017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904,920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Current portion of long-term debt (note 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35,160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w:t>
            </w: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color w:val="auto"/>
              </w:rPr>
              <w:t>Long-term debt (note 7)</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442,913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401,869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435,578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 authorized 214,000,000 shares with a $0.01 par value; 47,541,484 shares issued and outstanding</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 47,541,484) (note 11)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line="201" w:lineRule="exact"/>
              <w:rPr>
                <w:sz w:val="20"/>
                <w:szCs w:val="20"/>
                <w:color w:val="auto"/>
              </w:rPr>
            </w:pPr>
            <w:r>
              <w:rPr>
                <w:rFonts w:ascii="Arial" w:cs="Arial" w:eastAsia="Arial" w:hAnsi="Arial"/>
                <w:sz w:val="18"/>
                <w:szCs w:val="18"/>
                <w:color w:val="auto"/>
                <w:w w:val="93"/>
              </w:rPr>
              <w:t>Class B Common stock – authorized 20,000,000 shares with a $0.01 par value; 7,405,956 shares issued and outstanding</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(2014 – 7,405,956) (note 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B Preferred shares – authorized 16,100 shares with a $0.01 par value; 14,000 shares issued and outstanding (2014 –</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14,000) (note 11)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386,425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51,237</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904,920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873,714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Time charter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164,919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138,615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143,212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50,104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48,770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Impairment of vessels (note 4)</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44,700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operating income (note 8)</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19,253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42,274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51,160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Gain on redemption of Series A Preferred Shares (note 11)</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Unrealized gain on interest rate derivatives (note 12)</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32,615</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Earnings allocated to Series B Preferred Shares (note 11)</w:t>
            </w:r>
          </w:p>
        </w:tc>
        <w:tc>
          <w:tcPr>
            <w:tcW w:w="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 (note 15)</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47,785,388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47,710,313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47,607,750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(note 15)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47,785,388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47,823,736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47,767,266</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Net (loss) income per Class A share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 (note 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Diluted (note 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Basic and diluted (note 15)</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B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Basic and diluted (note 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Year ended</w:t>
            </w:r>
          </w:p>
        </w:tc>
        <w:tc>
          <w:tcPr>
            <w:tcW w:w="22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Year ended</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(28,875)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Income to Net Cash Provided by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44,859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41,059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(note 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Gain on sale of vessels (note 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 (note 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original issue discount (note 7)</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 (note 12)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 (note 12)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Share based compensation (note 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 (note 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decrease in accounts receivable and other assets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9,458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inventory</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7,225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in unearned revenue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60,903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74,344</w:t>
            </w:r>
          </w:p>
        </w:tc>
        <w:tc>
          <w:tcPr>
            <w:tcW w:w="0" w:type="dxa"/>
            <w:vAlign w:val="bottom"/>
          </w:tcPr>
          <w:p>
            <w:pPr>
              <w:spacing w:after="0"/>
              <w:rPr>
                <w:sz w:val="1"/>
                <w:szCs w:val="1"/>
                <w:color w:val="auto"/>
              </w:rPr>
            </w:pPr>
          </w:p>
        </w:tc>
      </w:tr>
      <w:tr>
        <w:trPr>
          <w:trHeight w:val="33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vessels (note 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(108,187)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proceeds from sale of vessels (note 4)</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9,513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Settlements and termination of derivative instruments which do not qualify for hedge accounting</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(22,146)</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paid for other assets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intangible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(101,225)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(16,643)</w:t>
            </w:r>
          </w:p>
        </w:tc>
        <w:tc>
          <w:tcPr>
            <w:tcW w:w="0" w:type="dxa"/>
            <w:vAlign w:val="bottom"/>
          </w:tcPr>
          <w:p>
            <w:pPr>
              <w:spacing w:after="0"/>
              <w:rPr>
                <w:sz w:val="1"/>
                <w:szCs w:val="1"/>
                <w:color w:val="auto"/>
              </w:rPr>
            </w:pPr>
          </w:p>
        </w:tc>
      </w:tr>
      <w:tr>
        <w:trPr>
          <w:trHeight w:val="33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previous credit facility (note 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(366,366)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secured notes (note 7)</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413,700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secured notes (note 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drawdown of credit facilities (note 7)</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facilities (note 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 incurred (note 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(15,779)</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Series B Preferred Shares (note 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33,892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Variation in restricted cash (note 11)</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A Preferred Shares (note 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(36,400)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Class A Common Shares – dividends paid (note 11)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 dividends paid (note 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27,936</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32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33,295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24,536</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33,295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43,103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26,298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18,782</w:t>
            </w:r>
          </w:p>
        </w:tc>
        <w:tc>
          <w:tcPr>
            <w:tcW w:w="0" w:type="dxa"/>
            <w:vAlign w:val="bottom"/>
          </w:tcPr>
          <w:p>
            <w:pPr>
              <w:spacing w:after="0"/>
              <w:rPr>
                <w:sz w:val="1"/>
                <w:szCs w:val="1"/>
                <w:color w:val="auto"/>
              </w:rPr>
            </w:pPr>
          </w:p>
        </w:tc>
      </w:tr>
      <w:tr>
        <w:trPr>
          <w:trHeight w:val="338"/>
        </w:trPr>
        <w:tc>
          <w:tcPr>
            <w:tcW w:w="7780" w:type="dxa"/>
            <w:vAlign w:val="bottom"/>
            <w:gridSpan w:val="2"/>
          </w:tcPr>
          <w:p>
            <w:pPr>
              <w:spacing w:after="0"/>
              <w:rPr>
                <w:sz w:val="20"/>
                <w:szCs w:val="20"/>
                <w:color w:val="auto"/>
              </w:rPr>
            </w:pPr>
            <w:r>
              <w:rPr>
                <w:rFonts w:ascii="Arial" w:cs="Arial" w:eastAsia="Arial" w:hAnsi="Arial"/>
                <w:sz w:val="18"/>
                <w:szCs w:val="18"/>
                <w:color w:val="auto"/>
              </w:rPr>
              <w:t>Total income tax paid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Number of</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Series 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Common</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Preferred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6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4"/>
              </w:rPr>
              <w:t>Stock at</w:t>
            </w:r>
          </w:p>
        </w:tc>
        <w:tc>
          <w:tcPr>
            <w:tcW w:w="78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w w:val="86"/>
              </w:rPr>
              <w:t>Shares at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4"/>
              </w:rPr>
              <w:t>Series B</w:t>
            </w:r>
          </w:p>
        </w:tc>
        <w:tc>
          <w:tcPr>
            <w:tcW w:w="280" w:type="dxa"/>
            <w:vAlign w:val="bottom"/>
          </w:tcPr>
          <w:p>
            <w:pPr>
              <w:spacing w:after="0"/>
              <w:rPr>
                <w:sz w:val="13"/>
                <w:szCs w:val="13"/>
                <w:color w:val="auto"/>
              </w:rPr>
            </w:pPr>
          </w:p>
        </w:tc>
        <w:tc>
          <w:tcPr>
            <w:tcW w:w="86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w w:val="89"/>
              </w:rPr>
              <w:t>Preferred</w:t>
            </w:r>
          </w:p>
        </w:tc>
        <w:tc>
          <w:tcPr>
            <w:tcW w:w="28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Par value</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Par 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6"/>
                <w:szCs w:val="16"/>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6"/>
                <w:szCs w:val="16"/>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54,887,820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$352,316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13,723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366,588</w:t>
            </w: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Restricted Stock Units (note 13)</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70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11, 13)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32,070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54,919,890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$352,676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46,241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399,466</w:t>
            </w: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Restricted Stock Units (note 13)</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70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11, 13)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Series B Preferred Shares issued (note 13)</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issue expenses (note 11)</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dividend (note 11)</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54,947,440</w:t>
            </w:r>
          </w:p>
        </w:tc>
        <w:tc>
          <w:tcPr>
            <w:tcW w:w="280" w:type="dxa"/>
            <w:vAlign w:val="bottom"/>
          </w:tcPr>
          <w:p>
            <w:pPr>
              <w:spacing w:after="0"/>
              <w:rPr>
                <w:sz w:val="19"/>
                <w:szCs w:val="19"/>
                <w:color w:val="auto"/>
              </w:rPr>
            </w:pPr>
          </w:p>
        </w:tc>
        <w:tc>
          <w:tcPr>
            <w:tcW w:w="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7"/>
              </w:rPr>
              <w:t>14,000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549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$386,350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51,237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438,136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13)</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Dividends on Class A Common Shares (note 11)</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Series B Preferred Shares dividend (note 11)</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54,947,440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14,000</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386,425</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396,766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60" w:right="80"/>
        <w:spacing w:after="0" w:line="276" w:lineRule="auto"/>
        <w:rPr>
          <w:sz w:val="20"/>
          <w:szCs w:val="20"/>
          <w:color w:val="auto"/>
        </w:rPr>
      </w:pPr>
      <w:r>
        <w:rPr>
          <w:rFonts w:ascii="Arial" w:cs="Arial" w:eastAsia="Arial" w:hAnsi="Arial"/>
          <w:sz w:val="17"/>
          <w:szCs w:val="17"/>
          <w:color w:val="auto"/>
        </w:rPr>
        <w:t>On August 14, 2008, Global Ship Lease, Inc. (the “Company”) merged indirectly with Marathon Acquisition Corp. (“Marathon”), a company then listed on The American Stock Exchange. Under the merger agreement, Marathon, a U.S. corporation, first merged with its wholly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3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color w:val="auto"/>
        </w:rPr>
        <w:t>The Global Ship Lease group owns and charters out containerships. As of December 31, 2015, the group owned 18 vessels; 15 were time chartered to CMA CGM and three to Orient Overseas Container Lines. The remaining charter periods range from 2.00 to 10.00 years.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the 18 vessels owned as at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Capacity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Charter</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Purchase Date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4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Charterer</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Duration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xml:space="preserve">TEUs </w:t>
            </w:r>
            <w:r>
              <w:rPr>
                <w:rFonts w:ascii="Arial" w:cs="Arial" w:eastAsia="Arial" w:hAnsi="Arial"/>
                <w:sz w:val="12"/>
                <w:szCs w:val="12"/>
                <w:b w:val="1"/>
                <w:bCs w:val="1"/>
                <w:color w:val="auto"/>
                <w:w w:val="95"/>
              </w:rPr>
              <w:t>(1)</w:t>
            </w: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Built</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by GSL</w:t>
            </w:r>
          </w:p>
        </w:tc>
        <w:tc>
          <w:tcPr>
            <w:tcW w:w="960" w:type="dxa"/>
            <w:vAlign w:val="bottom"/>
            <w:gridSpan w:val="2"/>
            <w:vMerge w:val="continue"/>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12"/>
                <w:szCs w:val="12"/>
                <w:b w:val="1"/>
                <w:bCs w:val="1"/>
                <w:color w:val="auto"/>
                <w:w w:val="93"/>
              </w:rPr>
              <w:t>(2)</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CMA CGM</w:t>
            </w:r>
          </w:p>
        </w:tc>
        <w:tc>
          <w:tcPr>
            <w:tcW w:w="56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Matisse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December 2007</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CMA CGM</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$15.300</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CMA CGM Utrillo</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2,262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$15.300</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Delmas Keta</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Julie Delmas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$18.465</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Kumasi</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Marie Delmas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$18.465</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CMA CGM La Tour</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$15.300</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CMA CGM Manet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2007</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$15.300</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CMA CGM Alcazar</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2008</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$33.750</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CMA CGM Château d’lf</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5,089</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 2008</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$33.750</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CMA CGM Thalassa</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11,040</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2008</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$47.200</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CMA CGM Jamaica</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4,298</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2008</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$25.350</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CMA CGM Sambhar</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4,045</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2008</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$25.350</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rPr>
              <w:t>CMA CGM America</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4,045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2008</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$25.350</w:t>
            </w:r>
          </w:p>
        </w:tc>
        <w:tc>
          <w:tcPr>
            <w:tcW w:w="0" w:type="dxa"/>
            <w:vAlign w:val="bottom"/>
          </w:tcPr>
          <w:p>
            <w:pPr>
              <w:spacing w:after="0"/>
              <w:rPr>
                <w:sz w:val="1"/>
                <w:szCs w:val="1"/>
                <w:color w:val="auto"/>
              </w:rPr>
            </w:pPr>
          </w:p>
        </w:tc>
      </w:tr>
      <w:tr>
        <w:trPr>
          <w:trHeight w:val="202"/>
        </w:trPr>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CMA CGM Berlioz</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CMA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6,621</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2009</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CGM</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$34.000</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8,063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October 2014</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OOCL</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$34.500</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OOCL Qingdao </w:t>
            </w:r>
            <w:r>
              <w:rPr>
                <w:rFonts w:ascii="Arial" w:cs="Arial" w:eastAsia="Arial" w:hAnsi="Arial"/>
                <w:sz w:val="15"/>
                <w:szCs w:val="15"/>
                <w:color w:val="auto"/>
              </w:rPr>
              <w:t>(3)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2015</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OOCL</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$34.500</w:t>
            </w: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 xml:space="preserve">OOCL Ningbo </w:t>
            </w:r>
            <w:r>
              <w:rPr>
                <w:rFonts w:ascii="Arial" w:cs="Arial" w:eastAsia="Arial" w:hAnsi="Arial"/>
                <w:sz w:val="15"/>
                <w:szCs w:val="15"/>
                <w:color w:val="auto"/>
              </w:rPr>
              <w:t>(4)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8,063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September 2015</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OOCL</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$34.500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460" w:right="240" w:hanging="452"/>
        <w:spacing w:after="0" w:line="281" w:lineRule="auto"/>
        <w:tabs>
          <w:tab w:leader="none" w:pos="46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Plus or minus 90 days, other than (i) OOCL Tianjin which is between October 28, 2017 and January 28, 2018, (ii) OOCL Qingdao which is between March 11, 2018 and June 11, 2018, and (iii) OOCL Ningbo which is between September 17, 2018 and December 17, 2018, all at charterer’s option.</w:t>
      </w:r>
    </w:p>
    <w:p>
      <w:pPr>
        <w:spacing w:after="0" w:line="1" w:lineRule="exact"/>
        <w:rPr>
          <w:rFonts w:ascii="Arial" w:cs="Arial" w:eastAsia="Arial" w:hAnsi="Arial"/>
          <w:sz w:val="16"/>
          <w:szCs w:val="16"/>
          <w:i w:val="1"/>
          <w:iCs w:val="1"/>
          <w:color w:val="auto"/>
        </w:rPr>
      </w:pPr>
    </w:p>
    <w:p>
      <w:pPr>
        <w:ind w:left="460" w:right="80" w:hanging="452"/>
        <w:spacing w:after="0" w:line="250" w:lineRule="auto"/>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acquired the OOCL Qingdao from Orient Overseas Container Lines Limited (“OOCL”) on March 11, 2015. The vessel was immediately time chartered back to OOCL for a period of 36 to 39 months, at charterer’s option, at a gross rate of $34.5 per day.</w:t>
      </w:r>
    </w:p>
    <w:p>
      <w:pPr>
        <w:ind w:left="460" w:right="800" w:hanging="452"/>
        <w:spacing w:after="0" w:line="323" w:lineRule="auto"/>
        <w:tabs>
          <w:tab w:leader="none" w:pos="46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 acquired the OOCL Ningbo from Orient Overseas Container Lines Limited (“OOCL”) on September 17, 2015. The vessel was immediately time chartered back to OOCL for a period of 36 to 39 months, at charterer’s option, at a gross rate of $34.5 per day.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FIN-7</w:t>
      </w:r>
    </w:p>
    <w:p>
      <w:pPr>
        <w:sectPr>
          <w:pgSz w:w="11900" w:h="16838" w:orient="portrait"/>
          <w:cols w:equalWidth="0" w:num="1">
            <w:col w:w="11420"/>
          </w:cols>
          <w:pgMar w:left="240" w:top="459" w:right="239" w:bottom="91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of the Company currently consists solely of the ownership and chartering out of containerships.</w:t>
      </w:r>
    </w:p>
    <w:p>
      <w:pPr>
        <w:spacing w:after="0" w:line="37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17" w:lineRule="exact"/>
        <w:rPr>
          <w:sz w:val="20"/>
          <w:szCs w:val="20"/>
          <w:color w:val="auto"/>
        </w:rPr>
      </w:pPr>
    </w:p>
    <w:p>
      <w:pPr>
        <w:ind w:left="460" w:right="300"/>
        <w:spacing w:after="0" w:line="264" w:lineRule="auto"/>
        <w:rPr>
          <w:sz w:val="20"/>
          <w:szCs w:val="20"/>
          <w:color w:val="auto"/>
        </w:rPr>
      </w:pPr>
      <w:r>
        <w:rPr>
          <w:rFonts w:ascii="Arial" w:cs="Arial" w:eastAsia="Arial" w:hAnsi="Arial"/>
          <w:sz w:val="18"/>
          <w:szCs w:val="18"/>
          <w:color w:val="auto"/>
        </w:rPr>
        <w:t>Most of the Company’s revenues are derived from charters to CMA CGM. The Company is consequently highly dependent on the performance by CMA CGM of its obligations under these charters. The container shipping industry is volatile and is currently experiencing a sustained cyclical downturn. Many container shipping companies have reported losses.</w:t>
      </w:r>
    </w:p>
    <w:p>
      <w:pPr>
        <w:spacing w:after="0" w:line="7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3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5"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117" w:lineRule="exact"/>
        <w:rPr>
          <w:sz w:val="20"/>
          <w:szCs w:val="20"/>
          <w:color w:val="auto"/>
        </w:rPr>
      </w:pPr>
    </w:p>
    <w:p>
      <w:pPr>
        <w:ind w:left="920" w:right="38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(“U.S. GAAP”) and include the financial statements of the Company and its wholly owned subsidiaries. All inter-company transactions and accounts have been eliminated on consolidation.</w:t>
      </w:r>
    </w:p>
    <w:p>
      <w:pPr>
        <w:spacing w:after="0" w:line="8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920" w:right="20"/>
        <w:spacing w:after="0" w:line="31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5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76"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117"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Cash and cash equivalents subject to restrictions are excluded from cash and cash equivalents in the consolidated balance sheets and are presented as restricted cash.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FIN-8</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17" w:lineRule="exact"/>
        <w:rPr>
          <w:sz w:val="20"/>
          <w:szCs w:val="20"/>
          <w:color w:val="auto"/>
        </w:rPr>
      </w:pPr>
    </w:p>
    <w:p>
      <w:pPr>
        <w:jc w:val="both"/>
        <w:ind w:left="920" w:right="540"/>
        <w:spacing w:after="0" w:line="312" w:lineRule="auto"/>
        <w:rPr>
          <w:sz w:val="20"/>
          <w:szCs w:val="20"/>
          <w:color w:val="auto"/>
        </w:rPr>
      </w:pPr>
      <w:r>
        <w:rPr>
          <w:rFonts w:ascii="Arial" w:cs="Arial" w:eastAsia="Arial" w:hAnsi="Arial"/>
          <w:sz w:val="16"/>
          <w:szCs w:val="16"/>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 nil as of December 31, 2015 (2014: $ nil).</w:t>
      </w:r>
    </w:p>
    <w:p>
      <w:pPr>
        <w:spacing w:after="0" w:line="5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Vessels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Vessels acquired up to the date of the merger described in note 1, were initially recorded at their acquisition cost, less an amount allocated to drydock component, less accumulated depreciation. From the date of the merger, these vessels have been recorded at their fair value at the date of the merger, less a proportion of the negative goodwill arising at the time of the merger allocated to these vessels, less accumulated depreciation and impairment loss, if any.</w:t>
      </w:r>
    </w:p>
    <w:p>
      <w:pPr>
        <w:spacing w:after="0" w:line="79"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connection with the merger, the Company recognised an intangible asset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79" w:lineRule="exact"/>
        <w:rPr>
          <w:sz w:val="20"/>
          <w:szCs w:val="20"/>
          <w:color w:val="auto"/>
        </w:rPr>
      </w:pPr>
    </w:p>
    <w:p>
      <w:pPr>
        <w:jc w:val="both"/>
        <w:ind w:left="920" w:right="40"/>
        <w:spacing w:after="0" w:line="277" w:lineRule="auto"/>
        <w:rPr>
          <w:sz w:val="20"/>
          <w:szCs w:val="20"/>
          <w:color w:val="auto"/>
        </w:rPr>
      </w:pPr>
      <w:r>
        <w:rPr>
          <w:rFonts w:ascii="Arial" w:cs="Arial" w:eastAsia="Arial" w:hAnsi="Arial"/>
          <w:sz w:val="18"/>
          <w:szCs w:val="18"/>
          <w:color w:val="auto"/>
        </w:rPr>
        <w:t>Vessels acquired after the merger are stated at acquisition cost, less accumulated depreciation. The cost of the vessel consists of the contract price and expenses incurred in connection with the acquisition.</w:t>
      </w:r>
    </w:p>
    <w:p>
      <w:pPr>
        <w:spacing w:after="0" w:line="62"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62" w:lineRule="exact"/>
        <w:rPr>
          <w:sz w:val="20"/>
          <w:szCs w:val="20"/>
          <w:color w:val="auto"/>
        </w:rPr>
      </w:pPr>
    </w:p>
    <w:p>
      <w:pPr>
        <w:ind w:left="920" w:right="100"/>
        <w:spacing w:after="0" w:line="34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There was no capitalized interest for the years ended December 31, 2015, 2014 or 2013. Other borrowing costs are expensed as incurred.</w:t>
      </w:r>
    </w:p>
    <w:p>
      <w:pPr>
        <w:spacing w:after="0" w:line="16"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first delivery from the shipyard.</w:t>
      </w:r>
    </w:p>
    <w:p>
      <w:pPr>
        <w:spacing w:after="0" w:line="73"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Prepayments and costs directly related to the future acquisition of specific vessels are presented in the Consolidated Balance Sheets as vessel deposits.</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117" w:lineRule="exact"/>
        <w:rPr>
          <w:sz w:val="20"/>
          <w:szCs w:val="20"/>
          <w:color w:val="auto"/>
        </w:rPr>
      </w:pPr>
    </w:p>
    <w:p>
      <w:pPr>
        <w:ind w:left="920" w:right="200"/>
        <w:spacing w:after="0" w:line="297" w:lineRule="auto"/>
        <w:rPr>
          <w:sz w:val="20"/>
          <w:szCs w:val="20"/>
          <w:color w:val="auto"/>
        </w:rPr>
      </w:pPr>
      <w:r>
        <w:rPr>
          <w:rFonts w:ascii="Arial" w:cs="Arial" w:eastAsia="Arial" w:hAnsi="Arial"/>
          <w:sz w:val="16"/>
          <w:szCs w:val="16"/>
          <w:color w:val="auto"/>
        </w:rPr>
        <w:t>An element of the purchase price of a vessel is allocated to a drydock component which is amortized on a straight line basis to the anticipated next drydocking date. Vessels are drydocked approximately every five years for major repairs and maintenance that cannot be performed while the vessels are operating. Costs directly associated with a drydocking, including the required regulatory inspection of the vessel, its hull and its machinery and for the defouling and repainting of the hull are capitalized as they are incurred and depreciated on a straight line basis over the period between drydocks. Capitalized drydocking costs are classified within investing activities in the Consolidated Statements of Cash Flows.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options</w:t>
      </w:r>
    </w:p>
    <w:p>
      <w:pPr>
        <w:spacing w:after="0" w:line="117" w:lineRule="exact"/>
        <w:rPr>
          <w:sz w:val="20"/>
          <w:szCs w:val="20"/>
          <w:color w:val="auto"/>
        </w:rPr>
      </w:pPr>
    </w:p>
    <w:p>
      <w:pPr>
        <w:ind w:left="920" w:right="240"/>
        <w:spacing w:after="0" w:line="291" w:lineRule="auto"/>
        <w:rPr>
          <w:sz w:val="20"/>
          <w:szCs w:val="20"/>
          <w:color w:val="auto"/>
        </w:rPr>
      </w:pPr>
      <w:r>
        <w:rPr>
          <w:rFonts w:ascii="Arial" w:cs="Arial" w:eastAsia="Arial" w:hAnsi="Arial"/>
          <w:sz w:val="16"/>
          <w:szCs w:val="16"/>
          <w:color w:val="auto"/>
        </w:rPr>
        <w:t>Cash consideration for the acquisition of purchase options to acquire vessels at a fixed purchase price are recognized as intangible assets in an amount up to the difference, as at the transaction date, between (i) the amount paid for the options plus the purchase price of the vessels and</w:t>
      </w:r>
    </w:p>
    <w:p>
      <w:pPr>
        <w:ind w:left="920" w:right="180" w:firstLine="1"/>
        <w:spacing w:after="0" w:line="255" w:lineRule="auto"/>
        <w:tabs>
          <w:tab w:leader="none" w:pos="11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jc w:val="both"/>
        <w:ind w:left="920" w:right="200"/>
        <w:spacing w:after="0" w:line="264" w:lineRule="auto"/>
        <w:rPr>
          <w:sz w:val="20"/>
          <w:szCs w:val="20"/>
          <w:color w:val="auto"/>
        </w:rPr>
      </w:pPr>
      <w:r>
        <w:rPr>
          <w:rFonts w:ascii="Arial" w:cs="Arial" w:eastAsia="Arial" w:hAnsi="Arial"/>
          <w:sz w:val="18"/>
          <w:szCs w:val="18"/>
          <w:color w:val="auto"/>
        </w:rPr>
        <w:t>Intangible assets are reviewed individually for impairment annually or more frequently due to events or changes in circumstances that indicate that the asset might be impaired. If the estimated cash flows from the future use of the asset and its eventual disposal are below the asset’s net book value, then the asset is deemed to be impaired and written down to its fair value.</w:t>
      </w:r>
    </w:p>
    <w:p>
      <w:pPr>
        <w:spacing w:after="0" w:line="8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117" w:lineRule="exact"/>
        <w:rPr>
          <w:sz w:val="20"/>
          <w:szCs w:val="20"/>
          <w:color w:val="auto"/>
        </w:rPr>
      </w:pPr>
    </w:p>
    <w:p>
      <w:pPr>
        <w:jc w:val="both"/>
        <w:ind w:left="920" w:right="200"/>
        <w:spacing w:after="0" w:line="312"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whereby the Company’s actual charter rates were compared to market rates at the merger date. These intangible liabilities, recognizing the below market rates as at the date of merger, are amortized giving rise to an increase of time charter revenue over the remaining term of the relevant charters.</w:t>
      </w:r>
    </w:p>
    <w:p>
      <w:pPr>
        <w:spacing w:after="0" w:line="52"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17" w:lineRule="exact"/>
        <w:rPr>
          <w:sz w:val="20"/>
          <w:szCs w:val="20"/>
          <w:color w:val="auto"/>
        </w:rPr>
      </w:pPr>
    </w:p>
    <w:p>
      <w:pPr>
        <w:ind w:left="920" w:right="220"/>
        <w:spacing w:after="0" w:line="302"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and is recorded equal to the amount by which the asset’s carrying amount exceeds its fair value. Fair value is the net present value of future cash flows discounted by an appropriate discount rate.</w:t>
      </w:r>
    </w:p>
    <w:p>
      <w:pPr>
        <w:spacing w:after="0" w:line="46" w:lineRule="exact"/>
        <w:rPr>
          <w:sz w:val="20"/>
          <w:szCs w:val="20"/>
          <w:color w:val="auto"/>
        </w:rPr>
      </w:pPr>
    </w:p>
    <w:p>
      <w:pPr>
        <w:ind w:left="920" w:right="80"/>
        <w:spacing w:after="0" w:line="286" w:lineRule="auto"/>
        <w:rPr>
          <w:sz w:val="20"/>
          <w:szCs w:val="20"/>
          <w:color w:val="auto"/>
        </w:rPr>
      </w:pPr>
      <w:r>
        <w:rPr>
          <w:rFonts w:ascii="Arial" w:cs="Arial" w:eastAsia="Arial" w:hAnsi="Arial"/>
          <w:sz w:val="17"/>
          <w:szCs w:val="17"/>
          <w:color w:val="auto"/>
        </w:rPr>
        <w:t>The redelivery and potential sale of two of the Company’s vessels in late 2015 (see note 4) was seen as an indicator of potential impairment of their carrying value. Accordingly, an impairment test, based on the fair value less estimated costs to sell, was performed for these two vessels as at September 30, 2015. Using these assumptions, an impairment loss of $44,700 was immediately recognised.</w:t>
      </w:r>
    </w:p>
    <w:p>
      <w:pPr>
        <w:spacing w:after="0" w:line="5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Due to continuing poor industry conditions, impairment tests on a vessel by vessel basis were performed as at December 31, 2014 and again as at December 31, 2015. No impairment was recognised after either of these tests as, based on the assumptions made, the expected undiscounted future cash flows exceeded the vessels’ carrying amounts.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FIN-10</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Long-lived assets (continued)</w:t>
      </w:r>
    </w:p>
    <w:p>
      <w:pPr>
        <w:spacing w:after="0" w:line="158"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from first delivery from the shipyard. In the case of an indication of impairment, the results of a recoverability test would also be sensitive to the discount rate applied.</w:t>
      </w:r>
    </w:p>
    <w:p>
      <w:pPr>
        <w:spacing w:after="0" w:line="98"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rate hedges</w:t>
      </w:r>
    </w:p>
    <w:p>
      <w:pPr>
        <w:spacing w:after="0" w:line="117"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Interest rate derivatives are initially recognized at fair value on the date a derivative contract is entered into and are subsequently re-measured at each period end at their fair value. The method of recognizing the resulting gain or loss depends on whether or not the derivative is designated and qualifies as a hedging instrument, and if so, the nature of the item being hedged.</w:t>
      </w:r>
    </w:p>
    <w:p>
      <w:pPr>
        <w:spacing w:after="0" w:line="73"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If the Company’s interest rate derivative instruments do not qualify for hedge accounting, changes in the fair value are recognized immediately in the Consolidated Statements of Income within “Unrealized gain (loss) on interest rate derivatives”. Cash settlements of interest rate derivative instruments are recognized immediately in the Consolidated Statements of Income within “Realized loss on interest rate derivatives”. Cash flows related to interest rate derivatives (including payments and periodic cash settlements) are included within “Net cash used in investing activities”.</w:t>
      </w:r>
    </w:p>
    <w:p>
      <w:pPr>
        <w:spacing w:after="0" w:line="46"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fair value of derivatives is presented on the face of the Consolidated Balance Sheets under the line item “Derivative instruments” and is split into current and non-current portions based on the net cash flows expected within one year.</w:t>
      </w:r>
    </w:p>
    <w:p>
      <w:pPr>
        <w:spacing w:after="0" w:line="76"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Deferred financing costs</w:t>
      </w:r>
    </w:p>
    <w:p>
      <w:pPr>
        <w:spacing w:after="0" w:line="117" w:lineRule="exact"/>
        <w:rPr>
          <w:sz w:val="20"/>
          <w:szCs w:val="20"/>
          <w:color w:val="auto"/>
        </w:rPr>
      </w:pPr>
    </w:p>
    <w:p>
      <w:pPr>
        <w:ind w:left="920" w:right="80"/>
        <w:spacing w:after="0" w:line="276" w:lineRule="auto"/>
        <w:rPr>
          <w:sz w:val="20"/>
          <w:szCs w:val="20"/>
          <w:color w:val="auto"/>
        </w:rPr>
      </w:pPr>
      <w:r>
        <w:rPr>
          <w:rFonts w:ascii="Arial" w:cs="Arial" w:eastAsia="Arial" w:hAnsi="Arial"/>
          <w:sz w:val="17"/>
          <w:szCs w:val="17"/>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 Arrangement fees for revolving credit facilities are shown within Other Long Term Assets.</w:t>
      </w:r>
    </w:p>
    <w:p>
      <w:pPr>
        <w:spacing w:after="0" w:line="78"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117" w:lineRule="exact"/>
        <w:rPr>
          <w:sz w:val="20"/>
          <w:szCs w:val="20"/>
          <w:color w:val="auto"/>
        </w:rPr>
      </w:pPr>
    </w:p>
    <w:p>
      <w:pPr>
        <w:ind w:left="920" w:right="160"/>
        <w:spacing w:after="0" w:line="257" w:lineRule="auto"/>
        <w:rPr>
          <w:sz w:val="20"/>
          <w:szCs w:val="20"/>
          <w:color w:val="auto"/>
        </w:rPr>
      </w:pPr>
      <w:r>
        <w:rPr>
          <w:rFonts w:ascii="Arial" w:cs="Arial" w:eastAsia="Arial" w:hAnsi="Arial"/>
          <w:sz w:val="18"/>
          <w:szCs w:val="18"/>
          <w:color w:val="auto"/>
        </w:rPr>
        <w:t>Series A Preferred shares were included within Liabilities in the Consolidated Balance Sheets, up to their redemption in August 2014, and their preferred share dividends included within interest expense in the Consolidated Statements of Income as their nature was similar to that of a liability rather than equity. Holders of these mandatorily redeemable preferred shares were entitled to receive a dividend equal to 3-month U.S. dollar LIBOR plus 2% on the original issue price and ranked senior to the Class A and Class B common shares with respect to dividend rights and rights upon liquidation, dissolution or winding up of the Company.</w:t>
      </w:r>
    </w:p>
    <w:p>
      <w:pPr>
        <w:spacing w:after="0" w:line="80"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Series B Preferred shares have been included within Equity in the Consolidated Balance Sheets, from their issue in August 2014, and their preferred share dividends are presented as a reduction of Retained Earnings in the Consolidated Statement of Stockholders’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and rank senior to the Class A and Class B common shares with respect to dividend rights and rights upon liquidation, dissolution or winding up of the Company.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FIN-11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117"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Other comprehensive income (loss), which is reported in the Consolidated Statement of Stockholders’ Equity, consists of net income (loss) and other gains and losses affecting equity that, under U.S. GAAP, are excluded from net income (loss). Under ASU 2011-05, an entity reporting comprehensive income in a single continuous financial statement shall present its components in two sections, net income and other comprehensive income. As the Company does not, to date, have other comprehensive income, the accompanying consolidated financial statements only include Consolidated Statements of Income.</w:t>
      </w:r>
    </w:p>
    <w:p>
      <w:pPr>
        <w:spacing w:after="0" w:line="9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117" w:lineRule="exact"/>
        <w:rPr>
          <w:sz w:val="20"/>
          <w:szCs w:val="20"/>
          <w:color w:val="auto"/>
        </w:rPr>
      </w:pPr>
    </w:p>
    <w:p>
      <w:pPr>
        <w:ind w:left="920" w:right="60"/>
        <w:spacing w:after="0" w:line="279" w:lineRule="auto"/>
        <w:rPr>
          <w:sz w:val="20"/>
          <w:szCs w:val="20"/>
          <w:color w:val="auto"/>
        </w:rPr>
      </w:pPr>
      <w:r>
        <w:rPr>
          <w:rFonts w:ascii="Arial" w:cs="Arial" w:eastAsia="Arial" w:hAnsi="Arial"/>
          <w:sz w:val="17"/>
          <w:szCs w:val="17"/>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Cash received in excess of earned revenue is recorded as deferred revenue.</w:t>
      </w:r>
    </w:p>
    <w:p>
      <w:pPr>
        <w:spacing w:after="0" w:line="63"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7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117"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 (loss).</w:t>
      </w:r>
    </w:p>
    <w:p>
      <w:pPr>
        <w:spacing w:after="0" w:line="92"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are expensed over the period covered by the insurance contract.</w:t>
      </w:r>
    </w:p>
    <w:p>
      <w:pPr>
        <w:spacing w:after="0" w:line="92"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award restricted stock units to its management and Directors as part of their compensation.</w:t>
      </w:r>
    </w:p>
    <w:p>
      <w:pPr>
        <w:spacing w:after="0" w:line="11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expected vesting period.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FIN-12</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Company and its Marshall Island subsidiaries are exempt from taxation in the Marshall Islands. The Company’s vessels are flagged in Bahamas, Cyprus, Hong Kong and Panama and are liable for tax based on the tonnage of the vessel. The cost, which is included within operating expenses, amounted to $124, $126 and $169 for the years ended December 31, 2015, 2014 and 2013, respectively. The Cyprus and Hong Kong subsidiaries are liable for income tax on any interest income earned from non-shipping activity.</w:t>
      </w:r>
    </w:p>
    <w:p>
      <w:pPr>
        <w:spacing w:after="0" w:line="6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20% (2014: 21%, 2013: 23%). This subsidiary earns management and other fees from fellow group companies.</w:t>
      </w:r>
    </w:p>
    <w:p>
      <w:pPr>
        <w:spacing w:after="0" w:line="62"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color w:val="auto"/>
        </w:rPr>
        <w:t>The Company accounts for deferred income taxes using the liability method which requires the determination of deferred tax assets and liabilities, based upon temporary timing differences that arise between the financial statement and tax bases of recorded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2015 a deferred tax liability of $20 (2014: $34) was recognized relating to stock based compensation costs charged to the Consolidated Statements of Income in respect of unvested shares and timing differences between the carrying amounts of assets for financial reporting purposes and their tax bases.</w:t>
      </w:r>
    </w:p>
    <w:p>
      <w:pPr>
        <w:spacing w:after="0" w:line="70"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7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17"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Inventories consist of bunkers and lubricants on board certain of the vessels. Inventories are stated at the lower of cost or market value as determined using the first-in, first-out method.</w:t>
      </w:r>
    </w:p>
    <w:p>
      <w:pPr>
        <w:spacing w:after="0" w:line="7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Consolidated Balance Sheets in the line item “Dividends payable”.</w:t>
      </w:r>
    </w:p>
    <w:p>
      <w:pPr>
        <w:spacing w:after="0" w:line="76"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left="920" w:right="140"/>
        <w:spacing w:after="0" w:line="302" w:lineRule="auto"/>
        <w:rPr>
          <w:sz w:val="20"/>
          <w:szCs w:val="20"/>
          <w:color w:val="auto"/>
        </w:rPr>
      </w:pPr>
      <w:r>
        <w:rPr>
          <w:rFonts w:ascii="Arial" w:cs="Arial" w:eastAsia="Arial" w:hAnsi="Arial"/>
          <w:sz w:val="16"/>
          <w:szCs w:val="16"/>
          <w:color w:val="auto"/>
        </w:rPr>
        <w:t>Basic earnings per common share are based on income available to common shareholders divided by the weighted-average number of common shares outstanding during the period, excluding unvested restricted stock units. Diluted earnings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FIN-13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117"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In May 2014, the Financial Accounting Standards Board (“FASB”) issued an accounting standards update in respect of revenue from contracts with customers (Topic 606). The update was originally effective for annual periods beginning after December 15, 2016 and early application was not permitted. In August 2015, the FASB issued a further update to defer the effective date by one year to annual periods beginning after December 15, 2017. The Company is currently reviewing the impact of adopting this update on its revenue recognition.</w:t>
      </w:r>
    </w:p>
    <w:p>
      <w:pPr>
        <w:spacing w:after="0" w:line="6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In June 2015, FASB issued an update in respect of Stock Compensation (Topic 718). The amendment requires that a performance target that affects vesting and that could be achieved after the requisite service period be treated as a performance condition. The performance condition should not be reflected in estimating the grant-date fair value of the award and the compensation cost should be recognized in the period in which it becomes probable that the performance target will be achieved and should represent the compensation cost attributable to the periods for which the requisite service has already been rendered. The amendment is effective for annual periods beginning after December 15, 2015 and early adoption is permitted. The adoption of this amendment is not expected to lead to any changes to the Company’s financial statements.</w:t>
      </w:r>
    </w:p>
    <w:p>
      <w:pPr>
        <w:spacing w:after="0" w:line="57" w:lineRule="exact"/>
        <w:rPr>
          <w:sz w:val="20"/>
          <w:szCs w:val="20"/>
          <w:color w:val="auto"/>
        </w:rPr>
      </w:pPr>
    </w:p>
    <w:p>
      <w:pPr>
        <w:ind w:left="920" w:right="80"/>
        <w:spacing w:after="0" w:line="276" w:lineRule="auto"/>
        <w:rPr>
          <w:sz w:val="20"/>
          <w:szCs w:val="20"/>
          <w:color w:val="auto"/>
        </w:rPr>
      </w:pPr>
      <w:r>
        <w:rPr>
          <w:rFonts w:ascii="Arial" w:cs="Arial" w:eastAsia="Arial" w:hAnsi="Arial"/>
          <w:sz w:val="17"/>
          <w:szCs w:val="17"/>
          <w:color w:val="auto"/>
        </w:rPr>
        <w:t>In February 2016, FASB issued an accounting standards update in respect of leases (Topic 842). The update makes significant changes to the accounting requirements for lessees, who will be required to recognize right-of-use assets with a corresponding lease liability for all but short-term leases. The standard is to be adopted using a modified retrospective transition. The accounting requirements for lessors remain largely unchanged. The update is effective for annual periods beginning after December 15, 2018 although early application is permitted. The Company is currently assessing the impact of adopting this update on its financial statements.</w:t>
      </w:r>
    </w:p>
    <w:p>
      <w:pPr>
        <w:spacing w:after="0" w:line="64"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impact on the consolidated financial statements of the Company.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75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1,095,245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1,070,627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(248,306)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(234,146)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846,939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100"/>
        <w:spacing w:after="0" w:line="286" w:lineRule="auto"/>
        <w:rPr>
          <w:sz w:val="20"/>
          <w:szCs w:val="20"/>
          <w:color w:val="auto"/>
        </w:rPr>
      </w:pPr>
      <w:r>
        <w:rPr>
          <w:rFonts w:ascii="Arial" w:cs="Arial" w:eastAsia="Arial" w:hAnsi="Arial"/>
          <w:sz w:val="17"/>
          <w:szCs w:val="17"/>
          <w:color w:val="auto"/>
        </w:rPr>
        <w:t>On October 28, 2014, the Company acquired an 8,063 TEU containership (OOCL Tianjin) from OOCL for a purchase price of $55,000. On March 11, 2015, the Company acquired an 8,063 TEU containership (OOCL Qingdao) from OOCL for a purchase price of $53,600. On September 17, 2015, the Company acquired an 8,063 TEU containership (OOCL Ningbo) from OOCL for a purchase price of $53,600.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FIN-14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 (continued)</w:t>
      </w:r>
    </w:p>
    <w:p>
      <w:pPr>
        <w:spacing w:after="0" w:line="161"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Both Ville d’Aquarius and Ville d’Orion were redelivered at the end of their charters during the fourth quarter of 2015 and the sales of the vessels were agreed and completed in November 2015 and December 2015, respectively. These vessels were impaired as at September 30, 2015 by $22,203 and $22,497 respectively to their fair value less estimated costs to sell. Following completion of the sales, a gain on sale was recognised in the amount of $93, measured against the revised carrying value, and this is presented in Other Operating Income in the Consolidated Statement of Income. Variations in net book value of vessels, including drydocking, are presented below:</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836,537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109,055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Vessel impairment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(44,700)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846,939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836,537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As of December 31, 2015, 17 of the 18 vessels were pledged as collateral under the 2019 Notes, Revolving Credit Facility and Secured Term Loan (see note 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80" w:type="dxa"/>
            <w:vAlign w:val="bottom"/>
            <w:gridSpan w:val="4"/>
          </w:tcPr>
          <w:p>
            <w:pPr>
              <w:ind w:left="2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Opening balance</w:t>
            </w:r>
          </w:p>
        </w:tc>
        <w:tc>
          <w:tcPr>
            <w:tcW w:w="236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Depreciation</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Liability – Charter Agreements</w:t>
      </w:r>
    </w:p>
    <w:p>
      <w:pPr>
        <w:spacing w:after="0" w:line="2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500" w:type="dxa"/>
            <w:vAlign w:val="bottom"/>
            <w:gridSpan w:val="4"/>
          </w:tcPr>
          <w:p>
            <w:pPr>
              <w:ind w:left="23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in period</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13,693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Intangible liabilities relate to management’s estimate of the fair value of below-market charters on August 14, 2008, the date of the merger (see note 1).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remaining length of the charter as the relevant time period.</w:t>
      </w:r>
    </w:p>
    <w:p>
      <w:pPr>
        <w:spacing w:after="0" w:line="50"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upon delivery. These intangible liabilities are amortized as an increase of time charter revenue over the remaining term of the relevant charter.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FIN-15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60" w:type="dxa"/>
            <w:vAlign w:val="bottom"/>
          </w:tcPr>
          <w:p>
            <w:pPr>
              <w:ind w:left="2880"/>
              <w:spacing w:after="0"/>
              <w:rPr>
                <w:sz w:val="20"/>
                <w:szCs w:val="20"/>
                <w:color w:val="auto"/>
              </w:rPr>
            </w:pPr>
            <w:r>
              <w:rPr>
                <w:rFonts w:ascii="Arial" w:cs="Arial" w:eastAsia="Arial" w:hAnsi="Arial"/>
                <w:sz w:val="18"/>
                <w:szCs w:val="18"/>
                <w:color w:val="auto"/>
                <w:w w:val="98"/>
              </w:rPr>
              <w:t>(Expressed in thousands of U.S. dollars)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714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 Term Debt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6"/>
                <w:szCs w:val="16"/>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repurchase of Notes under Excess Cash Flow</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original issue discount</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2019 Notes (note 7(b))</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415,609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Revolving Credit Facility (note 7(c))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Secured Term Loan (note 7(d))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Deferred financing costs (note 7(f))</w:t>
            </w:r>
          </w:p>
        </w:tc>
        <w:tc>
          <w:tcPr>
            <w:tcW w:w="2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(10,611)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(12,913)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w:t>
            </w: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478,073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Current portion of 2019 Notes (note 7(b))</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(26,660)</w:t>
            </w: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Revolving Credit Facility (note 7(c))</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Current portion of Secured Term Loan (note 7(d))</w:t>
            </w:r>
          </w:p>
        </w:tc>
        <w:tc>
          <w:tcPr>
            <w:tcW w:w="2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(7,700)</w:t>
            </w:r>
          </w:p>
        </w:tc>
        <w:tc>
          <w:tcPr>
            <w:tcW w:w="2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portion of Long-Term Debt</w:t>
            </w: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442,913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Previous Credit Facility</w:t>
      </w:r>
    </w:p>
    <w:p>
      <w:pPr>
        <w:spacing w:after="0" w:line="121"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Company was previously financed by a senior secured credit facility with a final maturity date of August 2016. This credit facility was fully repaid and terminated on March 19, 2014 using the proceeds of the issue of the 2019 Notes (see note 7(b)).</w:t>
      </w:r>
    </w:p>
    <w:p>
      <w:pPr>
        <w:spacing w:after="0" w:line="62" w:lineRule="exact"/>
        <w:rPr>
          <w:sz w:val="20"/>
          <w:szCs w:val="20"/>
          <w:color w:val="auto"/>
        </w:rPr>
      </w:pPr>
    </w:p>
    <w:p>
      <w:pPr>
        <w:ind w:left="460" w:right="100"/>
        <w:spacing w:after="0" w:line="308" w:lineRule="auto"/>
        <w:rPr>
          <w:sz w:val="20"/>
          <w:szCs w:val="20"/>
          <w:color w:val="auto"/>
        </w:rPr>
      </w:pPr>
      <w:r>
        <w:rPr>
          <w:rFonts w:ascii="Arial" w:cs="Arial" w:eastAsia="Arial" w:hAnsi="Arial"/>
          <w:sz w:val="17"/>
          <w:szCs w:val="17"/>
          <w:color w:val="auto"/>
        </w:rPr>
        <w:t>Amounts borrowed under the credit facility bore interest at USD LIBOR plus a margin of between 2.50% and 3.75% depending on the Leverage Ratio (being the ratio of the balance outstanding on the credit facility to the aggregate charter free market value of the secured vessels).</w:t>
      </w:r>
    </w:p>
    <w:p>
      <w:pPr>
        <w:spacing w:after="0" w:line="29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10.0% First Priority Secured Notes Due 2019</w:t>
      </w:r>
    </w:p>
    <w:p>
      <w:pPr>
        <w:spacing w:after="0" w:line="12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On March 19, 2014 the Company completed the sale of $420,000 of 10.0% First Priority Secured Notes (the “2019 Notes”) which mature on April 1, 2019. Proceeds after the deduction of the original issue discount, but before expenses, amounted to $413,700.</w:t>
      </w:r>
    </w:p>
    <w:p>
      <w:pPr>
        <w:spacing w:after="0" w:line="62"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Interest on the 2019 Notes is payable semi-annually on April 1 and October 1 of each year, commencing on October 1, 2014. As at December 31, 2015, the 2019 Notes are secured by first priority ship mortgages on 16 of the Company’s 18 vessels (the “Mortgaged Vessels”) and by assignments of earnings and insurances, a pledge over certain bank accounts, as well as share pledges over each subsidiary owning a Mortgaged Vessel. In addition, the 2019 Notes are fully and unconditionally guaranteed, jointly and severally, by the Company’s 18 vessel owning subsidiaries and Global Ship Lease Services Limited.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issue discount is being amortised on an effective interest rate basis over the life of the 2019 Notes.</w:t>
      </w:r>
    </w:p>
    <w:p>
      <w:pPr>
        <w:spacing w:after="0" w:line="11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Under the 2019 Notes we are required within 120 days following the end of each financial year, in which we have at least $1,000 of Excess Cash Flow, to offer to purchase up to a maximum offer amount of $20,000, such amount being the aggregate of 102% of the principal amount plus any accrued and unpaid interest to, but not including, the purchase date. The first such offer, for 2014, in the maximum amount of $20,000, was launched on April 21, 2015. At the close of this offer, $350 was tendered and accepted.</w:t>
      </w:r>
    </w:p>
    <w:p>
      <w:pPr>
        <w:spacing w:after="0" w:line="79" w:lineRule="exact"/>
        <w:rPr>
          <w:sz w:val="20"/>
          <w:szCs w:val="20"/>
          <w:color w:val="auto"/>
        </w:rPr>
      </w:pPr>
    </w:p>
    <w:p>
      <w:pPr>
        <w:ind w:left="460" w:right="220"/>
        <w:spacing w:after="0" w:line="255" w:lineRule="auto"/>
        <w:rPr>
          <w:sz w:val="20"/>
          <w:szCs w:val="20"/>
          <w:color w:val="auto"/>
        </w:rPr>
      </w:pPr>
      <w:r>
        <w:rPr>
          <w:rFonts w:ascii="Arial" w:cs="Arial" w:eastAsia="Arial" w:hAnsi="Arial"/>
          <w:sz w:val="18"/>
          <w:szCs w:val="18"/>
          <w:color w:val="auto"/>
        </w:rPr>
        <w:t>Following the sale of two vessels (see note 4) secured to the 2019 Notes in November and December 2015, the Company is required to offer the net sale proceeds, less a proportion to be used to repay part of the associated revolving credit facility (see note 7(c)), to Noteholders (“Collateral Sale Offer”) within 90 days of receipt of the sale proceeds. The terms of the Collateral Sale Offer are the same as those of the annual Excess Cash Flow Offer. Consequently, on February 2, 2016, the Company launched a combined Excess Cash Flow Offer for 2015 and the Collateral Sale Offer in an aggregate amount of $28,417, at a purchase price of 102% of the aggregate principal amount plus accrued and unpaid interest up to but not including the date of purchase.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FIN-16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158"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On March 19, 2014, and in connection with the 2019 Notes, the Company entered into a $40,000 senior secured revolving credit facility with Citibank N.A. (the “Revolving Credit Facility”). This facility matures on October 1, 2018. The interest rate under the facility is USD LIBOR plus a margin of 3.25% and is payable at least quarterly. A commitment fee of 1.30% per annum is due quarterly on undrawn amounts.</w:t>
      </w:r>
    </w:p>
    <w:p>
      <w:pPr>
        <w:spacing w:after="0" w:line="57"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The collateral provided to the 2019 Notes also secures on a first priority basis the Revolving Credit Facility. There is a Cash Balance financial covenant which is tested each six months, commencing June 30, 2014. Up to and including December 31, 2015, the Company must have a minimum cash balance of $15,000 on each test date. After this date, the minimum cash balance on each test date increases to $20,000.</w:t>
      </w:r>
    </w:p>
    <w:p>
      <w:pPr>
        <w:spacing w:after="0" w:line="5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Amounts outstanding under this facility can be prepaid without penalty, other than breakage costs in certain circumstances. During the quarter ended March 31, 2015, the facility was fully drawn down to assist with the purchase of OOCL Qingdao on March 11, 2015. Following the sale of two secured vessels (see note 4) in November and December 2015, a proportion of the net sale proceeds has to be applied to reduce amounts outstanding under the facility.</w:t>
      </w:r>
    </w:p>
    <w:p>
      <w:pPr>
        <w:spacing w:after="0" w:line="33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Secured Term Loan</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On July 29, 2015, the Company entered into a $35,000 secured term loan with DVB Bank SE (the “Secured Term Loan”). This facility matures five years after drawdown, with early repayment, inter alia, if the 2019 Notes are not refinanced by November 30, 2018, or if the secured vessel ceases to be employed on a charter for a period in excess of 90 days. The interest rate under the loan is USD LIBOR plus a margin of 2.75%, until November 30, 2018 and 3.25% thereafter, and is payable at least quarterly.</w:t>
      </w:r>
    </w:p>
    <w:p>
      <w:pPr>
        <w:spacing w:after="0" w:line="79"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The Secured Term Loan is secured by a first priority ship mortgage on OOCL Tianjin and by assignment of earnings and insurances for the same vessel.</w:t>
      </w:r>
    </w:p>
    <w:p>
      <w:pPr>
        <w:spacing w:after="0" w:line="6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Secured Term Loan is repayable in 20 equal quarterly instalments, commencing three months after drawdown. $35,000 was drawn down under the Secured Term Loan on September 10, 2015. The loan agreement requires an additional $1,400 to be repaid over eight equal quarterly instalments to provide a reserve for potential enhancement expenditure on the secured vessel ahead of the expiry of the initial charter to OOCL. These additional instalments reduce the debt balance and can be redrawn to fund the enhancement work, or utilized to permanently reduce the quarterly instalments for the remainder of the term of the loan if no such work is required.</w:t>
      </w:r>
    </w:p>
    <w:p>
      <w:pPr>
        <w:spacing w:after="0" w:line="333"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Schedule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Based on scheduled and estimated repayments from January 1, 2016 the long term debt will be reduced in each of the relevant periods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478,073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FIN-17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158"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Costs amounting to $4,800 incurred up to December 31, 2013 in connection with the Company’s refinancing were recorded within prepaid expenses as at that date. On March 19, 2014, the Company completed the refinancing by the issue of the 2019 Notes (see note 7(b)) and by agreeing the Revolving Credit Facility (see note 7(c)). On completion of the refinancing, these deferred financing costs were reclassified from prepaid expenses to deferred financing costs, together with additional costs incurred during the quarter.</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60" w:type="dxa"/>
            <w:vAlign w:val="bottom"/>
            <w:gridSpan w:val="4"/>
          </w:tcPr>
          <w:p>
            <w:pPr>
              <w:ind w:left="14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Reclassification from prepaid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Expenditure in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Amortization included within interest expense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64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10,611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incurred costs during the first half of 2015 in relation to the drawdown of the Revolving Credit Facility (see note 7(c)) amounting to</w:t>
      </w:r>
    </w:p>
    <w:p>
      <w:pPr>
        <w:spacing w:after="0" w:line="35"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$370 which have been deferred. During the quarter ended September 30, 2015 the Company incurred costs in relation to the drawdown of the Secured Term Loan (see note 7(d)) amounting to $601 which have been deferred.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financing costs are amortized on an effective interest rate basis over the life of the financings for which they were incurred.</w:t>
      </w:r>
    </w:p>
    <w:p>
      <w:pPr>
        <w:spacing w:after="0" w:line="117"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unamortized balance of deferred financing costs relating to the previous credit facility which was fully repaid and terminated on March 19, 2014 and amounting to $2,986 was written off and recorded within interest expense within the Consolidated Statements of Income in the first quarter of 2014.</w:t>
      </w:r>
    </w:p>
    <w:p>
      <w:pPr>
        <w:spacing w:after="0" w:line="73"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The Company has adopted the accounting standards update issued by FASB in April 2015 “Interest – Imputation of Interest (Subtopic 835-30): Simplifying the Presentation of Debt Issuance Costs”. Effective December 31, 2015, debt issuance costs, other than the up-front arrangement fee for the Revolving Credit Facility, related to our recognized debt liabilities are presented as a direct deduction from the carrying amount of that debt. The arrangement fee for the Revolving Credit Facility is presented in Other Long Term Assets. In the prior year, total debt issuance costs of $3,148 and $10,172 were presented as current and non-current assets respectively; $12,913 has been reclassified against long-term debt and $407 relating to the arrangement fee for the Revolving Credit Facility is shown within Other Long Term Assets.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r>
              <w:rPr>
                <w:rFonts w:ascii="Arial" w:cs="Arial" w:eastAsia="Arial" w:hAnsi="Arial"/>
                <w:sz w:val="18"/>
                <w:szCs w:val="18"/>
                <w:color w:val="auto"/>
                <w:w w:val="79"/>
              </w:rPr>
              <w:t>.</w:t>
            </w:r>
          </w:p>
        </w:tc>
        <w:tc>
          <w:tcPr>
            <w:tcW w:w="82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Operating Income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00" w:type="dxa"/>
            <w:vAlign w:val="bottom"/>
          </w:tcPr>
          <w:p>
            <w:pPr>
              <w:spacing w:after="0"/>
              <w:rPr>
                <w:sz w:val="24"/>
                <w:szCs w:val="24"/>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Other operating income is summarized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8"/>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86"/>
        </w:trPr>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6"/>
                <w:szCs w:val="16"/>
                <w:color w:val="auto"/>
              </w:rPr>
            </w:pPr>
          </w:p>
        </w:tc>
        <w:tc>
          <w:tcPr>
            <w:tcW w:w="720" w:type="dxa"/>
            <w:vAlign w:val="bottom"/>
            <w:gridSpan w:val="2"/>
          </w:tcPr>
          <w:p>
            <w:pPr>
              <w:jc w:val="center"/>
              <w:ind w:left="276"/>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16"/>
                <w:szCs w:val="16"/>
                <w:color w:val="auto"/>
              </w:rPr>
            </w:pPr>
          </w:p>
        </w:tc>
        <w:tc>
          <w:tcPr>
            <w:tcW w:w="540" w:type="dxa"/>
            <w:vAlign w:val="bottom"/>
            <w:gridSpan w:val="2"/>
          </w:tcPr>
          <w:p>
            <w:pPr>
              <w:jc w:val="center"/>
              <w:ind w:left="99"/>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6"/>
                <w:szCs w:val="16"/>
                <w:color w:val="auto"/>
              </w:rPr>
            </w:pPr>
          </w:p>
        </w:tc>
      </w:tr>
      <w:tr>
        <w:trPr>
          <w:trHeight w:val="93"/>
        </w:trPr>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$382</w:t>
            </w:r>
          </w:p>
        </w:tc>
        <w:tc>
          <w:tcPr>
            <w:tcW w:w="92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89"/>
              </w:rPr>
              <w:t>$420</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$411</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sundry income</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475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411</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FIN-18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2015 is a significant shareholder of the Company, owning Class A and Class B common shares representing a 44.43% voting interest in the Company.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and from CMA CGM companies are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companies presented within current liabilities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20" w:type="dxa"/>
            <w:vAlign w:val="bottom"/>
            <w:gridSpan w:val="2"/>
          </w:tcPr>
          <w:p>
            <w:pPr>
              <w:spacing w:after="0"/>
              <w:rPr>
                <w:sz w:val="20"/>
                <w:szCs w:val="20"/>
                <w:color w:val="auto"/>
              </w:rPr>
            </w:pPr>
            <w:r>
              <w:rPr>
                <w:rFonts w:ascii="Arial" w:cs="Arial" w:eastAsia="Arial" w:hAnsi="Arial"/>
                <w:sz w:val="18"/>
                <w:szCs w:val="18"/>
                <w:color w:val="auto"/>
              </w:rPr>
              <w:t>Amounts due from CMA CGM companies presented within current assets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2,124</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440"/>
        <w:spacing w:after="0" w:line="264" w:lineRule="auto"/>
        <w:rPr>
          <w:sz w:val="20"/>
          <w:szCs w:val="20"/>
          <w:color w:val="auto"/>
        </w:rPr>
      </w:pPr>
      <w:r>
        <w:rPr>
          <w:rFonts w:ascii="Arial" w:cs="Arial" w:eastAsia="Arial" w:hAnsi="Arial"/>
          <w:sz w:val="18"/>
          <w:szCs w:val="18"/>
          <w:color w:val="auto"/>
        </w:rPr>
        <w:t>The current account balances at December 31, 2015 and December 31, 2014 relate to amounts payable to or recoverable from CMA CGM group companies. The majority of the Company’s charter arrangements are with CMA CGM and one of its subsidiaries provides the Company with ship management services on the majority of its vessels.</w:t>
      </w:r>
    </w:p>
    <w:p>
      <w:pPr>
        <w:spacing w:after="0" w:line="73"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CMA CGM held all of the Series A Preferred Shares of the Company until they were fully redeemed, at a discount, pursuant to a Share Repurchase Agreement on August 22, 2014 (see note 11). Due to the redemption there were no dividends on these preferred shares for the year ended December 31, 2015 (2014: $653, 2013: $1,037). Dividends on these preferred shares are included within interest expense.</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121"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The majority of the Company’s time charter arrangements are with CMA CGM. Under these time charters, hire is payable in advance and the daily rate is fixed for the duration of the charter. The charters are for remaining periods as at December 31, 2015 of between 2.00 and 10.00 years (see note 2(a)). Of the $790,724 maximum contracted future charter hire receivable for the fleet set out in note 10, $701,162 relates to the 15 vessels that were chartered to CMA CGM as at December 31, 2015. Revenues generated from charters to CMA CGM are summarized as follows:</w:t>
      </w:r>
    </w:p>
    <w:p>
      <w:pPr>
        <w:spacing w:after="0" w:line="173"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 December 31,</w:t>
      </w:r>
    </w:p>
    <w:p>
      <w:pPr>
        <w:spacing w:after="0" w:line="4" w:lineRule="exact"/>
        <w:rPr>
          <w:sz w:val="20"/>
          <w:szCs w:val="20"/>
          <w:color w:val="auto"/>
        </w:rPr>
      </w:pPr>
    </w:p>
    <w:p>
      <w:pPr>
        <w:ind w:left="7620"/>
        <w:spacing w:after="0"/>
        <w:tabs>
          <w:tab w:leader="none" w:pos="8760" w:val="left"/>
          <w:tab w:leader="none" w:pos="99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2"/>
          <w:szCs w:val="12"/>
          <w:color w:val="auto"/>
        </w:rPr>
        <w:t>2013</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 generated from charters to CMA CGM</w:t>
            </w:r>
          </w:p>
        </w:tc>
        <w:tc>
          <w:tcPr>
            <w:tcW w:w="2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133,351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133,426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143,212</w:t>
            </w:r>
          </w:p>
        </w:tc>
      </w:tr>
      <w:tr>
        <w:trPr>
          <w:trHeight w:val="20"/>
        </w:trPr>
        <w:tc>
          <w:tcPr>
            <w:tcW w:w="5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w:t>
      </w:r>
    </w:p>
    <w:p>
      <w:pPr>
        <w:spacing w:after="0" w:line="121"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At December 31, 2015, the Company outsourced day to day technical management of 13 of its vessels to CMA Ships Limited (“CMA Ships”), a wholly owned subsidiary of CMA CGM. The Company pays CMA Ships an annual management fee of $123 per vessel (2014: $123, 2013: $114) and reimburses costs incurred by CMA Ships on its behalf, mainly being for the provision of crew, lubricating oils and routine maintenance. Such reimbursement is subject to a cap per day per vessel, depending on the vessel. The impact of the cap is determined annually on a vessel by vessel basis for so long as the initial charters remain in place; no claims have been made under the cap agreement. Ship management fees expensed for the year ended December 31, 2015 amounted to $1,866 (2014: $2,091, 2013: $1,938).</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FIN-19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right="8380" w:hanging="452"/>
        <w:spacing w:after="0" w:line="425" w:lineRule="auto"/>
        <w:tabs>
          <w:tab w:leader="none" w:pos="449"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Charter Hire Receivable</w:t>
      </w:r>
    </w:p>
    <w:p>
      <w:pPr>
        <w:ind w:left="460" w:right="1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has entered into time charters for its vessels. The charter hire is fixed for the duration of the charter. The maximum contracted annual future charter hire receivable (not allowing for any offhire and assuming expiry at the mid-point between the earliest and latest possible end dates) for the 18 vessels subject to charters as at December 31, 2015 is as follows: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167,305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2019</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103,285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790,724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Share Capital</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At December 31, 2015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7"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secondly, to all Class A common shares until they have received payment for all preceding quarters at the rate of $0.23 per share per quarter;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70"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 dividend of $0.10 per Class A common share was paid on August 24, 2015 and on November 24, 2015. Prior to these, the last quarter for which a dividend was paid was the fourth quarter 2008 at $0.23 per Class A common share.</w:t>
      </w:r>
    </w:p>
    <w:p>
      <w:pPr>
        <w:spacing w:after="0" w:line="62"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Restricted stock units have been granted periodically to the Directors and management, under the Company’s 2008 Equity Incentive Plan, as part of their compensation arrangements (see note 13). On August 28, 2015, the Company adopted the 2015 Equity Incentive Plan. The 2008 Equity Incentive Plan was closed. No awards have been issued to date under the 2015 Plan which permits a maximum issuance of 1,500,000 shares.</w:t>
      </w:r>
    </w:p>
    <w:p>
      <w:pPr>
        <w:spacing w:after="0" w:line="39"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color w:val="auto"/>
        </w:rPr>
        <w:t>The Series A Preferred Shares ranked senior to the common shares and were mandatorily redeemable in 12 quarterly instalments commencing August 31, 2016. They were classified as a long-term liability. The dividend on the Series A Preferred shareholders was presented as part of interest expense in the consolidated statements of income. These shares, which had a liquidation value at maturity of $44,976, were redeemed on August 22, 2014, at a discount pursuant to a Share Repurchase Agreement for $36,400, using the proceeds received from the issuance of the Series B Preferred Shares, the balance of the restricted cash and cash on hand.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FIN-20</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(continued)</w:t>
      </w:r>
    </w:p>
    <w:p>
      <w:pPr>
        <w:spacing w:after="0" w:line="161"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August 20, 2014, the Company issued 1,400,000 depositary shares, each of which represents 1/100</w:t>
      </w:r>
      <w:r>
        <w:rPr>
          <w:rFonts w:ascii="Arial" w:cs="Arial" w:eastAsia="Arial" w:hAnsi="Arial"/>
          <w:sz w:val="13"/>
          <w:szCs w:val="13"/>
          <w:color w:val="auto"/>
        </w:rPr>
        <w:t>th</w:t>
      </w:r>
      <w:r>
        <w:rPr>
          <w:rFonts w:ascii="Arial" w:cs="Arial" w:eastAsia="Arial" w:hAnsi="Arial"/>
          <w:sz w:val="16"/>
          <w:szCs w:val="16"/>
          <w:color w:val="auto"/>
        </w:rPr>
        <w:t xml:space="preserve"> of one share of the Company’s 8.75% Series B Cumulative Redeemable Perpetual Preferred Shares (the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net proceeds from the offering were $33,497. These shares are classified as Equity in the Consolidated Balance Sheets. The dividends payable on the Series B Preferred Shares are presented as a reduction of Retained Earnings in the Consolidated Statements of Equity, when and if declared by the Board of Directors. An initial dividend was declared on September 22, 2014 for the third quarter 2014. Subsequent quarterly dividends have been declared, the last of which was on December 10, 2015 for the fourth quarter 2015.</w:t>
      </w:r>
    </w:p>
    <w:p>
      <w:pPr>
        <w:spacing w:after="0" w:line="3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Interest Rate Derivatives and Fair Value Measurements</w:t>
      </w:r>
    </w:p>
    <w:p>
      <w:pPr>
        <w:spacing w:after="0" w:line="121"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Prior to the issue of the 2019 Notes (see note 7(b)) the Company had been exposed to the impact of changes to interest rates on the floating rate debt drawn under the previous credit facility (see note 7(a)) which also required the Company to hedge at least 50% of any drawings. Accordingly, the Company entered into interest rate swap agreements to manage the exposure.</w:t>
      </w:r>
    </w:p>
    <w:p>
      <w:pPr>
        <w:spacing w:after="0" w:line="73"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On March 19, 2014 the secured credit facility was fully repaid and was replaced with the 2019 Notes, which have a fixed interest rate. The $277,000 nominal amount of outstanding interest rate swaps which had hedged the Company’s interest rate risk were terminated accordingly. The cost of the termination included an element of unsettled payments due under the swap agreements up to March 19, 2014 amounting to $307. This amount is included in the Consolidated Statements of Income as a realised loss on derivative instruments.</w:t>
      </w:r>
    </w:p>
    <w:p>
      <w:pPr>
        <w:spacing w:after="0" w:line="63"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During the periods when the interest rate swaps were outstanding, they were “marked to market” at each reporting date end and recorded at their fair values. This generated unrealized gains and losses. The unrealized gain on interest rate derivatives for the year ended December 31, 2014 was $1,944 (2013: $14,302).</w:t>
      </w:r>
    </w:p>
    <w:p>
      <w:pPr>
        <w:spacing w:after="0" w:line="73" w:lineRule="exact"/>
        <w:rPr>
          <w:sz w:val="20"/>
          <w:szCs w:val="20"/>
          <w:color w:val="auto"/>
        </w:rPr>
      </w:pPr>
    </w:p>
    <w:p>
      <w:pPr>
        <w:ind w:left="460" w:right="240"/>
        <w:spacing w:after="0" w:line="279" w:lineRule="auto"/>
        <w:rPr>
          <w:sz w:val="20"/>
          <w:szCs w:val="20"/>
          <w:color w:val="auto"/>
        </w:rPr>
      </w:pPr>
      <w:r>
        <w:rPr>
          <w:rFonts w:ascii="Arial" w:cs="Arial" w:eastAsia="Arial" w:hAnsi="Arial"/>
          <w:sz w:val="17"/>
          <w:szCs w:val="17"/>
          <w:color w:val="auto"/>
        </w:rPr>
        <w:t>None of the Company’s interest rate agreements qualified for hedge accounting and therefore the net changes in the fair value of the interest rate derivative assets and liabilities at each reporting period were reflected in the current period operations as unrealized gains and losses on derivatives. Cash flows related to interest rate derivatives (initial payments for the derivatives, periodic cash settlements and termination payments) are included within cash flows from investing activities in the Consolidated Statements of Cash Flows.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 as follows:</w:t>
      </w:r>
    </w:p>
    <w:p>
      <w:pPr>
        <w:spacing w:after="0" w:line="252"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17"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 and</w:t>
      </w:r>
    </w:p>
    <w:p>
      <w:pPr>
        <w:spacing w:after="0" w:line="117"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117"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Company’s derivative instruments were categorized as level 2 in the fair value hierarchy. Due to the termination of these instruments in the previous year, the fair value at the reporting date was $ nil (December 31, 2014: $ nil). Within the consolidated balance sheets, there are no offsets of recognized assets or liabilities related to these derivatives.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FIN-21</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6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August 2008, the Company’s Board adopted the 2008 Equity Incentive Plan (the “2008 Plan”), which enables management, consultants and Directors of the Company and its subsidiaries to receive options, stock appreciation rights, stock grants, stock units and dividend equivalents.</w:t>
      </w:r>
    </w:p>
    <w:p>
      <w:pPr>
        <w:spacing w:after="0" w:line="15"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2008 Plan is administered by the Board or a committee of the Board. The maximum aggregate number of Class A common shares that may be delivered pursuant to awards granted under the 2008 Plan during the 10-year term of the Plan was 1,500,000. The maximum number of Class A common shares with respect to which awards may be granted to any participant in the 2008 Plan in any fiscal year was 500,000. Awards totaling 1,498,123 Class A common shares were made under the 2008 Plan until it was closed for new awards in August 2015, when the 2015 Plan was adopted (see below).</w:t>
      </w:r>
    </w:p>
    <w:p>
      <w:pPr>
        <w:spacing w:after="0" w:line="80"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a stock grant awarded under the 2008 Plan has the same voting, dividend and other rights as the Company’s other Class A common shareholders when the grant vests and the shares are issued.</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Under the 2008 Plan, the Company issued the following share based awards since January 1, 2013:</w:t>
      </w:r>
    </w:p>
    <w:p>
      <w:pPr>
        <w:spacing w:after="0" w:line="244" w:lineRule="exact"/>
        <w:rPr>
          <w:sz w:val="20"/>
          <w:szCs w:val="20"/>
          <w:color w:val="auto"/>
        </w:rPr>
      </w:pPr>
    </w:p>
    <w:tbl>
      <w:tblPr>
        <w:tblLayout w:type="fixed"/>
        <w:tblInd w:w="694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Restricted Stock Units</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740" w:type="dxa"/>
            <w:vAlign w:val="bottom"/>
          </w:tcPr>
          <w:p>
            <w:pPr>
              <w:jc w:val="center"/>
              <w:ind w:left="168"/>
              <w:spacing w:after="0" w:line="123" w:lineRule="exact"/>
              <w:rPr>
                <w:sz w:val="20"/>
                <w:szCs w:val="20"/>
                <w:color w:val="auto"/>
              </w:rPr>
            </w:pPr>
            <w:r>
              <w:rPr>
                <w:rFonts w:ascii="Arial" w:cs="Arial" w:eastAsia="Arial" w:hAnsi="Arial"/>
                <w:sz w:val="14"/>
                <w:szCs w:val="14"/>
                <w:color w:val="auto"/>
                <w:w w:val="97"/>
              </w:rPr>
              <w:t>Actual</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ind w:left="440"/>
              <w:spacing w:after="0"/>
              <w:rPr>
                <w:sz w:val="20"/>
                <w:szCs w:val="20"/>
                <w:color w:val="auto"/>
              </w:rPr>
            </w:pPr>
            <w:r>
              <w:rPr>
                <w:rFonts w:ascii="Arial" w:cs="Arial" w:eastAsia="Arial" w:hAnsi="Arial"/>
                <w:sz w:val="14"/>
                <w:szCs w:val="14"/>
                <w:color w:val="auto"/>
              </w:rPr>
              <w:t>Number of Units</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15"/>
        </w:trPr>
        <w:tc>
          <w:tcPr>
            <w:tcW w:w="2080" w:type="dxa"/>
            <w:vAlign w:val="bottom"/>
            <w:gridSpan w:val="2"/>
            <w:vMerge w:val="continue"/>
          </w:tcPr>
          <w:p>
            <w:pPr>
              <w:spacing w:after="0"/>
              <w:rPr>
                <w:sz w:val="9"/>
                <w:szCs w:val="9"/>
                <w:color w:val="auto"/>
              </w:rPr>
            </w:pP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740" w:type="dxa"/>
            <w:vAlign w:val="bottom"/>
            <w:vMerge w:val="restart"/>
          </w:tcPr>
          <w:p>
            <w:pPr>
              <w:jc w:val="center"/>
              <w:ind w:left="168"/>
              <w:spacing w:after="0" w:line="149" w:lineRule="exact"/>
              <w:rPr>
                <w:sz w:val="20"/>
                <w:szCs w:val="20"/>
                <w:color w:val="auto"/>
              </w:rPr>
            </w:pPr>
            <w:r>
              <w:rPr>
                <w:rFonts w:ascii="Arial" w:cs="Arial" w:eastAsia="Arial" w:hAnsi="Arial"/>
                <w:sz w:val="14"/>
                <w:szCs w:val="14"/>
                <w:color w:val="auto"/>
                <w:w w:val="90"/>
              </w:rPr>
              <w:t>Value on</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5"/>
              </w:rPr>
              <w:t>on Grant</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89"/>
              </w:rPr>
              <w:t>Vesting</w:t>
            </w:r>
          </w:p>
        </w:tc>
        <w:tc>
          <w:tcPr>
            <w:tcW w:w="0" w:type="dxa"/>
            <w:vAlign w:val="bottom"/>
          </w:tcPr>
          <w:p>
            <w:pPr>
              <w:spacing w:after="0"/>
              <w:rPr>
                <w:sz w:val="1"/>
                <w:szCs w:val="1"/>
                <w:color w:val="auto"/>
              </w:rPr>
            </w:pPr>
          </w:p>
        </w:tc>
      </w:tr>
      <w:tr>
        <w:trPr>
          <w:trHeight w:val="182"/>
        </w:trPr>
        <w:tc>
          <w:tcPr>
            <w:tcW w:w="1020" w:type="dxa"/>
            <w:vAlign w:val="bottom"/>
          </w:tcPr>
          <w:p>
            <w:pPr>
              <w:ind w:left="20"/>
              <w:spacing w:after="0"/>
              <w:rPr>
                <w:sz w:val="20"/>
                <w:szCs w:val="20"/>
                <w:color w:val="auto"/>
              </w:rPr>
            </w:pPr>
            <w:r>
              <w:rPr>
                <w:rFonts w:ascii="Arial" w:cs="Arial" w:eastAsia="Arial" w:hAnsi="Arial"/>
                <w:sz w:val="14"/>
                <w:szCs w:val="14"/>
                <w:color w:val="auto"/>
              </w:rPr>
              <w:t>Management</w:t>
            </w:r>
          </w:p>
        </w:tc>
        <w:tc>
          <w:tcPr>
            <w:tcW w:w="1060" w:type="dxa"/>
            <w:vAlign w:val="bottom"/>
          </w:tcPr>
          <w:p>
            <w:pPr>
              <w:ind w:left="260"/>
              <w:spacing w:after="0"/>
              <w:rPr>
                <w:sz w:val="20"/>
                <w:szCs w:val="20"/>
                <w:color w:val="auto"/>
              </w:rPr>
            </w:pPr>
            <w:r>
              <w:rPr>
                <w:rFonts w:ascii="Arial" w:cs="Arial" w:eastAsia="Arial" w:hAnsi="Arial"/>
                <w:sz w:val="14"/>
                <w:szCs w:val="14"/>
                <w:color w:val="auto"/>
              </w:rPr>
              <w:t>Directors</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740" w:type="dxa"/>
            <w:vAlign w:val="bottom"/>
          </w:tcPr>
          <w:p>
            <w:pPr>
              <w:jc w:val="center"/>
              <w:ind w:left="168"/>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1"/>
              </w:rPr>
              <w:t>3.22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Vested in January 2013</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(32,070)</w:t>
            </w:r>
          </w:p>
        </w:tc>
        <w:tc>
          <w:tcPr>
            <w:tcW w:w="200" w:type="dxa"/>
            <w:vAlign w:val="bottom"/>
          </w:tcPr>
          <w:p>
            <w:pPr>
              <w:spacing w:after="0"/>
              <w:rPr>
                <w:sz w:val="18"/>
                <w:szCs w:val="18"/>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3.43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7, 2013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27,550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Unvested as at December 31, 2013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27,550</w:t>
            </w:r>
          </w:p>
        </w:tc>
        <w:tc>
          <w:tcPr>
            <w:tcW w:w="4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3.26</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(27,550)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Unvested as at December 31, 2014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3.25</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2015</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Unvested as at December 31,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3.25</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units granted to Directors on March 13, 2012 and March 7, 2013 vested in January 2013 and January 2014 respectively.</w:t>
      </w:r>
    </w:p>
    <w:p>
      <w:pPr>
        <w:spacing w:after="0" w:line="117"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was after September 30, 2012 in respect of half of the grant and after September 30, 2013 for the other half of the grant. Restricted stock units granted to management on March 13, 2012 are expected to vest when the individual leaves employment, provided that this is after September 30, 2014 and is not as a result of resignation or termination for cause. Restricted stock units granted to management on March 7, 2013 are expected to vest when the individual leaves employment, provided that this is after September 30, 2015 and is not as a result of resignation or termination for cause.</w:t>
      </w:r>
    </w:p>
    <w:p>
      <w:pPr>
        <w:spacing w:after="0" w:line="70"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grants issued on March 13, 2012 and March 7, 2013, the fair value at the grant date was the closing price for the common stock on that date.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 value has not been discounted as no dividends were expected to be paid on the common stock at that time.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FIN-22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During the year ended December 31, 2015 the Company recognized a total of $75 (2014: $177, 2013: $360) in respect of share based compensation</w:t>
      </w:r>
    </w:p>
    <w:p>
      <w:pPr>
        <w:spacing w:after="0" w:line="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costs. As at December 31, 2015 there were no unrecognized compensation costs relating to the above share based awards (2014: $75).</w:t>
      </w:r>
    </w:p>
    <w:p>
      <w:pPr>
        <w:spacing w:after="0" w:line="102"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August 28, 2015, the Company adopted the 2015 Equity Incentive Plan (the “2015 Plan”), which allows the Board of Directors to grant employees, consultants and directors of the company and its subsidiaries options, stock appreciation rights, stock grants, stock units and dividend equivalents on substantially the same terms as the 2008 Plan, which was closed for further awards. The 2015 Plan permits a maximum issuance of 1,500,000 shares. No awards had been issued by December 31, 2015.</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Risks Associated with Concentration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131"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derives the majority of its revenue from CMA CGM which is exposed to the cyclicality of the container shipping industry.</w:t>
      </w:r>
    </w:p>
    <w:p>
      <w:pPr>
        <w:spacing w:after="0" w:line="142" w:lineRule="exact"/>
        <w:rPr>
          <w:rFonts w:ascii="Arial" w:cs="Arial" w:eastAsia="Arial" w:hAnsi="Arial"/>
          <w:sz w:val="17"/>
          <w:szCs w:val="17"/>
          <w:color w:val="auto"/>
        </w:rPr>
      </w:pPr>
    </w:p>
    <w:p>
      <w:pPr>
        <w:ind w:left="900" w:right="280" w:hanging="446"/>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2015 to the extent that substantially all of the amounts are deposited with three banks (2014; three banks). However, the Company believes this risk is remote as the banks are high credit quality financial institutions.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62"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The Class B common shareholders’ dividend rights are subordinated to those of holders of Class A common shares (see note 11).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50"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3" w:lineRule="exact"/>
        <w:rPr>
          <w:sz w:val="20"/>
          <w:szCs w:val="20"/>
          <w:color w:val="auto"/>
        </w:rPr>
      </w:pPr>
    </w:p>
    <w:p>
      <w:pPr>
        <w:ind w:left="460" w:right="880"/>
        <w:spacing w:after="0" w:line="277" w:lineRule="auto"/>
        <w:rPr>
          <w:sz w:val="20"/>
          <w:szCs w:val="20"/>
          <w:color w:val="auto"/>
        </w:rPr>
      </w:pPr>
      <w:r>
        <w:rPr>
          <w:rFonts w:ascii="Arial" w:cs="Arial" w:eastAsia="Arial" w:hAnsi="Arial"/>
          <w:sz w:val="18"/>
          <w:szCs w:val="18"/>
          <w:color w:val="auto"/>
        </w:rPr>
        <w:t>At December 31, 2015, there were 300,000 restricted stock units granted and unvested as part of management’s equity incentive plan. As of December 31, 2015 only Class A and B common shares are participating securities.</w:t>
      </w:r>
    </w:p>
    <w:p>
      <w:pPr>
        <w:spacing w:after="0" w:line="62" w:lineRule="exact"/>
        <w:rPr>
          <w:sz w:val="20"/>
          <w:szCs w:val="20"/>
          <w:color w:val="auto"/>
        </w:rPr>
      </w:pPr>
    </w:p>
    <w:p>
      <w:pPr>
        <w:ind w:left="460" w:right="100"/>
        <w:spacing w:after="0" w:line="302" w:lineRule="auto"/>
        <w:rPr>
          <w:sz w:val="20"/>
          <w:szCs w:val="20"/>
          <w:color w:val="auto"/>
        </w:rPr>
      </w:pPr>
      <w:r>
        <w:rPr>
          <w:rFonts w:ascii="Arial" w:cs="Arial" w:eastAsia="Arial" w:hAnsi="Arial"/>
          <w:sz w:val="16"/>
          <w:szCs w:val="16"/>
          <w:color w:val="auto"/>
        </w:rPr>
        <w:t>For the year ended December 31, 2015, the diluted weighted average number of Class A common shares outstanding is the same as the basic weighted average number of shares outstanding, including the RSU’s without service conditions. The diluted weighted average number of shares excludes the outstanding share-based incentive awards as these would have had an antidilutive effect. For the years ended December 31, 2014 and December 31, 2013, the diluted weighted average number of shares includes the incremental effect of outstanding share-based incentive awards.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FIN-23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Earnings per Share (continued)</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Year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96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Basic weighted average number of common shares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outstanding (B)</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47,541,484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47,541,409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47,513,846</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RSU’s without service conditions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13) (B)</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243,904</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168,904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93,904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Dilutive effect of share-based incentive awards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113,423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159,516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and common share equivalents (F)</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47,785,388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47,823,736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47,767,266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common shares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7,405,956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Dilutive effect of share-based incentive awards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Available to:</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Class A (A)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(loss) income available for Class B (C)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Class A (A/B)</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(C/D)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Available to:</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Class A (E)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(loss) income available for Class B (G)</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Class A (E/F)</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(G/H)</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On February 2, 2016, the Company launched a combined Excess Cash Flow Offer for 2015 and the Collateral Sale Offer following the sale of two vessels (see note 9(b)) in an aggregate amount of $28,417 (“Maximum Offer Amount”) to holders of our 2019 Notes. The offer was at a purchase price of 102% of the aggregate principal amount plus accrued and unpaid interest up to but not including the date of purchase. At the close of this offer on March 14, 2016, the Notes tendered exceeded the Maximum Offer Amount and $26,662 were accepted on a pro rata basis, with settlement being made on March 16, 2016.</w:t>
      </w:r>
    </w:p>
    <w:p>
      <w:pPr>
        <w:spacing w:after="0" w:line="188"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On March 3, 2016 and pursuant to the 2015 Plan (see note 13), restricted stock units were granted to four members of management divided into two tranches. The first tranche (100,000 restricted stock units) will vest when the individual leaves employment, provided that this is after December 31, 2016 and is not for cause. The second tranche (100,000 restricted stock units) also vests after December 31, 2016 on the same terms, but in addition only if and when the stock price has been at or above $5.00 for 20 consecutive trading days and provided that this has occurred before December 31, 2019. On March 31, 2016, 8,529 shares were issued under the 2015 Plan, representing 20% of directors’ base fee for the quarter ended March 31, 2016.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dividend of $54.6875 per Series B Preferred Share was declared on March 8, 2016 for the first quarter 2016.</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FIN-24</w:t>
      </w:r>
    </w:p>
    <w:p>
      <w:pPr>
        <w:sectPr>
          <w:pgSz w:w="11900" w:h="16838" w:orient="portrait"/>
          <w:cols w:equalWidth="0" w:num="1">
            <w:col w:w="11400"/>
          </w:cols>
          <w:pgMar w:left="240" w:top="459" w:right="259" w:bottom="491"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8.1</w:t>
      </w:r>
    </w:p>
    <w:p>
      <w:pPr>
        <w:spacing w:after="0" w:line="216"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LIST OF SUBSIDIARIES OF GLOBAL SHIP LEASE, INC.</w:t>
      </w:r>
    </w:p>
    <w:p>
      <w:pPr>
        <w:spacing w:after="0" w:line="238"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40" w:type="dxa"/>
            <w:vAlign w:val="bottom"/>
          </w:tcPr>
          <w:p>
            <w:pPr>
              <w:ind w:left="860"/>
              <w:spacing w:after="0"/>
              <w:rPr>
                <w:sz w:val="20"/>
                <w:szCs w:val="20"/>
                <w:color w:val="auto"/>
              </w:rPr>
            </w:pPr>
            <w:r>
              <w:rPr>
                <w:rFonts w:ascii="Arial" w:cs="Arial" w:eastAsia="Arial" w:hAnsi="Arial"/>
                <w:sz w:val="14"/>
                <w:szCs w:val="14"/>
                <w:b w:val="1"/>
                <w:bCs w:val="1"/>
                <w:color w:val="auto"/>
              </w:rPr>
              <w:t>Jurisdiction of Incorporation</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Global Ship Lease Services Limited</w:t>
            </w:r>
          </w:p>
        </w:tc>
        <w:tc>
          <w:tcPr>
            <w:tcW w:w="82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1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2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3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4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5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6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7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8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9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10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11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12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13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14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15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16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17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Cyprus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18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Republic of the Marshall Islands</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19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Republic of the Marshall Islands</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20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21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Ship Lease 22 Limited</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Global Ship Lease 23 Limited</w:t>
            </w:r>
          </w:p>
        </w:tc>
        <w:tc>
          <w:tcPr>
            <w:tcW w:w="4360" w:type="dxa"/>
            <w:vAlign w:val="bottom"/>
            <w:gridSpan w:val="2"/>
          </w:tcPr>
          <w:p>
            <w:pPr>
              <w:ind w:left="82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GSL Alcazar Inc.</w:t>
            </w:r>
          </w:p>
        </w:tc>
        <w:tc>
          <w:tcPr>
            <w:tcW w:w="4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Republic of the Marshall Islands</w:t>
            </w:r>
          </w:p>
        </w:tc>
      </w:tr>
    </w:tbl>
    <w:p>
      <w:pPr>
        <w:sectPr>
          <w:pgSz w:w="11900" w:h="16838" w:orient="portrait"/>
          <w:cols w:equalWidth="0" w:num="1">
            <w:col w:w="10220"/>
          </w:cols>
          <w:pgMar w:left="14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12.1</w:t>
      </w:r>
    </w:p>
    <w:p>
      <w:pPr>
        <w:spacing w:after="0" w:line="216"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140" w:right="160" w:hanging="565"/>
        <w:spacing w:after="0" w:line="342" w:lineRule="auto"/>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400" w:hanging="452"/>
        <w:spacing w:after="0" w:line="308"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140" w:right="500" w:hanging="565"/>
        <w:spacing w:after="0" w:line="277" w:lineRule="auto"/>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April 15, 2016</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Ian J. Webber</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J. Webber</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12.2</w:t>
      </w:r>
    </w:p>
    <w:p>
      <w:pPr>
        <w:spacing w:after="0" w:line="216"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4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140" w:right="160" w:hanging="565"/>
        <w:spacing w:after="0" w:line="342" w:lineRule="auto"/>
        <w:tabs>
          <w:tab w:leader="none" w:pos="11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400" w:hanging="452"/>
        <w:spacing w:after="0" w:line="308"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140" w:right="500" w:hanging="565"/>
        <w:spacing w:after="0" w:line="277" w:lineRule="auto"/>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April 15, 2016</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Susan J. Cook</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Susan J. Cook</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Annual Report of Global Ship Lease, Inc. (the “Company”) on Form 20-F for the year ended December 31, 2015 as filed with the Securities and Exchange Commission on the date hereof (the “Form 20-F”), I Ian J. Webber, Chief Executive Officer of the Company, certify, pursuant to 18 U.S.C. §1350, as adopted pursuant to §906 of the Sarbanes-Oxley Act of 2002, that:</w:t>
      </w:r>
    </w:p>
    <w:p>
      <w:pPr>
        <w:spacing w:after="0" w:line="87" w:lineRule="exact"/>
        <w:rPr>
          <w:sz w:val="20"/>
          <w:szCs w:val="20"/>
          <w:color w:val="auto"/>
        </w:rPr>
      </w:pPr>
    </w:p>
    <w:p>
      <w:pPr>
        <w:ind w:left="90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April 15, 2016</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Ian J. Webber</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J. Webber</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Annual Report of Global Ship Lease, Inc. (the “Company”) on Form 20-F for the year ended December 31, 2015 as filed with the Securities and Exchange Commission on the date hereof (the “Form 20-F”), I Susan J. Cook, Chief Financial Officer of the Company, certify, pursuant to 18 U.S.C. §1350, as adopted pursuant to §906 of the Sarbanes-Oxley Act of 2002, that:</w:t>
      </w:r>
    </w:p>
    <w:p>
      <w:pPr>
        <w:spacing w:after="0" w:line="87" w:lineRule="exact"/>
        <w:rPr>
          <w:sz w:val="20"/>
          <w:szCs w:val="20"/>
          <w:color w:val="auto"/>
        </w:rPr>
      </w:pPr>
    </w:p>
    <w:p>
      <w:pPr>
        <w:ind w:left="90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April 15, 2016</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Susan J. Cook</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Susan J. Cook</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20" w:firstLine="456"/>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 8 (Nos. 333-156454 and 333-206668) and the Registration Statement on Form F-3 (No. 333-197518), each of Global Ship Lease, Inc. of our report dated April 15, 2016 relating to the consolidated financial statements and the effectiveness of internal control over financial reporting, which appears in this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1)"/>
      <w:numFmt w:val="decimal"/>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decimal"/>
      <w:start w:val="2"/>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1)"/>
      <w:numFmt w:val="decimal"/>
      <w:start w:val="2"/>
    </w:lvl>
  </w:abstractNum>
  <w:abstractNum w:abstractNumId="35">
    <w:nsid w:val="42C296BD"/>
    <w:multiLevelType w:val="hybridMultilevel"/>
    <w:lvl w:ilvl="0">
      <w:lvlJc w:val="left"/>
      <w:lvlText w:val="(%1)"/>
      <w:numFmt w:val="upperLetter"/>
      <w:start w:val="7"/>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lowerLetter"/>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2"/>
    </w:lvl>
    <w:lvl w:ilvl="1">
      <w:lvlJc w:val="left"/>
      <w:lvlText w:val="(%2)"/>
      <w:numFmt w:val="lowerLetter"/>
      <w:start w:val="1"/>
    </w:lvl>
  </w:abstractNum>
  <w:abstractNum w:abstractNumId="55">
    <w:nsid w:val="14330624"/>
    <w:multiLevelType w:val="hybridMultilevel"/>
    <w:lvl w:ilvl="0">
      <w:lvlJc w:val="left"/>
      <w:lvlText w:val="(%1)"/>
      <w:numFmt w:val="lowerLetter"/>
      <w:start w:val="2"/>
    </w:lvl>
  </w:abstractNum>
  <w:abstractNum w:abstractNumId="56">
    <w:nsid w:val="7FFFCA11"/>
    <w:multiLevelType w:val="hybridMultilevel"/>
    <w:lvl w:ilvl="0">
      <w:lvlJc w:val="left"/>
      <w:lvlText w:val="%1."/>
      <w:numFmt w:val="decimal"/>
      <w:start w:val="3"/>
    </w:lvl>
  </w:abstractNum>
  <w:abstractNum w:abstractNumId="57">
    <w:nsid w:val="1A27709E"/>
    <w:multiLevelType w:val="hybridMultilevel"/>
    <w:lvl w:ilvl="0">
      <w:lvlJc w:val="left"/>
      <w:lvlText w:val="(%1)"/>
      <w:numFmt w:val="lowerLetter"/>
      <w:start w:val="1"/>
    </w:lvl>
  </w:abstractNum>
  <w:abstractNum w:abstractNumId="58">
    <w:nsid w:val="71EA1109"/>
    <w:multiLevelType w:val="hybridMultilevel"/>
    <w:lvl w:ilvl="0">
      <w:lvlJc w:val="left"/>
      <w:lvlText w:val="(%1)"/>
      <w:numFmt w:val="lowerLetter"/>
      <w:start w:val="2"/>
    </w:lvl>
  </w:abstractNum>
  <w:abstractNum w:abstractNumId="59">
    <w:nsid w:val="100F59DC"/>
    <w:multiLevelType w:val="hybridMultilevel"/>
    <w:lvl w:ilvl="0">
      <w:lvlJc w:val="left"/>
      <w:lvlText w:val="(%1)"/>
      <w:numFmt w:val="lowerLetter"/>
      <w:start w:val="3"/>
    </w:lvl>
  </w:abstractNum>
  <w:abstractNum w:abstractNumId="60">
    <w:nsid w:val="7FB7E0AA"/>
    <w:multiLevelType w:val="hybridMultilevel"/>
    <w:lvl w:ilvl="0">
      <w:lvlJc w:val="left"/>
      <w:lvlText w:val="(%1)"/>
      <w:numFmt w:val="lowerLetter"/>
      <w:start w:val="4"/>
    </w:lvl>
  </w:abstractNum>
  <w:abstractNum w:abstractNumId="61">
    <w:nsid w:val="6EB5BD4"/>
    <w:multiLevelType w:val="hybridMultilevel"/>
    <w:lvl w:ilvl="0">
      <w:lvlJc w:val="left"/>
      <w:lvlText w:val="%1."/>
      <w:numFmt w:val="decimal"/>
      <w:start w:val="3"/>
    </w:lvl>
  </w:abstractNum>
  <w:abstractNum w:abstractNumId="62">
    <w:nsid w:val="6F6DD9AC"/>
    <w:multiLevelType w:val="hybridMultilevel"/>
    <w:lvl w:ilvl="0">
      <w:lvlJc w:val="left"/>
      <w:lvlText w:val="(%1)"/>
      <w:numFmt w:val="lowerLetter"/>
      <w:start w:val="5"/>
    </w:lvl>
  </w:abstractNum>
  <w:abstractNum w:abstractNumId="63">
    <w:nsid w:val="94211F2"/>
    <w:multiLevelType w:val="hybridMultilevel"/>
    <w:lvl w:ilvl="0">
      <w:lvlJc w:val="left"/>
      <w:lvlText w:val="(%1)"/>
      <w:numFmt w:val="lowerLetter"/>
      <w:start w:val="6"/>
    </w:lvl>
  </w:abstractNum>
  <w:abstractNum w:abstractNumId="64">
    <w:nsid w:val="885E1B"/>
    <w:multiLevelType w:val="hybridMultilevel"/>
    <w:lvl w:ilvl="0">
      <w:lvlJc w:val="left"/>
      <w:lvlText w:val="(%1)"/>
      <w:numFmt w:val="lowerLetter"/>
      <w:start w:val="7"/>
    </w:lvl>
  </w:abstractNum>
  <w:abstractNum w:abstractNumId="65">
    <w:nsid w:val="76272110"/>
    <w:multiLevelType w:val="hybridMultilevel"/>
    <w:lvl w:ilvl="0">
      <w:lvlJc w:val="left"/>
      <w:lvlText w:val="%1."/>
      <w:numFmt w:val="decimal"/>
      <w:start w:val="3"/>
    </w:lvl>
    <w:lvl w:ilvl="1">
      <w:lvlJc w:val="left"/>
      <w:lvlText w:val="(%2)"/>
      <w:numFmt w:val="lowerLetter"/>
      <w:start w:val="8"/>
    </w:lvl>
  </w:abstractNum>
  <w:abstractNum w:abstractNumId="66">
    <w:nsid w:val="4C04A8AF"/>
    <w:multiLevelType w:val="hybridMultilevel"/>
    <w:lvl w:ilvl="0">
      <w:lvlJc w:val="left"/>
      <w:lvlText w:val="(%1)"/>
      <w:numFmt w:val="lowerRoman"/>
      <w:start w:val="2"/>
    </w:lvl>
  </w:abstractNum>
  <w:abstractNum w:abstractNumId="67">
    <w:nsid w:val="1716703B"/>
    <w:multiLevelType w:val="hybridMultilevel"/>
    <w:lvl w:ilvl="0">
      <w:lvlJc w:val="left"/>
      <w:lvlText w:val="(%1)"/>
      <w:numFmt w:val="lowerRoman"/>
      <w:start w:val="1"/>
    </w:lvl>
  </w:abstractNum>
  <w:abstractNum w:abstractNumId="68">
    <w:nsid w:val="14E17E33"/>
    <w:multiLevelType w:val="hybridMultilevel"/>
    <w:lvl w:ilvl="0">
      <w:lvlJc w:val="left"/>
      <w:lvlText w:val="(%1)"/>
      <w:numFmt w:val="lowerLetter"/>
      <w:start w:val="10"/>
    </w:lvl>
  </w:abstractNum>
  <w:abstractNum w:abstractNumId="69">
    <w:nsid w:val="3222E7CD"/>
    <w:multiLevelType w:val="hybridMultilevel"/>
    <w:lvl w:ilvl="0">
      <w:lvlJc w:val="left"/>
      <w:lvlText w:val="%1."/>
      <w:numFmt w:val="decimal"/>
      <w:start w:val="3"/>
    </w:lvl>
    <w:lvl w:ilvl="1">
      <w:lvlJc w:val="left"/>
      <w:lvlText w:val="(%2)"/>
      <w:numFmt w:val="lowerLetter"/>
      <w:start w:val="10"/>
    </w:lvl>
  </w:abstractNum>
  <w:abstractNum w:abstractNumId="70">
    <w:nsid w:val="74DE0EE3"/>
    <w:multiLevelType w:val="hybridMultilevel"/>
    <w:lvl w:ilvl="0">
      <w:lvlJc w:val="left"/>
      <w:lvlText w:val="(%1)"/>
      <w:numFmt w:val="lowerLetter"/>
      <w:start w:val="11"/>
    </w:lvl>
  </w:abstractNum>
  <w:abstractNum w:abstractNumId="71">
    <w:nsid w:val="68EBC550"/>
    <w:multiLevelType w:val="hybridMultilevel"/>
    <w:lvl w:ilvl="0">
      <w:lvlJc w:val="left"/>
      <w:lvlText w:val="(%1)"/>
      <w:numFmt w:val="lowerLetter"/>
      <w:start w:val="12"/>
    </w:lvl>
  </w:abstractNum>
  <w:abstractNum w:abstractNumId="72">
    <w:nsid w:val="2DF6D648"/>
    <w:multiLevelType w:val="hybridMultilevel"/>
    <w:lvl w:ilvl="0">
      <w:lvlJc w:val="left"/>
      <w:lvlText w:val="(%1)"/>
      <w:numFmt w:val="lowerLetter"/>
      <w:start w:val="13"/>
    </w:lvl>
  </w:abstractNum>
  <w:abstractNum w:abstractNumId="73">
    <w:nsid w:val="46B7D447"/>
    <w:multiLevelType w:val="hybridMultilevel"/>
    <w:lvl w:ilvl="0">
      <w:lvlJc w:val="left"/>
      <w:lvlText w:val="%1."/>
      <w:numFmt w:val="decimal"/>
      <w:start w:val="3"/>
    </w:lvl>
  </w:abstractNum>
  <w:abstractNum w:abstractNumId="74">
    <w:nsid w:val="4A2AC315"/>
    <w:multiLevelType w:val="hybridMultilevel"/>
    <w:lvl w:ilvl="0">
      <w:lvlJc w:val="left"/>
      <w:lvlText w:val="(%1)"/>
      <w:numFmt w:val="lowerLetter"/>
      <w:start w:val="14"/>
    </w:lvl>
  </w:abstractNum>
  <w:abstractNum w:abstractNumId="75">
    <w:nsid w:val="39EE015C"/>
    <w:multiLevelType w:val="hybridMultilevel"/>
    <w:lvl w:ilvl="0">
      <w:lvlJc w:val="left"/>
      <w:lvlText w:val="(%1)"/>
      <w:numFmt w:val="lowerLetter"/>
      <w:start w:val="15"/>
    </w:lvl>
  </w:abstractNum>
  <w:abstractNum w:abstractNumId="76">
    <w:nsid w:val="57FC4FBB"/>
    <w:multiLevelType w:val="hybridMultilevel"/>
    <w:lvl w:ilvl="0">
      <w:lvlJc w:val="left"/>
      <w:lvlText w:val="(%1)"/>
      <w:numFmt w:val="lowerLetter"/>
      <w:start w:val="16"/>
    </w:lvl>
  </w:abstractNum>
  <w:abstractNum w:abstractNumId="77">
    <w:nsid w:val="CC1016F"/>
    <w:multiLevelType w:val="hybridMultilevel"/>
    <w:lvl w:ilvl="0">
      <w:lvlJc w:val="left"/>
      <w:lvlText w:val="(%1)"/>
      <w:numFmt w:val="lowerLetter"/>
      <w:start w:val="17"/>
    </w:lvl>
  </w:abstractNum>
  <w:abstractNum w:abstractNumId="78">
    <w:nsid w:val="43F18422"/>
    <w:multiLevelType w:val="hybridMultilevel"/>
    <w:lvl w:ilvl="0">
      <w:lvlJc w:val="left"/>
      <w:lvlText w:val="(%1)"/>
      <w:numFmt w:val="lowerLetter"/>
      <w:start w:val="18"/>
    </w:lvl>
  </w:abstractNum>
  <w:abstractNum w:abstractNumId="79">
    <w:nsid w:val="60EF0119"/>
    <w:multiLevelType w:val="hybridMultilevel"/>
    <w:lvl w:ilvl="0">
      <w:lvlJc w:val="left"/>
      <w:lvlText w:val="(%1)"/>
      <w:numFmt w:val="lowerLetter"/>
      <w:start w:val="19"/>
    </w:lvl>
  </w:abstractNum>
  <w:abstractNum w:abstractNumId="80">
    <w:nsid w:val="26F324BA"/>
    <w:multiLevelType w:val="hybridMultilevel"/>
    <w:lvl w:ilvl="0">
      <w:lvlJc w:val="left"/>
      <w:lvlText w:val="(%1)"/>
      <w:numFmt w:val="lowerLetter"/>
      <w:start w:val="20"/>
    </w:lvl>
  </w:abstractNum>
  <w:abstractNum w:abstractNumId="81">
    <w:nsid w:val="7F01579B"/>
    <w:multiLevelType w:val="hybridMultilevel"/>
    <w:lvl w:ilvl="0">
      <w:lvlJc w:val="left"/>
      <w:lvlText w:val="%1."/>
      <w:numFmt w:val="decimal"/>
      <w:start w:val="3"/>
    </w:lvl>
  </w:abstractNum>
  <w:abstractNum w:abstractNumId="82">
    <w:nsid w:val="49DA307D"/>
    <w:multiLevelType w:val="hybridMultilevel"/>
    <w:lvl w:ilvl="0">
      <w:lvlJc w:val="left"/>
      <w:lvlText w:val="(%1)"/>
      <w:numFmt w:val="lowerLetter"/>
      <w:start w:val="21"/>
    </w:lvl>
  </w:abstractNum>
  <w:abstractNum w:abstractNumId="83">
    <w:nsid w:val="7055A5F5"/>
    <w:multiLevelType w:val="hybridMultilevel"/>
    <w:lvl w:ilvl="0">
      <w:lvlJc w:val="left"/>
      <w:lvlText w:val="(%1)"/>
      <w:numFmt w:val="lowerRoman"/>
      <w:start w:val="5"/>
    </w:lvl>
  </w:abstractNum>
  <w:abstractNum w:abstractNumId="84">
    <w:nsid w:val="5FB8370B"/>
    <w:multiLevelType w:val="hybridMultilevel"/>
    <w:lvl w:ilvl="0">
      <w:lvlJc w:val="left"/>
      <w:lvlText w:val="(%1)"/>
      <w:numFmt w:val="lowerLetter"/>
      <w:start w:val="23"/>
    </w:lvl>
  </w:abstractNum>
  <w:abstractNum w:abstractNumId="85">
    <w:nsid w:val="50801EE1"/>
    <w:multiLevelType w:val="hybridMultilevel"/>
    <w:lvl w:ilvl="0">
      <w:lvlJc w:val="left"/>
      <w:lvlText w:val="(%1)"/>
      <w:numFmt w:val="lowerRoman"/>
      <w:start w:val="10"/>
    </w:lvl>
  </w:abstractNum>
  <w:abstractNum w:abstractNumId="86">
    <w:nsid w:val="488AC1A"/>
    <w:multiLevelType w:val="hybridMultilevel"/>
    <w:lvl w:ilvl="0">
      <w:lvlJc w:val="left"/>
      <w:lvlText w:val="%1."/>
      <w:numFmt w:val="decimal"/>
      <w:start w:val="3"/>
    </w:lvl>
  </w:abstractNum>
  <w:abstractNum w:abstractNumId="87">
    <w:nsid w:val="5FB8011C"/>
    <w:multiLevelType w:val="hybridMultilevel"/>
    <w:lvl w:ilvl="0">
      <w:lvlJc w:val="left"/>
      <w:lvlText w:val="(%1)"/>
      <w:numFmt w:val="lowerLetter"/>
      <w:start w:val="25"/>
    </w:lvl>
  </w:abstractNum>
  <w:abstractNum w:abstractNumId="88">
    <w:nsid w:val="6AA78F7F"/>
    <w:multiLevelType w:val="hybridMultilevel"/>
    <w:lvl w:ilvl="0">
      <w:lvlJc w:val="left"/>
      <w:lvlText w:val="%1."/>
      <w:numFmt w:val="decimal"/>
      <w:start w:val="4"/>
    </w:lvl>
  </w:abstractNum>
  <w:abstractNum w:abstractNumId="89">
    <w:nsid w:val="7672BD23"/>
    <w:multiLevelType w:val="hybridMultilevel"/>
    <w:lvl w:ilvl="0">
      <w:lvlJc w:val="left"/>
      <w:lvlText w:val="%1."/>
      <w:numFmt w:val="decimal"/>
      <w:start w:val="6"/>
    </w:lvl>
  </w:abstractNum>
  <w:abstractNum w:abstractNumId="90">
    <w:nsid w:val="6FC75AF8"/>
    <w:multiLevelType w:val="hybridMultilevel"/>
    <w:lvl w:ilvl="0">
      <w:lvlJc w:val="left"/>
      <w:lvlText w:val="(%1)"/>
      <w:numFmt w:val="lowerLetter"/>
      <w:start w:val="1"/>
    </w:lvl>
  </w:abstractNum>
  <w:abstractNum w:abstractNumId="91">
    <w:nsid w:val="6A5F7029"/>
    <w:multiLevelType w:val="hybridMultilevel"/>
    <w:lvl w:ilvl="0">
      <w:lvlJc w:val="left"/>
      <w:lvlText w:val="(%1)"/>
      <w:numFmt w:val="lowerLetter"/>
      <w:start w:val="2"/>
    </w:lvl>
  </w:abstractNum>
  <w:abstractNum w:abstractNumId="92">
    <w:nsid w:val="7D5E18F8"/>
    <w:multiLevelType w:val="hybridMultilevel"/>
    <w:lvl w:ilvl="0">
      <w:lvlJc w:val="left"/>
      <w:lvlText w:val="%1."/>
      <w:numFmt w:val="decimal"/>
      <w:start w:val="7"/>
    </w:lvl>
  </w:abstractNum>
  <w:abstractNum w:abstractNumId="93">
    <w:nsid w:val="5F3534A4"/>
    <w:multiLevelType w:val="hybridMultilevel"/>
    <w:lvl w:ilvl="0">
      <w:lvlJc w:val="left"/>
      <w:lvlText w:val="(%1)"/>
      <w:numFmt w:val="lowerLetter"/>
      <w:start w:val="3"/>
    </w:lvl>
  </w:abstractNum>
  <w:abstractNum w:abstractNumId="94">
    <w:nsid w:val="73A1821B"/>
    <w:multiLevelType w:val="hybridMultilevel"/>
    <w:lvl w:ilvl="0">
      <w:lvlJc w:val="left"/>
      <w:lvlText w:val="(%1)"/>
      <w:numFmt w:val="lowerLetter"/>
      <w:start w:val="4"/>
    </w:lvl>
  </w:abstractNum>
  <w:abstractNum w:abstractNumId="95">
    <w:nsid w:val="7DE67713"/>
    <w:multiLevelType w:val="hybridMultilevel"/>
    <w:lvl w:ilvl="0">
      <w:lvlJc w:val="left"/>
      <w:lvlText w:val="(%1)"/>
      <w:numFmt w:val="lowerLetter"/>
      <w:start w:val="5"/>
    </w:lvl>
  </w:abstractNum>
  <w:abstractNum w:abstractNumId="96">
    <w:nsid w:val="555C55B5"/>
    <w:multiLevelType w:val="hybridMultilevel"/>
    <w:lvl w:ilvl="0">
      <w:lvlJc w:val="left"/>
      <w:lvlText w:val="%1."/>
      <w:numFmt w:val="decimal"/>
      <w:start w:val="7"/>
    </w:lvl>
  </w:abstractNum>
  <w:abstractNum w:abstractNumId="97">
    <w:nsid w:val="3FA62ACA"/>
    <w:multiLevelType w:val="hybridMultilevel"/>
    <w:lvl w:ilvl="0">
      <w:lvlJc w:val="left"/>
      <w:lvlText w:val="(%1)"/>
      <w:numFmt w:val="lowerLetter"/>
      <w:start w:val="6"/>
    </w:lvl>
  </w:abstractNum>
  <w:abstractNum w:abstractNumId="98">
    <w:nsid w:val="14FCE74E"/>
    <w:multiLevelType w:val="hybridMultilevel"/>
    <w:lvl w:ilvl="0">
      <w:lvlJc w:val="left"/>
      <w:lvlText w:val="%1."/>
      <w:numFmt w:val="decimal"/>
      <w:start w:val="10"/>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1."/>
      <w:numFmt w:val="decimal"/>
      <w:start w:val="11"/>
    </w:lvl>
  </w:abstractNum>
  <w:abstractNum w:abstractNumId="101">
    <w:nsid w:val="9DAF632"/>
    <w:multiLevelType w:val="hybridMultilevel"/>
    <w:lvl w:ilvl="0">
      <w:lvlJc w:val="left"/>
      <w:lvlText w:val="%1."/>
      <w:numFmt w:val="decimal"/>
      <w:start w:val="13"/>
    </w:lvl>
  </w:abstractNum>
  <w:abstractNum w:abstractNumId="102">
    <w:nsid w:val="53299938"/>
    <w:multiLevelType w:val="hybridMultilevel"/>
    <w:lvl w:ilvl="0">
      <w:lvlJc w:val="left"/>
      <w:lvlText w:val="%1."/>
      <w:numFmt w:val="decimal"/>
      <w:start w:val="13"/>
    </w:lvl>
  </w:abstractNum>
  <w:abstractNum w:abstractNumId="103">
    <w:nsid w:val="1FBFE8E0"/>
    <w:multiLevelType w:val="hybridMultilevel"/>
    <w:lvl w:ilvl="0">
      <w:lvlJc w:val="left"/>
      <w:lvlText w:val="(%1)"/>
      <w:numFmt w:val="lowerRoman"/>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2019-12-08T17:42:27Z</dcterms:created>
  <dcterms:modified xsi:type="dcterms:W3CDTF">2019-12-08T17:42:27Z</dcterms:modified>
</cp:coreProperties>
</file>