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August 15, 2013</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3840"/>
        <w:spacing w:after="0" w:line="229"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37" w:lineRule="exact"/>
        <w:rPr>
          <w:sz w:val="24"/>
          <w:szCs w:val="24"/>
          <w:color w:val="auto"/>
        </w:rPr>
      </w:pPr>
    </w:p>
    <w:p>
      <w:pPr>
        <w:ind w:right="3760"/>
        <w:spacing w:after="0" w:line="229"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S-I Rule 101 (b)(1).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720"/>
        <w:spacing w:after="0" w:line="229"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 (b)(7).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Attached hereto as Exhibit I is a press release dated August 14, 2013 of Global Ship Lease, Inc. (the “Company”) reporting the Company’s financial results for the second quarter of 2013. Attached hereto as Exhibit II are the Company’s interim unaudited consolidated financial statements for the six months ended June 30, 2013.</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6040" w:val="left"/>
          <w:tab w:leader="none" w:pos="8040" w:val="left"/>
          <w:tab w:leader="none" w:pos="8380" w:val="left"/>
        </w:tabs>
        <w:rPr>
          <w:sz w:val="20"/>
          <w:szCs w:val="20"/>
          <w:color w:val="auto"/>
        </w:rPr>
      </w:pPr>
      <w:r>
        <w:rPr>
          <w:rFonts w:ascii="Arial" w:cs="Arial" w:eastAsia="Arial" w:hAnsi="Arial"/>
          <w:sz w:val="18"/>
          <w:szCs w:val="18"/>
          <w:color w:val="auto"/>
        </w:rPr>
        <w:t>Date: August 15,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AN</w:t>
      </w:r>
      <w:r>
        <w:rPr>
          <w:rFonts w:ascii="Arial" w:cs="Arial" w:eastAsia="Arial" w:hAnsi="Arial"/>
          <w:sz w:val="16"/>
          <w:szCs w:val="16"/>
          <w:color w:val="auto"/>
        </w:rPr>
        <w:t xml:space="preserve"> J. W</w:t>
      </w:r>
      <w:r>
        <w:rPr>
          <w:rFonts w:ascii="Arial" w:cs="Arial" w:eastAsia="Arial" w:hAnsi="Arial"/>
          <w:sz w:val="13"/>
          <w:szCs w:val="13"/>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10795</wp:posOffset>
            </wp:positionV>
            <wp:extent cx="32416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jc w:val="center"/>
        <w:ind w:left="6440"/>
        <w:spacing w:after="0"/>
        <w:rPr>
          <w:sz w:val="20"/>
          <w:szCs w:val="20"/>
          <w:color w:val="auto"/>
        </w:rPr>
      </w:pPr>
      <w:r>
        <w:rPr>
          <w:rFonts w:ascii="Arial" w:cs="Arial" w:eastAsia="Arial" w:hAnsi="Arial"/>
          <w:sz w:val="14"/>
          <w:szCs w:val="14"/>
          <w:b w:val="1"/>
          <w:bCs w:val="1"/>
          <w:color w:val="auto"/>
        </w:rPr>
        <w:t>Ian J. Webber</w:t>
      </w:r>
    </w:p>
    <w:p>
      <w:pPr>
        <w:spacing w:after="0" w:line="1"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Leon Berman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212-477-8438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Second Quarter of 2013</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LONDON, ENGLAND — August 14, 2013 </w:t>
      </w:r>
      <w:r>
        <w:rPr>
          <w:rFonts w:ascii="Arial" w:cs="Arial" w:eastAsia="Arial" w:hAnsi="Arial"/>
          <w:sz w:val="18"/>
          <w:szCs w:val="18"/>
          <w:color w:val="auto"/>
        </w:rPr>
        <w:t>— Global Ship Lease, Inc. (NYSE:GSL), a containership charter owner, announced today its unaudited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and six months ended June 30,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Year To Date Highlights</w:t>
      </w:r>
    </w:p>
    <w:p>
      <w:pPr>
        <w:spacing w:after="0" w:line="96"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$35.9 million for the second quarter 2013. Revenue for the six months ended June 30, 2013 was $71.1 million</w:t>
      </w:r>
    </w:p>
    <w:p>
      <w:pPr>
        <w:spacing w:after="0" w:line="90" w:lineRule="exact"/>
        <w:rPr>
          <w:rFonts w:ascii="Arial" w:cs="Arial" w:eastAsia="Arial" w:hAnsi="Arial"/>
          <w:sz w:val="18"/>
          <w:szCs w:val="18"/>
          <w:color w:val="auto"/>
        </w:rPr>
      </w:pPr>
    </w:p>
    <w:p>
      <w:pPr>
        <w:ind w:left="220" w:right="18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net income of $10.1 million for the second quarter 2013, including a $5.0 million non-cash interest rate derivative mark-to-market gain. For the six months ended June 30, 2013, net income was $17.4 million, after a $10.4 million non-cash mark-to-market gain.</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Generated $22.9 million of Adjusted EBITDA</w:t>
      </w:r>
      <w:r>
        <w:rPr>
          <w:rFonts w:ascii="Arial" w:cs="Arial" w:eastAsia="Arial" w:hAnsi="Arial"/>
          <w:sz w:val="10"/>
          <w:szCs w:val="10"/>
          <w:color w:val="auto"/>
        </w:rPr>
        <w:t>(1)</w:t>
      </w:r>
      <w:r>
        <w:rPr>
          <w:rFonts w:ascii="Arial" w:cs="Arial" w:eastAsia="Arial" w:hAnsi="Arial"/>
          <w:sz w:val="16"/>
          <w:szCs w:val="16"/>
          <w:color w:val="auto"/>
        </w:rPr>
        <w:t xml:space="preserve"> for the second quarter 2013. Adjusted EBITDA for the six months ended June 30, 2013 was $45.1 million</w:t>
      </w:r>
    </w:p>
    <w:p>
      <w:pPr>
        <w:spacing w:after="0" w:line="113" w:lineRule="exact"/>
        <w:rPr>
          <w:rFonts w:ascii="Arial" w:cs="Arial" w:eastAsia="Arial" w:hAnsi="Arial"/>
          <w:sz w:val="16"/>
          <w:szCs w:val="16"/>
          <w:color w:val="auto"/>
        </w:rPr>
      </w:pPr>
    </w:p>
    <w:p>
      <w:pPr>
        <w:ind w:left="220" w:right="44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Excluding the non-cash mark-to-market items, normalized net income</w:t>
      </w:r>
      <w:r>
        <w:rPr>
          <w:rFonts w:ascii="Arial" w:cs="Arial" w:eastAsia="Arial" w:hAnsi="Arial"/>
          <w:sz w:val="11"/>
          <w:szCs w:val="11"/>
          <w:color w:val="auto"/>
        </w:rPr>
        <w:t>(1)</w:t>
      </w:r>
      <w:r>
        <w:rPr>
          <w:rFonts w:ascii="Arial" w:cs="Arial" w:eastAsia="Arial" w:hAnsi="Arial"/>
          <w:sz w:val="18"/>
          <w:szCs w:val="18"/>
          <w:color w:val="auto"/>
        </w:rPr>
        <w:t xml:space="preserve"> was $5.1 million for the second quarter 2013 and $6.9 million for the six months ended June 30, 2013</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Repaid $10.8 million debt during the second quarter of 2013 for a total repayment of $199.0 million since the fourth quarter 2009</w:t>
      </w:r>
    </w:p>
    <w:p>
      <w:pPr>
        <w:spacing w:after="0" w:line="90" w:lineRule="exact"/>
        <w:rPr>
          <w:rFonts w:ascii="Arial" w:cs="Arial" w:eastAsia="Arial" w:hAnsi="Arial"/>
          <w:sz w:val="18"/>
          <w:szCs w:val="18"/>
          <w:color w:val="auto"/>
        </w:rPr>
      </w:pPr>
    </w:p>
    <w:p>
      <w:pPr>
        <w:ind w:left="220" w:right="50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Commenced one-year charters for two 4,113 TEU vessels at $7,000 per vessel per day. The new charters expire on April 30, 2014 plus/minus 30 days at charterer’s option</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Ian Webber, Chief Executive Officer of Global Ship Lease, stated, “With utilization of our fully time charted fleet of 17 vessels close to 100%, we generated Adjusted EBITDA of $22.9 million in the second quarter 2013, allowing us to continue to de-lever the Company.”</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Mr. Webber continued, “We successfully re-chartered two vessels in the quarter, thereby maintaining a strong and uninterrupted revenue stream, supporting $45.1 million of Adjusted EBITDA and $25.6 million of debt repayment in the first half of 2013. With contracted revenue of approximately $1 billion and an average remaining charter term of seven years, we continue to be well positioned to generate stable cash flow and further amortize our debt despite near-term industry challenges. As we continue to pay down debt, we are actively exploring opportunities to enhance our financial flexibility.”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FINANCIAL DATA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Three</w:t>
            </w:r>
          </w:p>
        </w:tc>
        <w:tc>
          <w:tcPr>
            <w:tcW w:w="82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Six</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months</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months</w:t>
            </w:r>
          </w:p>
        </w:tc>
        <w:tc>
          <w:tcPr>
            <w:tcW w:w="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1"/>
              </w:rPr>
              <w:t>June 30,</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30,</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1"/>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2012</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35,867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39,233</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71,076</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77,583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12,796</w:t>
            </w:r>
          </w:p>
        </w:tc>
        <w:tc>
          <w:tcPr>
            <w:tcW w:w="3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16,623</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24,901</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31,822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10,128</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17,361</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15,464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Adjusted EBITDA (1)</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22,922</w:t>
            </w:r>
          </w:p>
        </w:tc>
        <w:tc>
          <w:tcPr>
            <w:tcW w:w="3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26,788</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45,097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51,956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Income (1)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6,919</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11,881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17 vessel fleet generated revenue from fixed rate long-term time charters of $35.9 million in the three months ended June 30, 2013, down $3.4 million on revenue of $39.2 million for the comparative period in 2012 due mainly to reduced revenue for two vessels following charter renewals at lower rates after the initial charters expired in September 2012, offset by less offhire, mainly from reduced levels of planned drydocking. There were 1,547 ownership days in the quarter, the same as the comparable period in 2012. The one day offhire in the three months ended June 30, 2013 gives a utilization of 99.9%. In the comparable period of 2012, there were 21 days offhire, including 12 for planned drydockings and nine unplanned days offhire, for utilization of 98.6%.</w:t>
      </w:r>
    </w:p>
    <w:p>
      <w:pPr>
        <w:spacing w:after="0" w:line="1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For the six months ended June 30, 2013, revenue was $71.1 million, down $6.5 million on revenue of $77.6 million in the comparative period, mainly due to lower revenue from charter renewals and 17 fewer ownership days as 2012 was a leap year, offset by 43 days less offhire.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fleet utilization for the three and six months ended June 30, 2013 and 2012 and for the years ended December 31, 2012, 2010 and 2009.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gridSpan w:val="4"/>
          </w:tcPr>
          <w:p>
            <w:pPr>
              <w:jc w:val="right"/>
              <w:ind w:right="460"/>
              <w:spacing w:after="0"/>
              <w:rPr>
                <w:sz w:val="20"/>
                <w:szCs w:val="20"/>
                <w:color w:val="auto"/>
              </w:rPr>
            </w:pPr>
            <w:r>
              <w:rPr>
                <w:rFonts w:ascii="Arial" w:cs="Arial" w:eastAsia="Arial" w:hAnsi="Arial"/>
                <w:sz w:val="14"/>
                <w:szCs w:val="14"/>
                <w:color w:val="auto"/>
                <w:w w:val="89"/>
              </w:rPr>
              <w:t>Three months ended</w:t>
            </w:r>
          </w:p>
        </w:tc>
        <w:tc>
          <w:tcPr>
            <w:tcW w:w="1640" w:type="dxa"/>
            <w:vAlign w:val="bottom"/>
            <w:gridSpan w:val="4"/>
          </w:tcPr>
          <w:p>
            <w:pPr>
              <w:jc w:val="right"/>
              <w:ind w:right="520"/>
              <w:spacing w:after="0"/>
              <w:rPr>
                <w:sz w:val="20"/>
                <w:szCs w:val="20"/>
                <w:color w:val="auto"/>
              </w:rPr>
            </w:pPr>
            <w:r>
              <w:rPr>
                <w:rFonts w:ascii="Arial" w:cs="Arial" w:eastAsia="Arial" w:hAnsi="Arial"/>
                <w:sz w:val="14"/>
                <w:szCs w:val="14"/>
                <w:color w:val="auto"/>
                <w:w w:val="98"/>
              </w:rPr>
              <w:t>Six months ended</w:t>
            </w:r>
          </w:p>
        </w:tc>
        <w:tc>
          <w:tcPr>
            <w:tcW w:w="84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86"/>
              </w:rPr>
              <w:t>Dec 31,</w:t>
            </w: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86"/>
              </w:rPr>
              <w:t>Dec 31,</w:t>
            </w: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w w:val="86"/>
              </w:rPr>
              <w:t>Dec 31,</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31"/>
        </w:trPr>
        <w:tc>
          <w:tcPr>
            <w:tcW w:w="5000" w:type="dxa"/>
            <w:vAlign w:val="bottom"/>
            <w:gridSpan w:val="3"/>
            <w:vMerge w:val="restart"/>
          </w:tcPr>
          <w:p>
            <w:pPr>
              <w:spacing w:after="0"/>
              <w:rPr>
                <w:sz w:val="20"/>
                <w:szCs w:val="20"/>
                <w:color w:val="auto"/>
              </w:rPr>
            </w:pPr>
            <w:r>
              <w:rPr>
                <w:rFonts w:ascii="Arial" w:cs="Arial" w:eastAsia="Arial" w:hAnsi="Arial"/>
                <w:sz w:val="14"/>
                <w:szCs w:val="14"/>
                <w:color w:val="auto"/>
              </w:rPr>
              <w:t>Days</w:t>
            </w:r>
          </w:p>
        </w:tc>
        <w:tc>
          <w:tcPr>
            <w:tcW w:w="820" w:type="dxa"/>
            <w:vAlign w:val="bottom"/>
            <w:tcBorders>
              <w:top w:val="single" w:sz="8" w:color="auto"/>
            </w:tcBorders>
            <w:gridSpan w:val="2"/>
          </w:tcPr>
          <w:p>
            <w:pPr>
              <w:jc w:val="right"/>
              <w:ind w:right="292"/>
              <w:spacing w:after="0" w:line="131" w:lineRule="exact"/>
              <w:rPr>
                <w:sz w:val="20"/>
                <w:szCs w:val="20"/>
                <w:color w:val="auto"/>
              </w:rPr>
            </w:pPr>
            <w:r>
              <w:rPr>
                <w:rFonts w:ascii="Arial" w:cs="Arial" w:eastAsia="Arial" w:hAnsi="Arial"/>
                <w:sz w:val="14"/>
                <w:szCs w:val="14"/>
                <w:color w:val="auto"/>
                <w:w w:val="78"/>
              </w:rPr>
              <w:t>June 30,</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78"/>
              </w:rPr>
              <w:t>June 30,</w:t>
            </w:r>
          </w:p>
        </w:tc>
        <w:tc>
          <w:tcPr>
            <w:tcW w:w="36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60"/>
              <w:spacing w:after="0" w:line="131" w:lineRule="exact"/>
              <w:rPr>
                <w:sz w:val="20"/>
                <w:szCs w:val="20"/>
                <w:color w:val="auto"/>
              </w:rPr>
            </w:pPr>
            <w:r>
              <w:rPr>
                <w:rFonts w:ascii="Arial" w:cs="Arial" w:eastAsia="Arial" w:hAnsi="Arial"/>
                <w:sz w:val="14"/>
                <w:szCs w:val="14"/>
                <w:color w:val="auto"/>
                <w:w w:val="81"/>
              </w:rPr>
              <w:t>June 30,</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1"/>
              </w:rPr>
              <w:t>June 30,</w:t>
            </w:r>
          </w:p>
        </w:tc>
        <w:tc>
          <w:tcPr>
            <w:tcW w:w="3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0" w:type="dxa"/>
            <w:vAlign w:val="bottom"/>
            <w:gridSpan w:val="3"/>
            <w:vMerge w:val="continue"/>
          </w:tcPr>
          <w:p>
            <w:pPr>
              <w:spacing w:after="0"/>
              <w:rPr>
                <w:sz w:val="13"/>
                <w:szCs w:val="13"/>
                <w:color w:val="auto"/>
              </w:rPr>
            </w:pPr>
          </w:p>
        </w:tc>
        <w:tc>
          <w:tcPr>
            <w:tcW w:w="460" w:type="dxa"/>
            <w:vAlign w:val="bottom"/>
          </w:tcPr>
          <w:p>
            <w:pPr>
              <w:jc w:val="right"/>
              <w:ind w:right="20"/>
              <w:spacing w:after="0" w:line="146" w:lineRule="exact"/>
              <w:rPr>
                <w:sz w:val="20"/>
                <w:szCs w:val="20"/>
                <w:color w:val="auto"/>
              </w:rPr>
            </w:pPr>
            <w:r>
              <w:rPr>
                <w:rFonts w:ascii="Arial" w:cs="Arial" w:eastAsia="Arial" w:hAnsi="Arial"/>
                <w:sz w:val="14"/>
                <w:szCs w:val="14"/>
                <w:color w:val="auto"/>
              </w:rPr>
              <w:t>2013</w:t>
            </w:r>
          </w:p>
        </w:tc>
        <w:tc>
          <w:tcPr>
            <w:tcW w:w="360" w:type="dxa"/>
            <w:vAlign w:val="bottom"/>
          </w:tcPr>
          <w:p>
            <w:pPr>
              <w:spacing w:after="0"/>
              <w:rPr>
                <w:sz w:val="13"/>
                <w:szCs w:val="13"/>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2012</w:t>
            </w:r>
          </w:p>
        </w:tc>
        <w:tc>
          <w:tcPr>
            <w:tcW w:w="360" w:type="dxa"/>
            <w:vAlign w:val="bottom"/>
          </w:tcPr>
          <w:p>
            <w:pPr>
              <w:spacing w:after="0"/>
              <w:rPr>
                <w:sz w:val="13"/>
                <w:szCs w:val="13"/>
                <w:color w:val="auto"/>
              </w:rPr>
            </w:pPr>
          </w:p>
        </w:tc>
        <w:tc>
          <w:tcPr>
            <w:tcW w:w="460" w:type="dxa"/>
            <w:vAlign w:val="bottom"/>
          </w:tcPr>
          <w:p>
            <w:pPr>
              <w:jc w:val="right"/>
              <w:ind w:right="20"/>
              <w:spacing w:after="0" w:line="146" w:lineRule="exact"/>
              <w:rPr>
                <w:sz w:val="20"/>
                <w:szCs w:val="20"/>
                <w:color w:val="auto"/>
              </w:rPr>
            </w:pPr>
            <w:r>
              <w:rPr>
                <w:rFonts w:ascii="Arial" w:cs="Arial" w:eastAsia="Arial" w:hAnsi="Arial"/>
                <w:sz w:val="14"/>
                <w:szCs w:val="14"/>
                <w:color w:val="auto"/>
              </w:rPr>
              <w:t>2013</w:t>
            </w:r>
          </w:p>
        </w:tc>
        <w:tc>
          <w:tcPr>
            <w:tcW w:w="360" w:type="dxa"/>
            <w:vAlign w:val="bottom"/>
          </w:tcPr>
          <w:p>
            <w:pPr>
              <w:spacing w:after="0"/>
              <w:rPr>
                <w:sz w:val="13"/>
                <w:szCs w:val="13"/>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2012</w:t>
            </w:r>
          </w:p>
        </w:tc>
        <w:tc>
          <w:tcPr>
            <w:tcW w:w="360" w:type="dxa"/>
            <w:vAlign w:val="bottom"/>
          </w:tcPr>
          <w:p>
            <w:pPr>
              <w:spacing w:after="0"/>
              <w:rPr>
                <w:sz w:val="13"/>
                <w:szCs w:val="13"/>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3"/>
                <w:szCs w:val="13"/>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3"/>
                <w:szCs w:val="13"/>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1,547</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1,547</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3,077</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3,094</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6,222</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6,205</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6,205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8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Operating days</w:t>
            </w: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1,546</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1,526</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3,050</w:t>
            </w:r>
          </w:p>
        </w:tc>
        <w:tc>
          <w:tcPr>
            <w:tcW w:w="36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3,024</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6,124</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6,099</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6,202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5,894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99.9%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w w:val="84"/>
              </w:rPr>
              <w:t>Page 2</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were no drydockings in the second quarter 2013. Two vessels were drydocked in the first quarter 2013 and one further vessel is scheduled to be drydocked in the fourth quarter. Two drydockings are scheduled for 2014, and none in 2015.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Vessel operating expenses, which include costs of crew, lubricating oil, spares and insurance, were $11.6 million for the three months ended June 30, 2013. The average cost per ownership day in the quarter was $7,504 up $175 or 2.4% on $7,329 for the rolling four quarters ended March 31, 2013. The second quarter 2013 average daily cost compares to $7,253 for the comparative period, up $251 or 3.5%. The increase is mostly for higher crew costs.</w:t>
      </w:r>
    </w:p>
    <w:p>
      <w:pPr>
        <w:spacing w:after="0" w:line="10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For the six months ended June 30, 2013 vessel operating expenses were $23.2 million or an average of $7,525 per day compared to $22.9 million in the comparative period or $7,394 per day.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three months ended June 30, 2013 was $10.1 million, compared to $10.2 million in the comparative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six months ended June 30, 2013 was $20.2 million, compared to $20.1 million in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costs were $1.5 million in the three months ended June 30, 2013, compared to $1.3 million in the second quarter of 2012.</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the six months ended June 30, 2013, general and administrative costs were $3.1 million compared to $2.9 million for 2012. The reduction is due mainly to lower legal and professional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in the three months ended June 30, 2013 was $0.2 million, compared to $0.1 million in the second quarter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2013, other operating income was $0.2 million, the same as for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a result of the above, Adjusted EBITDA was $22.9 million for the three months ended June 30, 2013 down from $26.8 million for the three months ended June 30, 2012.</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20"/>
          </w:cols>
          <w:pgMar w:left="240" w:top="2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 for the six months ended June 30, 2013 was $45.1 million, compared to $52.0 million for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three months ended June 30, 2013 was $4.8 million. The Company’s borrowings under its credit facility averaged $410.9 million during the three months ended June 30, 2013. There were $45.0 million preferred shares throughout the period giving total average borrowings through the three months ended June 30, 2013 of $455.9 million. Interest expense in the comparative period in 2012 was $5.3 million on average borrowings, including the preferred shares, of $519.8 million.</w:t>
      </w:r>
    </w:p>
    <w:p>
      <w:pPr>
        <w:spacing w:after="0" w:line="11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For the six months ended June 30, 2013, interest expense, excluding the effect of interest rate derivatives which do not qualify for hedge accounting, was $9.7 million. The Company’s borrowings under its credit facility and including the $45 .0 million preferred shares, averaged $463.2 million during the six months ended June 30, 2013. Interest expense for the six months ended June 30, 2012 was $10.8 million based on average borrowings in that period, including the preferred shares, of $525.7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and six months ended June 30, 2013 and 2012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gave a realized loss of $2.9 million in the three months ended June 30, 2013 for settlements of swaps in the period, as current LIBOR rates are lower than the average fixed rates. Further, there was a $5.0 million unrealized gain for revaluation of the balance sheet position given current LIBOR and movements in the forward curve for interest rates. This compares to a realized loss of $4.6 million and an unrealized gain of $0.9 million in the three months ended June 30, 2012.</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six months ended June 30, 2013, the realized loss from hedges was $8.3 million and the unrealized gain was $10.4 million. This compares to a realized loss of $9.1 million and an unrealized gain of $3.6 million in the six months ended June 30, 2012.</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At June 30, 2013, interest rate derivatives totaled $327.0 million against floating rate debt of $445.1 million, including the preferred shares. The total mark-to-market unrealized loss recognized as a liability on the balance sheet at June 30, 2013 was $25.1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three months ended June 30, 2013 was $16,000, compared to $78,000 in the second quarter of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six months ended June 30, 2013 was $39,000, compared to $68,000 for the comparative period in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Net income for the three months ended June 30, 2013 was $10.1 million after $5.0 million non-cash interest rate derivative mark-to-market gain. For the three months ended June 30, 2012 net income was $7.5 million after the $0.9 million non-cash interest rate derivative mark-to-market gain. Normalized net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80"/>
          </w:cols>
          <w:pgMar w:left="240" w:top="280" w:right="279" w:bottom="1440" w:gutter="0" w:footer="0" w:header="0"/>
        </w:sectPr>
      </w:pPr>
    </w:p>
    <w:bookmarkStart w:id="6" w:name="page7"/>
    <w:bookmarkEnd w:id="6"/>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which excludes the effect of the non-cash interest rate derivative mark-to-market gains and losses was $5.1 million for the three months ended June 30, 2013 and $6.6 million for the three months ended June 30, 2012.</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Net income was $17.4 million for the six months ended June 30, 2013 after a $10.4 million non-cash interest rate derivative mark-to-market gain. For the six months ended June 30, 2012, net income was $15.5 million after the $3.6 million non-cash interest rate derivative mark-to-market gain. Normalized net income was $6.9 million for the six months ended June 30, 2013 and $11.9 million for the six months ended June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container shipping industry has been experiencing a significant cyclical downturn. As a consequence, there has been a continued decline in charter free market values of containerships since mid- 2012. While the Company’s stable business model largely insulates it from volatility in the freight and charter markets, a covenant in the credit facility with respect to the Leverage Ratio, which is the ratio of outstanding drawings under the credit facility and the aggregate charter free market value of the secured vessels, causes the Company to be sensitive to significant declines in vessel values. Under the terms of the credit facility, the Leverage Ratio cannot exceed 75%. The Leverage Ratio has little impact on the Company’s operating performance as cash flows are largely predictable under its business model.</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anticipation of the scheduled test of the Leverage Ratio as at November 30, 2012 when the Company expected that the Leverage Ratio would be between 75% and 90%, the Company agreed with its lenders to waive the requirement to perform the Leverage Ratio test until December 1, 2014. Under the terms of the waiver, the fixed interest margin to be paid over LIBOR increased to 3.75%, prepayments became based on cash flow rather than a fixed amount of $10 million per quarter, and dividends on common shares cannot be paid.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2013 a total of $10.8 million of debt was repaid leaving a balance outstanding of $400.1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is not currently able to pay a dividend on common shares under the terms of the credit facility waiver.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as at June 30, 2013, about the on-the-water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Remaining</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Earliest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Capacity</w:t>
            </w: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Year</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Purchase</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Charter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Charter</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8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in TEUs</w:t>
            </w:r>
          </w:p>
        </w:tc>
        <w:tc>
          <w:tcPr>
            <w:tcW w:w="56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40" w:type="dxa"/>
            <w:vAlign w:val="bottom"/>
            <w:gridSpan w:val="2"/>
          </w:tcPr>
          <w:p>
            <w:pPr>
              <w:jc w:val="center"/>
              <w:ind w:right="300"/>
              <w:spacing w:after="0" w:line="129" w:lineRule="exact"/>
              <w:rPr>
                <w:sz w:val="20"/>
                <w:szCs w:val="20"/>
                <w:color w:val="auto"/>
              </w:rPr>
            </w:pPr>
            <w:r>
              <w:rPr>
                <w:rFonts w:ascii="Arial" w:cs="Arial" w:eastAsia="Arial" w:hAnsi="Arial"/>
                <w:sz w:val="10"/>
                <w:szCs w:val="10"/>
                <w:b w:val="1"/>
                <w:bCs w:val="1"/>
                <w:color w:val="auto"/>
              </w:rPr>
              <w:t xml:space="preserve">Term </w:t>
            </w:r>
            <w:r>
              <w:rPr>
                <w:rFonts w:ascii="Arial" w:cs="Arial" w:eastAsia="Arial" w:hAnsi="Arial"/>
                <w:sz w:val="14"/>
                <w:szCs w:val="14"/>
                <w:b w:val="1"/>
                <w:bCs w:val="1"/>
                <w:color w:val="auto"/>
                <w:vertAlign w:val="superscript"/>
              </w:rPr>
              <w:t>(2)</w:t>
            </w:r>
          </w:p>
        </w:tc>
        <w:tc>
          <w:tcPr>
            <w:tcW w:w="12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Expiry</w:t>
            </w: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7"/>
              </w:rPr>
              <w:t>Vessel Name</w:t>
            </w:r>
          </w:p>
        </w:tc>
        <w:tc>
          <w:tcPr>
            <w:tcW w:w="55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320" w:type="dxa"/>
            <w:vAlign w:val="bottom"/>
          </w:tcPr>
          <w:p>
            <w:pPr>
              <w:spacing w:after="0"/>
              <w:rPr>
                <w:sz w:val="15"/>
                <w:szCs w:val="15"/>
                <w:color w:val="auto"/>
              </w:rPr>
            </w:pPr>
          </w:p>
        </w:tc>
        <w:tc>
          <w:tcPr>
            <w:tcW w:w="56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96"/>
              </w:rPr>
              <w:t>Built</w:t>
            </w:r>
          </w:p>
        </w:tc>
        <w:tc>
          <w:tcPr>
            <w:tcW w:w="92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93"/>
              </w:rPr>
              <w:t>by GSL</w:t>
            </w:r>
          </w:p>
        </w:tc>
        <w:tc>
          <w:tcPr>
            <w:tcW w:w="94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7"/>
              </w:rPr>
              <w:t>(years)</w:t>
            </w:r>
          </w:p>
        </w:tc>
        <w:tc>
          <w:tcPr>
            <w:tcW w:w="120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92"/>
              </w:rPr>
              <w:t>Date</w:t>
            </w:r>
          </w:p>
        </w:tc>
        <w:tc>
          <w:tcPr>
            <w:tcW w:w="54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1997</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Dec 2007</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3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April 1, 2014</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4,113</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1996</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April 1, 2014</w:t>
            </w:r>
          </w:p>
        </w:tc>
        <w:tc>
          <w:tcPr>
            <w:tcW w:w="5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1999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Sept 21,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540" w:type="dxa"/>
            <w:vAlign w:val="bottom"/>
          </w:tcPr>
          <w:p>
            <w:pPr>
              <w:jc w:val="right"/>
              <w:spacing w:after="0"/>
              <w:rPr>
                <w:sz w:val="20"/>
                <w:szCs w:val="20"/>
                <w:color w:val="auto"/>
              </w:rPr>
            </w:pPr>
            <w:r>
              <w:rPr>
                <w:rFonts w:ascii="Arial" w:cs="Arial" w:eastAsia="Arial" w:hAnsi="Arial"/>
                <w:sz w:val="18"/>
                <w:szCs w:val="18"/>
                <w:color w:val="auto"/>
              </w:rPr>
              <w:t>2,262</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1999</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Sept 11, 2016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Sept 20, 2017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540" w:type="dxa"/>
            <w:vAlign w:val="bottom"/>
          </w:tcPr>
          <w:p>
            <w:pPr>
              <w:jc w:val="right"/>
              <w:spacing w:after="0"/>
              <w:rPr>
                <w:sz w:val="20"/>
                <w:szCs w:val="20"/>
                <w:color w:val="auto"/>
              </w:rPr>
            </w:pPr>
            <w:r>
              <w:rPr>
                <w:rFonts w:ascii="Arial" w:cs="Arial" w:eastAsia="Arial" w:hAnsi="Arial"/>
                <w:sz w:val="18"/>
                <w:szCs w:val="18"/>
                <w:color w:val="auto"/>
              </w:rPr>
              <w:t>2,207</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Sept 11, 2017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Sept 21, 2017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540" w:type="dxa"/>
            <w:vAlign w:val="bottom"/>
          </w:tcPr>
          <w:p>
            <w:pPr>
              <w:jc w:val="right"/>
              <w:spacing w:after="0"/>
              <w:rPr>
                <w:sz w:val="20"/>
                <w:szCs w:val="20"/>
                <w:color w:val="auto"/>
              </w:rPr>
            </w:pPr>
            <w:r>
              <w:rPr>
                <w:rFonts w:ascii="Arial" w:cs="Arial" w:eastAsia="Arial" w:hAnsi="Arial"/>
                <w:sz w:val="18"/>
                <w:szCs w:val="18"/>
                <w:color w:val="auto"/>
              </w:rPr>
              <w:t>2,207</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Sept 14, 2017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Sept 20,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540" w:type="dxa"/>
            <w:vAlign w:val="bottom"/>
          </w:tcPr>
          <w:p>
            <w:pPr>
              <w:jc w:val="right"/>
              <w:spacing w:after="0"/>
              <w:rPr>
                <w:sz w:val="20"/>
                <w:szCs w:val="20"/>
                <w:color w:val="auto"/>
              </w:rPr>
            </w:pPr>
            <w:r>
              <w:rPr>
                <w:rFonts w:ascii="Arial" w:cs="Arial" w:eastAsia="Arial" w:hAnsi="Arial"/>
                <w:sz w:val="18"/>
                <w:szCs w:val="18"/>
                <w:color w:val="auto"/>
              </w:rPr>
              <w:t>2,272</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2001</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Sept 7, 2016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3"/>
              </w:rPr>
              <w:t>Jan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Oct 18, 2020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540" w:type="dxa"/>
            <w:vAlign w:val="bottom"/>
          </w:tcPr>
          <w:p>
            <w:pPr>
              <w:jc w:val="right"/>
              <w:spacing w:after="0"/>
              <w:rPr>
                <w:sz w:val="20"/>
                <w:szCs w:val="20"/>
                <w:color w:val="auto"/>
              </w:rPr>
            </w:pPr>
            <w:r>
              <w:rPr>
                <w:rFonts w:ascii="Arial" w:cs="Arial" w:eastAsia="Arial" w:hAnsi="Arial"/>
                <w:sz w:val="18"/>
                <w:szCs w:val="18"/>
                <w:color w:val="auto"/>
              </w:rPr>
              <w:t>5,089</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Jan 2008</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Oct 11, 2020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11,040</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Dec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Oct 1, 2025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540" w:type="dxa"/>
            <w:vAlign w:val="bottom"/>
          </w:tcPr>
          <w:p>
            <w:pPr>
              <w:jc w:val="right"/>
              <w:spacing w:after="0"/>
              <w:rPr>
                <w:sz w:val="20"/>
                <w:szCs w:val="20"/>
                <w:color w:val="auto"/>
              </w:rPr>
            </w:pPr>
            <w:r>
              <w:rPr>
                <w:rFonts w:ascii="Arial" w:cs="Arial" w:eastAsia="Arial" w:hAnsi="Arial"/>
                <w:sz w:val="18"/>
                <w:szCs w:val="18"/>
                <w:color w:val="auto"/>
              </w:rPr>
              <w:t>4,298</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Dec 2008</w:t>
            </w: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Sept 17, 2022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Dec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Sept 16, 2022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540" w:type="dxa"/>
            <w:vAlign w:val="bottom"/>
          </w:tcPr>
          <w:p>
            <w:pPr>
              <w:jc w:val="right"/>
              <w:spacing w:after="0"/>
              <w:rPr>
                <w:sz w:val="20"/>
                <w:szCs w:val="20"/>
                <w:color w:val="auto"/>
              </w:rPr>
            </w:pPr>
            <w:r>
              <w:rPr>
                <w:rFonts w:ascii="Arial" w:cs="Arial" w:eastAsia="Arial" w:hAnsi="Arial"/>
                <w:sz w:val="18"/>
                <w:szCs w:val="18"/>
                <w:color w:val="auto"/>
              </w:rPr>
              <w:t>4,045</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Dec 2008</w:t>
            </w: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Sept 19, 2022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May 28, 2021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As at June 30, 2013. Plus or minus 90 days at charterer’s option other than for Ville d’Orion and Ville d’Aquarius which are plus or minus 30 days.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June 30, 2013 today, Wednesday, August 14, 2013 at 10:30 a.m. Eastern Time. There are two ways to access the conference call: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Dial-in: (866) 966-9439 or (631) 510-7498; Passcode: 11414502</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 are unable to participate at this time, a replay of the call will be available through Wednesday, August 28, 2013 at (866) 247-4222 or</w:t>
      </w:r>
    </w:p>
    <w:p>
      <w:pPr>
        <w:spacing w:after="0" w:line="38" w:lineRule="exact"/>
        <w:rPr>
          <w:sz w:val="20"/>
          <w:szCs w:val="20"/>
          <w:color w:val="auto"/>
        </w:rPr>
      </w:pPr>
    </w:p>
    <w:p>
      <w:pPr>
        <w:ind w:left="920" w:right="1180" w:firstLine="1"/>
        <w:spacing w:after="0" w:line="261" w:lineRule="auto"/>
        <w:tabs>
          <w:tab w:leader="none" w:pos="134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510-7499. Enter the code 11414502 to access the audio replay. The webcast will also be archived on the Company’s website: </w:t>
      </w:r>
      <w:r>
        <w:rPr>
          <w:rFonts w:ascii="Arial" w:cs="Arial" w:eastAsia="Arial" w:hAnsi="Arial"/>
          <w:sz w:val="18"/>
          <w:szCs w:val="18"/>
          <w:u w:val="single" w:color="auto"/>
          <w:color w:val="auto"/>
        </w:rPr>
        <w:t>http://www.globalshiplease.com</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Global Ship Lease, Inc has filed its Annual Report for 2012 with the Securities and Exchange Commission. A copy of the report can be found under the Investor Relations section (Annual Reports) of the Company’s website at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 xml:space="preserve">. Shareholders may request a hard copy of the audited financial statements free of charge by contacting the Company at </w:t>
      </w:r>
      <w:r>
        <w:rPr>
          <w:rFonts w:ascii="Arial" w:cs="Arial" w:eastAsia="Arial" w:hAnsi="Arial"/>
          <w:sz w:val="16"/>
          <w:szCs w:val="16"/>
          <w:u w:val="single" w:color="auto"/>
          <w:color w:val="auto"/>
        </w:rPr>
        <w:t>info@globalshiplease.com</w:t>
      </w:r>
      <w:r>
        <w:rPr>
          <w:rFonts w:ascii="Arial" w:cs="Arial" w:eastAsia="Arial" w:hAnsi="Arial"/>
          <w:sz w:val="16"/>
          <w:szCs w:val="16"/>
          <w:color w:val="auto"/>
        </w:rPr>
        <w:t xml:space="preserve"> or by writing to Global Ship Lease, Inc, care of Global Ship Lease Services Limited, Portland House, Stag Place, London SW1E 5RS or by telephoning +44 (0) 207 869 8806.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Global Ship Lease owns 17 vessels with a total capacity of 66,349 TEU with an average age, weighted by TEU capacity, at June 30, 2013 of 9.3 years. All of the current vessels are fixed on Charters to CMA CGM with an average remaining term of 5.7 years, or 7.0 years on a weighted basis.</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00"/>
          </w:cols>
          <w:pgMar w:left="240" w:top="27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Adjusted EBITDA</w:t>
      </w:r>
    </w:p>
    <w:p>
      <w:pPr>
        <w:spacing w:after="0" w:line="9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Adjusted EBITDA represents Net income (loss) before interest income and expense including amortization of deferred finance costs, realized and unrealized gain (loss) on derivatives, income taxes, depreciation, amortization and impairment charges. Adjusted EBITDA is a non-US GAAP quantitative measure used to assist in the assessment of the Company’s ability to generate cash from its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alternate to Net income (loss) or any other financial metric required by such accounting principles.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Six</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1"/>
              </w:rPr>
              <w:t>June 30,</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June 30,</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1"/>
              </w:rPr>
              <w:t>June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1"/>
              </w:rPr>
              <w:t>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2013</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2012</w:t>
            </w:r>
          </w:p>
        </w:tc>
        <w:tc>
          <w:tcPr>
            <w:tcW w:w="32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2013</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10,128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7,514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17,361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15,464</w:t>
            </w:r>
          </w:p>
        </w:tc>
        <w:tc>
          <w:tcPr>
            <w:tcW w:w="0" w:type="dxa"/>
            <w:vAlign w:val="bottom"/>
          </w:tcPr>
          <w:p>
            <w:pPr>
              <w:spacing w:after="0"/>
              <w:rPr>
                <w:sz w:val="1"/>
                <w:szCs w:val="1"/>
                <w:color w:val="auto"/>
              </w:rPr>
            </w:pPr>
          </w:p>
        </w:tc>
      </w:tr>
      <w:tr>
        <w:trPr>
          <w:trHeight w:val="323"/>
        </w:trPr>
        <w:tc>
          <w:tcPr>
            <w:tcW w:w="7240" w:type="dxa"/>
            <w:vAlign w:val="bottom"/>
            <w:gridSpan w:val="2"/>
          </w:tcPr>
          <w:p>
            <w:pPr>
              <w:spacing w:after="0"/>
              <w:rPr>
                <w:sz w:val="20"/>
                <w:szCs w:val="20"/>
                <w:color w:val="auto"/>
              </w:rPr>
            </w:pPr>
            <w:r>
              <w:rPr>
                <w:rFonts w:ascii="Arial" w:cs="Arial" w:eastAsia="Arial" w:hAnsi="Arial"/>
                <w:sz w:val="18"/>
                <w:szCs w:val="18"/>
                <w:color w:val="auto"/>
              </w:rPr>
              <w:t>Adjust: Depreciation</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10,126</w:t>
            </w:r>
          </w:p>
        </w:tc>
        <w:tc>
          <w:tcPr>
            <w:tcW w:w="3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10,165</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20,196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20,134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income</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560"/>
              <w:spacing w:after="0"/>
              <w:rPr>
                <w:sz w:val="20"/>
                <w:szCs w:val="20"/>
                <w:color w:val="auto"/>
              </w:rPr>
            </w:pPr>
            <w:r>
              <w:rPr>
                <w:rFonts w:ascii="Arial" w:cs="Arial" w:eastAsia="Arial" w:hAnsi="Arial"/>
                <w:sz w:val="18"/>
                <w:szCs w:val="18"/>
                <w:color w:val="auto"/>
              </w:rPr>
              <w:t>Interest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4,776</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5,349</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9,676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Realized loss on interest rate derivatives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4,610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8,290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560"/>
              <w:spacing w:after="0"/>
              <w:rPr>
                <w:sz w:val="20"/>
                <w:szCs w:val="20"/>
                <w:color w:val="auto"/>
              </w:rPr>
            </w:pPr>
            <w:r>
              <w:rPr>
                <w:rFonts w:ascii="Arial" w:cs="Arial" w:eastAsia="Arial" w:hAnsi="Arial"/>
                <w:sz w:val="18"/>
                <w:szCs w:val="18"/>
                <w:color w:val="auto"/>
              </w:rPr>
              <w:t>Unrealized (gain) loss on interest rate derivatives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(4,988)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(907)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(10,442)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tax</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22,922</w:t>
            </w:r>
          </w:p>
        </w:tc>
        <w:tc>
          <w:tcPr>
            <w:tcW w:w="3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26,788</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45,097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80"/>
          </w:cols>
          <w:pgMar w:left="240" w:top="27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NORMALIZED NET INCOME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78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Six</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1"/>
              </w:rPr>
              <w:t>June 30,</w:t>
            </w: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June 30,</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1"/>
              </w:rPr>
              <w:t>June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1"/>
              </w:rPr>
              <w:t>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2013</w:t>
            </w:r>
          </w:p>
        </w:tc>
        <w:tc>
          <w:tcPr>
            <w:tcW w:w="3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2012</w:t>
            </w:r>
          </w:p>
        </w:tc>
        <w:tc>
          <w:tcPr>
            <w:tcW w:w="32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2013</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10,128</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7,514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17,361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15,464</w:t>
            </w:r>
          </w:p>
        </w:tc>
        <w:tc>
          <w:tcPr>
            <w:tcW w:w="0" w:type="dxa"/>
            <w:vAlign w:val="bottom"/>
          </w:tcPr>
          <w:p>
            <w:pPr>
              <w:spacing w:after="0"/>
              <w:rPr>
                <w:sz w:val="1"/>
                <w:szCs w:val="1"/>
                <w:color w:val="auto"/>
              </w:rPr>
            </w:pPr>
          </w:p>
        </w:tc>
      </w:tr>
      <w:tr>
        <w:trPr>
          <w:trHeight w:val="323"/>
        </w:trPr>
        <w:tc>
          <w:tcPr>
            <w:tcW w:w="7320" w:type="dxa"/>
            <w:vAlign w:val="bottom"/>
            <w:gridSpan w:val="2"/>
          </w:tcPr>
          <w:p>
            <w:pPr>
              <w:spacing w:after="0"/>
              <w:rPr>
                <w:sz w:val="20"/>
                <w:szCs w:val="20"/>
                <w:color w:val="auto"/>
              </w:rPr>
            </w:pPr>
            <w:r>
              <w:rPr>
                <w:rFonts w:ascii="Arial" w:cs="Arial" w:eastAsia="Arial" w:hAnsi="Arial"/>
                <w:sz w:val="18"/>
                <w:szCs w:val="18"/>
                <w:color w:val="auto"/>
              </w:rPr>
              <w:t>Adjust: Change in value of derivatives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(4,988)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(907)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(10,442)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Normalized 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6,607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1920" w:hanging="318"/>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1920" w:right="320" w:hanging="318"/>
        <w:spacing w:after="0" w:line="268"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1920" w:hanging="318"/>
        <w:spacing w:after="0" w:line="259"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59" w:lineRule="exact"/>
        <w:rPr>
          <w:rFonts w:ascii="Arial" w:cs="Arial" w:eastAsia="Arial" w:hAnsi="Arial"/>
          <w:sz w:val="18"/>
          <w:szCs w:val="18"/>
          <w:color w:val="auto"/>
        </w:rPr>
      </w:pPr>
    </w:p>
    <w:p>
      <w:pPr>
        <w:ind w:left="1920" w:hanging="318"/>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1920" w:right="480" w:hanging="318"/>
        <w:spacing w:after="0" w:line="268"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expenses, availability of crew, number of off-hire days, drydocking and survey requirements and insurance costs;</w:t>
      </w:r>
    </w:p>
    <w:p>
      <w:pPr>
        <w:spacing w:after="0" w:line="113" w:lineRule="exact"/>
        <w:rPr>
          <w:rFonts w:ascii="Arial" w:cs="Arial" w:eastAsia="Arial" w:hAnsi="Arial"/>
          <w:sz w:val="16"/>
          <w:szCs w:val="16"/>
          <w:color w:val="auto"/>
        </w:rPr>
      </w:pPr>
    </w:p>
    <w:p>
      <w:pPr>
        <w:ind w:left="1920" w:hanging="318"/>
        <w:spacing w:after="0"/>
        <w:tabs>
          <w:tab w:leader="none" w:pos="1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 market conditions and shipping industry trends, including charter rates and factors affecting supply and demand;</w:t>
      </w:r>
    </w:p>
    <w:p>
      <w:pPr>
        <w:spacing w:after="0" w:line="113" w:lineRule="exact"/>
        <w:rPr>
          <w:rFonts w:ascii="Arial" w:cs="Arial" w:eastAsia="Arial" w:hAnsi="Arial"/>
          <w:sz w:val="16"/>
          <w:szCs w:val="16"/>
          <w:color w:val="auto"/>
        </w:rPr>
      </w:pPr>
    </w:p>
    <w:p>
      <w:pPr>
        <w:ind w:left="1920" w:hanging="318"/>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80"/>
          </w:cols>
          <w:pgMar w:left="240" w:top="274" w:right="279" w:bottom="1440" w:gutter="0" w:footer="0" w:header="0"/>
        </w:sectPr>
      </w:pPr>
    </w:p>
    <w:bookmarkStart w:id="10" w:name="page11"/>
    <w:bookmarkEnd w:id="10"/>
    <w:p>
      <w:pPr>
        <w:ind w:left="1920" w:right="540" w:hanging="318"/>
        <w:spacing w:after="0" w:line="268" w:lineRule="auto"/>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1920" w:right="280" w:hanging="318"/>
        <w:spacing w:after="0" w:line="268" w:lineRule="auto"/>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1920" w:right="40" w:hanging="318"/>
        <w:spacing w:after="0" w:line="268" w:lineRule="auto"/>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2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6"/>
              </w:rPr>
              <w:t>Three months ended 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Time charter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35,867</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39,233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71,076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77,583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11,220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23,154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20,196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46,175</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24,901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31,822</w:t>
            </w:r>
          </w:p>
        </w:tc>
        <w:tc>
          <w:tcPr>
            <w:tcW w:w="0" w:type="dxa"/>
            <w:vAlign w:val="bottom"/>
          </w:tcPr>
          <w:p>
            <w:pPr>
              <w:spacing w:after="0"/>
              <w:rPr>
                <w:sz w:val="1"/>
                <w:szCs w:val="1"/>
                <w:color w:val="auto"/>
              </w:rPr>
            </w:pPr>
          </w:p>
        </w:tc>
      </w:tr>
      <w:tr>
        <w:trPr>
          <w:trHeight w:val="322"/>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(4,776)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(5,349)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(9,676)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10,442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15,532</w:t>
            </w:r>
          </w:p>
        </w:tc>
        <w:tc>
          <w:tcPr>
            <w:tcW w:w="0" w:type="dxa"/>
            <w:vAlign w:val="bottom"/>
          </w:tcPr>
          <w:p>
            <w:pPr>
              <w:spacing w:after="0"/>
              <w:rPr>
                <w:sz w:val="1"/>
                <w:szCs w:val="1"/>
                <w:color w:val="auto"/>
              </w:rPr>
            </w:pPr>
          </w:p>
        </w:tc>
      </w:tr>
      <w:tr>
        <w:trPr>
          <w:trHeight w:val="331"/>
        </w:trPr>
        <w:tc>
          <w:tcPr>
            <w:tcW w:w="53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17,361</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3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Class A common shares outstanding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Basic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47,588,934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47,481,864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47,588,757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47,481,667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47,742,911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47,599,759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47,697,969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47,537,241</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Net income per Class A common share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Class B common shares outstanding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7,405,956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B common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b w:val="1"/>
                <w:bCs w:val="1"/>
                <w:color w:val="auto"/>
                <w:w w:val="82"/>
              </w:rPr>
              <w:t>June 30,</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30,957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838,042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856,394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Other fixed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840,677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859,662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880,900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344,905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Preferred shares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Total long term liabilities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421,760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496,766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537,092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6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214,000,000 shares with a $0.01 par value; 47,513,934 shares issued and outstanding (2012 – 47,481,864)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Class B Common stock – authorized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20,000,000 shares with a $0.01 par value; 7,405,956 shares issued and outstanding (2012 – 7,405,956)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352,501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352,316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384,134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366,588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880,900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0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Three months ended June 30,</w:t>
            </w:r>
          </w:p>
        </w:tc>
        <w:tc>
          <w:tcPr>
            <w:tcW w:w="140" w:type="dxa"/>
            <w:vAlign w:val="bottom"/>
          </w:tcPr>
          <w:p>
            <w:pPr>
              <w:spacing w:after="0"/>
              <w:rPr>
                <w:sz w:val="14"/>
                <w:szCs w:val="14"/>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10,128</w:t>
            </w:r>
          </w:p>
        </w:tc>
        <w:tc>
          <w:tcPr>
            <w:tcW w:w="3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7,514</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17,361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20,196</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 in fair value of derivative instruments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(4,988)</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(10,442)</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8,290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8,526</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Unrealized foreign exchange loss (gain)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40,303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43,542</w:t>
            </w: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hedges which do not qualify for hedge accounting</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(8,290)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paid for drydockings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(9,894)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(13,040)</w:t>
            </w: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(10,797)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(25,597)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(23,855)</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(10,797)</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(12,069)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(25,597)</w:t>
            </w: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(23,855)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26,145</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25,814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30,957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10,401</w:t>
            </w: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tcPr>
          <w:p>
            <w:pPr>
              <w:ind w:left="5420"/>
              <w:spacing w:after="0"/>
              <w:rPr>
                <w:sz w:val="20"/>
                <w:szCs w:val="20"/>
                <w:color w:val="auto"/>
              </w:rPr>
            </w:pPr>
            <w:r>
              <w:rPr>
                <w:rFonts w:ascii="Arial" w:cs="Arial" w:eastAsia="Arial" w:hAnsi="Arial"/>
                <w:sz w:val="18"/>
                <w:szCs w:val="18"/>
                <w:color w:val="auto"/>
              </w:rPr>
              <w:t>Page 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AND SIX MONTH PERIODS ENDED JUNE 30, 2013</w:t>
      </w:r>
    </w:p>
    <w:p>
      <w:pPr>
        <w:sectPr>
          <w:pgSz w:w="11900" w:h="16838" w:orient="portrait"/>
          <w:cols w:equalWidth="0" w:num="1">
            <w:col w:w="10220"/>
          </w:cols>
          <w:pgMar w:left="14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900" w:type="dxa"/>
            <w:vAlign w:val="bottom"/>
            <w:vMerge w:val="restart"/>
          </w:tcPr>
          <w:p>
            <w:pPr>
              <w:ind w:left="460"/>
              <w:spacing w:after="0"/>
              <w:rPr>
                <w:sz w:val="20"/>
                <w:szCs w:val="20"/>
                <w:color w:val="auto"/>
              </w:rPr>
            </w:pPr>
            <w:r>
              <w:rPr>
                <w:rFonts w:ascii="Arial" w:cs="Arial" w:eastAsia="Arial" w:hAnsi="Arial"/>
                <w:sz w:val="14"/>
                <w:szCs w:val="14"/>
                <w:color w:val="auto"/>
              </w:rPr>
              <w:t>Note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30,957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6,417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Other receivables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40,223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90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79"/>
              </w:rPr>
              <w:t>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838,042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856,394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Other fixed assets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0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840,677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859,662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880,900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90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79"/>
              </w:rPr>
              <w:t>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55,174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Accrued expenses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90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75,006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90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79"/>
              </w:rPr>
              <w:t>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344,905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Preferred shares</w:t>
            </w:r>
          </w:p>
        </w:tc>
        <w:tc>
          <w:tcPr>
            <w:tcW w:w="900" w:type="dxa"/>
            <w:vAlign w:val="bottom"/>
          </w:tcPr>
          <w:p>
            <w:pPr>
              <w:jc w:val="center"/>
              <w:ind w:left="214"/>
              <w:spacing w:after="0"/>
              <w:rPr>
                <w:sz w:val="20"/>
                <w:szCs w:val="20"/>
                <w:color w:val="auto"/>
              </w:rPr>
            </w:pPr>
            <w:r>
              <w:rPr>
                <w:rFonts w:ascii="Arial" w:cs="Arial" w:eastAsia="Arial" w:hAnsi="Arial"/>
                <w:sz w:val="18"/>
                <w:szCs w:val="18"/>
                <w:color w:val="auto"/>
                <w:w w:val="79"/>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44,976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90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Total long term liabilities</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421,760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9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496,766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537,092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tcPr>
          <w:p>
            <w:pPr>
              <w:jc w:val="center"/>
              <w:ind w:left="214"/>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8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214,000,000 shares with a $0.01 par value; 47,513,934 shares issued and outstanding (2012 – 47,481,864)</w:t>
            </w:r>
          </w:p>
        </w:tc>
        <w:tc>
          <w:tcPr>
            <w:tcW w:w="90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79"/>
              </w:rPr>
              <w:t>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Class B Common stock – authorized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20,000,000 shares with a $0.01 par value; 7,405,956 shares issued and outstanding (2012 – 7,405,956)</w:t>
            </w:r>
          </w:p>
        </w:tc>
        <w:tc>
          <w:tcPr>
            <w:tcW w:w="90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8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352,501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352,316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384,134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366,588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880,900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9"/>
              </w:rPr>
              <w:t>Three months ended 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360" w:type="dxa"/>
            <w:vAlign w:val="bottom"/>
            <w:vMerge w:val="restart"/>
          </w:tcPr>
          <w:p>
            <w:pPr>
              <w:ind w:left="920"/>
              <w:spacing w:after="0"/>
              <w:rPr>
                <w:sz w:val="20"/>
                <w:szCs w:val="20"/>
                <w:color w:val="auto"/>
              </w:rPr>
            </w:pPr>
            <w:r>
              <w:rPr>
                <w:rFonts w:ascii="Arial" w:cs="Arial" w:eastAsia="Arial" w:hAnsi="Arial"/>
                <w:sz w:val="14"/>
                <w:szCs w:val="14"/>
                <w:color w:val="auto"/>
              </w:rPr>
              <w:t>Note</w:t>
            </w:r>
          </w:p>
        </w:tc>
        <w:tc>
          <w:tcPr>
            <w:tcW w:w="10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Time charter revenue</w:t>
            </w:r>
          </w:p>
        </w:tc>
        <w:tc>
          <w:tcPr>
            <w:tcW w:w="1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35,867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39,233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71,076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77,583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23,154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36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46,175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31,822</w:t>
            </w: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(9,676)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1360" w:type="dxa"/>
            <w:vAlign w:val="bottom"/>
          </w:tcPr>
          <w:p>
            <w:pPr>
              <w:jc w:val="center"/>
              <w:ind w:left="654"/>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10,442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15,532</w:t>
            </w:r>
          </w:p>
        </w:tc>
        <w:tc>
          <w:tcPr>
            <w:tcW w:w="0" w:type="dxa"/>
            <w:vAlign w:val="bottom"/>
          </w:tcPr>
          <w:p>
            <w:pPr>
              <w:spacing w:after="0"/>
              <w:rPr>
                <w:sz w:val="1"/>
                <w:szCs w:val="1"/>
                <w:color w:val="auto"/>
              </w:rPr>
            </w:pPr>
          </w:p>
        </w:tc>
      </w:tr>
      <w:tr>
        <w:trPr>
          <w:trHeight w:val="323"/>
        </w:trPr>
        <w:tc>
          <w:tcPr>
            <w:tcW w:w="55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Basic</w:t>
            </w:r>
          </w:p>
        </w:tc>
        <w:tc>
          <w:tcPr>
            <w:tcW w:w="1360" w:type="dxa"/>
            <w:vAlign w:val="bottom"/>
          </w:tcPr>
          <w:p>
            <w:pPr>
              <w:jc w:val="center"/>
              <w:ind w:left="654"/>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47,588,934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47,481,864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47,588,757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47,481,667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47,742,911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47,599,759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47,697,969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47,537,241</w:t>
            </w:r>
          </w:p>
        </w:tc>
        <w:tc>
          <w:tcPr>
            <w:tcW w:w="0" w:type="dxa"/>
            <w:vAlign w:val="bottom"/>
          </w:tcPr>
          <w:p>
            <w:pPr>
              <w:spacing w:after="0"/>
              <w:rPr>
                <w:sz w:val="1"/>
                <w:szCs w:val="1"/>
                <w:color w:val="auto"/>
              </w:rPr>
            </w:pPr>
          </w:p>
        </w:tc>
      </w:tr>
      <w:tr>
        <w:trPr>
          <w:trHeight w:val="323"/>
        </w:trPr>
        <w:tc>
          <w:tcPr>
            <w:tcW w:w="5540" w:type="dxa"/>
            <w:vAlign w:val="bottom"/>
            <w:gridSpan w:val="2"/>
          </w:tcPr>
          <w:p>
            <w:pPr>
              <w:spacing w:after="0"/>
              <w:rPr>
                <w:sz w:val="20"/>
                <w:szCs w:val="20"/>
                <w:color w:val="auto"/>
              </w:rPr>
            </w:pPr>
            <w:r>
              <w:rPr>
                <w:rFonts w:ascii="Arial" w:cs="Arial" w:eastAsia="Arial" w:hAnsi="Arial"/>
                <w:sz w:val="18"/>
                <w:szCs w:val="18"/>
                <w:color w:val="auto"/>
              </w:rPr>
              <w:t>Net income per Class A common share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360" w:type="dxa"/>
            <w:vAlign w:val="bottom"/>
          </w:tcPr>
          <w:p>
            <w:pPr>
              <w:jc w:val="center"/>
              <w:ind w:left="654"/>
              <w:spacing w:after="0"/>
              <w:rPr>
                <w:sz w:val="20"/>
                <w:szCs w:val="20"/>
                <w:color w:val="auto"/>
              </w:rPr>
            </w:pPr>
            <w:r>
              <w:rPr>
                <w:rFonts w:ascii="Arial" w:cs="Arial" w:eastAsia="Arial" w:hAnsi="Arial"/>
                <w:sz w:val="18"/>
                <w:szCs w:val="18"/>
                <w:color w:val="auto"/>
                <w:w w:val="89"/>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360" w:type="dxa"/>
            <w:vAlign w:val="bottom"/>
          </w:tcPr>
          <w:p>
            <w:pPr>
              <w:jc w:val="center"/>
              <w:ind w:left="654"/>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7,405,956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B common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360" w:type="dxa"/>
            <w:vAlign w:val="bottom"/>
          </w:tcPr>
          <w:p>
            <w:pPr>
              <w:jc w:val="center"/>
              <w:ind w:left="654"/>
              <w:spacing w:after="0"/>
              <w:rPr>
                <w:sz w:val="20"/>
                <w:szCs w:val="20"/>
                <w:color w:val="auto"/>
              </w:rPr>
            </w:pPr>
            <w:r>
              <w:rPr>
                <w:rFonts w:ascii="Arial" w:cs="Arial" w:eastAsia="Arial" w:hAnsi="Arial"/>
                <w:sz w:val="18"/>
                <w:szCs w:val="18"/>
                <w:color w:val="auto"/>
                <w:w w:val="89"/>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88"/>
              </w:rPr>
              <w:t>Three months ended June 30,</w:t>
            </w:r>
          </w:p>
        </w:tc>
        <w:tc>
          <w:tcPr>
            <w:tcW w:w="18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000" w:type="dxa"/>
            <w:vAlign w:val="bottom"/>
            <w:gridSpan w:val="3"/>
            <w:vMerge w:val="restart"/>
          </w:tcPr>
          <w:p>
            <w:pPr>
              <w:jc w:val="right"/>
              <w:ind w:right="272"/>
              <w:spacing w:after="0"/>
              <w:rPr>
                <w:sz w:val="20"/>
                <w:szCs w:val="20"/>
                <w:color w:val="auto"/>
              </w:rPr>
            </w:pPr>
            <w:r>
              <w:rPr>
                <w:rFonts w:ascii="Arial" w:cs="Arial" w:eastAsia="Arial" w:hAnsi="Arial"/>
                <w:sz w:val="14"/>
                <w:szCs w:val="14"/>
                <w:color w:val="auto"/>
              </w:rPr>
              <w:t>Note</w:t>
            </w: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10,128</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7,514</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17,361</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Adjustments to Reconcile Net income to Net Cash Provided by Operating Activities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Depreciation</w:t>
            </w:r>
          </w:p>
        </w:tc>
        <w:tc>
          <w:tcPr>
            <w:tcW w:w="860" w:type="dxa"/>
            <w:vAlign w:val="bottom"/>
          </w:tcPr>
          <w:p>
            <w:pPr>
              <w:jc w:val="center"/>
              <w:ind w:left="94"/>
              <w:spacing w:after="0"/>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10,126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20,196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Change in fair value of derivative instruments</w:t>
            </w:r>
          </w:p>
        </w:tc>
        <w:tc>
          <w:tcPr>
            <w:tcW w:w="860" w:type="dxa"/>
            <w:vAlign w:val="bottom"/>
          </w:tcPr>
          <w:p>
            <w:pPr>
              <w:jc w:val="center"/>
              <w:ind w:left="94"/>
              <w:spacing w:after="0"/>
              <w:rPr>
                <w:sz w:val="20"/>
                <w:szCs w:val="20"/>
                <w:color w:val="auto"/>
              </w:rPr>
            </w:pPr>
            <w:r>
              <w:rPr>
                <w:rFonts w:ascii="Arial" w:cs="Arial" w:eastAsia="Arial" w:hAnsi="Arial"/>
                <w:sz w:val="18"/>
                <w:szCs w:val="18"/>
                <w:color w:val="auto"/>
                <w:w w:val="79"/>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(4,988)</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(10,442)</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860" w:type="dxa"/>
            <w:vAlign w:val="bottom"/>
          </w:tcPr>
          <w:p>
            <w:pPr>
              <w:jc w:val="center"/>
              <w:ind w:left="94"/>
              <w:spacing w:after="0"/>
              <w:rPr>
                <w:sz w:val="20"/>
                <w:szCs w:val="20"/>
                <w:color w:val="auto"/>
              </w:rPr>
            </w:pPr>
            <w:r>
              <w:rPr>
                <w:rFonts w:ascii="Arial" w:cs="Arial" w:eastAsia="Arial" w:hAnsi="Arial"/>
                <w:sz w:val="18"/>
                <w:szCs w:val="18"/>
                <w:color w:val="auto"/>
                <w:w w:val="79"/>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2,876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86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79"/>
              </w:rPr>
              <w:t>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(983)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Unrealized foreign exchange loss (gain)</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21,398</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40,303</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hedges which do not qualify for hedge accounting</w:t>
            </w:r>
          </w:p>
        </w:tc>
        <w:tc>
          <w:tcPr>
            <w:tcW w:w="86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79"/>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(2,876)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paid for drydockings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(9,894)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(13,040)</w:t>
            </w:r>
          </w:p>
        </w:tc>
        <w:tc>
          <w:tcPr>
            <w:tcW w:w="0" w:type="dxa"/>
            <w:vAlign w:val="bottom"/>
          </w:tcPr>
          <w:p>
            <w:pPr>
              <w:spacing w:after="0"/>
              <w:rPr>
                <w:sz w:val="1"/>
                <w:szCs w:val="1"/>
                <w:color w:val="auto"/>
              </w:rPr>
            </w:pPr>
          </w:p>
        </w:tc>
      </w:tr>
      <w:tr>
        <w:trPr>
          <w:trHeight w:val="221"/>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(10,797)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(12,069)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(25,597)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(23,855)</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2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(10,797)</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(12,069)</w:t>
            </w: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(25,597)</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30,144</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26,145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32,461</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10,401</w:t>
            </w:r>
          </w:p>
        </w:tc>
        <w:tc>
          <w:tcPr>
            <w:tcW w:w="0" w:type="dxa"/>
            <w:vAlign w:val="bottom"/>
          </w:tcPr>
          <w:p>
            <w:pPr>
              <w:spacing w:after="0"/>
              <w:rPr>
                <w:sz w:val="1"/>
                <w:szCs w:val="1"/>
                <w:color w:val="auto"/>
              </w:rPr>
            </w:pPr>
          </w:p>
        </w:tc>
      </w:tr>
      <w:tr>
        <w:trPr>
          <w:trHeight w:val="323"/>
        </w:trPr>
        <w:tc>
          <w:tcPr>
            <w:tcW w:w="662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520" w:type="dxa"/>
            <w:vAlign w:val="bottom"/>
            <w:gridSpan w:val="7"/>
          </w:tcPr>
          <w:p>
            <w:pPr>
              <w:jc w:val="center"/>
              <w:ind w:left="2772"/>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600" w:type="dxa"/>
            <w:vAlign w:val="bottom"/>
          </w:tcPr>
          <w:p>
            <w:pPr>
              <w:jc w:val="center"/>
              <w:ind w:left="4712"/>
              <w:spacing w:after="0"/>
              <w:rPr>
                <w:sz w:val="20"/>
                <w:szCs w:val="20"/>
                <w:color w:val="auto"/>
              </w:rPr>
            </w:pPr>
            <w:r>
              <w:rPr>
                <w:rFonts w:ascii="Arial" w:cs="Arial" w:eastAsia="Arial" w:hAnsi="Arial"/>
                <w:sz w:val="18"/>
                <w:szCs w:val="18"/>
                <w:color w:val="auto"/>
                <w:w w:val="84"/>
              </w:rPr>
              <w:t>Page 4</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Changes in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color w:val="auto"/>
                <w:w w:val="85"/>
              </w:rPr>
              <w:t>Retained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Additional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8"/>
              </w:rPr>
              <w:t>Earnings /</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60" w:type="dxa"/>
            <w:vAlign w:val="bottom"/>
          </w:tcPr>
          <w:p>
            <w:pPr>
              <w:jc w:val="right"/>
              <w:ind w:right="56"/>
              <w:spacing w:after="0" w:line="149" w:lineRule="exact"/>
              <w:rPr>
                <w:sz w:val="20"/>
                <w:szCs w:val="20"/>
                <w:color w:val="auto"/>
              </w:rPr>
            </w:pPr>
            <w:r>
              <w:rPr>
                <w:rFonts w:ascii="Arial" w:cs="Arial" w:eastAsia="Arial" w:hAnsi="Arial"/>
                <w:sz w:val="14"/>
                <w:szCs w:val="14"/>
                <w:color w:val="auto"/>
              </w:rPr>
              <w:t>Number of</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Paid in</w:t>
            </w:r>
          </w:p>
        </w:tc>
        <w:tc>
          <w:tcPr>
            <w:tcW w:w="4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7"/>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w w:val="85"/>
              </w:rPr>
              <w:t>Common Stock</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spacing w:after="0" w:line="159" w:lineRule="exact"/>
              <w:rPr>
                <w:sz w:val="20"/>
                <w:szCs w:val="20"/>
                <w:color w:val="auto"/>
              </w:rPr>
            </w:pPr>
            <w:r>
              <w:rPr>
                <w:rFonts w:ascii="Arial" w:cs="Arial" w:eastAsia="Arial" w:hAnsi="Arial"/>
                <w:sz w:val="14"/>
                <w:szCs w:val="14"/>
                <w:color w:val="auto"/>
              </w:rPr>
              <w:t>Stock</w:t>
            </w: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auto"/>
                <w:w w:val="87"/>
              </w:rPr>
              <w:t>Capital</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520"/>
              <w:spacing w:after="0" w:line="159" w:lineRule="exact"/>
              <w:rPr>
                <w:sz w:val="20"/>
                <w:szCs w:val="20"/>
                <w:color w:val="auto"/>
              </w:rPr>
            </w:pPr>
            <w:r>
              <w:rPr>
                <w:rFonts w:ascii="Arial" w:cs="Arial" w:eastAsia="Arial" w:hAnsi="Arial"/>
                <w:sz w:val="14"/>
                <w:szCs w:val="14"/>
                <w:color w:val="auto"/>
                <w:w w:val="96"/>
              </w:rPr>
              <w:t>Deficit)</w:t>
            </w:r>
          </w:p>
        </w:tc>
        <w:tc>
          <w:tcPr>
            <w:tcW w:w="140" w:type="dxa"/>
            <w:vAlign w:val="bottom"/>
          </w:tcPr>
          <w:p>
            <w:pPr>
              <w:spacing w:after="0"/>
              <w:rPr>
                <w:sz w:val="13"/>
                <w:szCs w:val="13"/>
                <w:color w:val="auto"/>
              </w:rPr>
            </w:pPr>
          </w:p>
        </w:tc>
        <w:tc>
          <w:tcPr>
            <w:tcW w:w="7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12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54,869,934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549</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$351,856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4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w w:val="79"/>
              </w:rPr>
              <w:t>460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31,928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54,887,820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549</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$352,316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4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w w:val="79"/>
              </w:rPr>
              <w:t>185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17,361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54,919,890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549</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352,501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384,134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Company owns and charters out containerships. All vessels are time chartered to CMA CGM S.A. (“CMA CGM”) for remaining terms as at June 30, 2013 ranging from 0.85 to 12.50 years (see note 7).</w:t>
      </w:r>
    </w:p>
    <w:p>
      <w:pPr>
        <w:spacing w:after="0" w:line="5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New time charters for Ville d’Aquarius and Ville d’Orion were agreed with CMA CGM to charter the vessels for one year from May 1, 2013 at a fixed rate of $7 per day.</w:t>
      </w:r>
    </w:p>
    <w:p>
      <w:pPr>
        <w:spacing w:after="0" w:line="51"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The following table provides information about the 17 vessels chartered to CMA CGM and which are reflected in these interim unaudited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320" w:type="dxa"/>
            <w:vAlign w:val="bottom"/>
          </w:tcPr>
          <w:p>
            <w:pPr>
              <w:spacing w:after="0"/>
              <w:rPr>
                <w:sz w:val="14"/>
                <w:szCs w:val="14"/>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Year</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Purchase 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in TEUs</w:t>
            </w:r>
          </w:p>
        </w:tc>
        <w:tc>
          <w:tcPr>
            <w:tcW w:w="3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Duration</w:t>
            </w:r>
          </w:p>
        </w:tc>
        <w:tc>
          <w:tcPr>
            <w:tcW w:w="300" w:type="dxa"/>
            <w:vAlign w:val="bottom"/>
          </w:tcPr>
          <w:p>
            <w:pPr>
              <w:spacing w:after="0"/>
              <w:rPr>
                <w:sz w:val="11"/>
                <w:szCs w:val="11"/>
                <w:color w:val="auto"/>
              </w:rPr>
            </w:pPr>
          </w:p>
        </w:tc>
        <w:tc>
          <w:tcPr>
            <w:tcW w:w="6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7"/>
              </w:rPr>
              <w:t>Vessel Name</w:t>
            </w:r>
          </w:p>
        </w:tc>
        <w:tc>
          <w:tcPr>
            <w:tcW w:w="62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320" w:type="dxa"/>
            <w:vAlign w:val="bottom"/>
          </w:tcPr>
          <w:p>
            <w:pPr>
              <w:spacing w:after="0"/>
              <w:rPr>
                <w:sz w:val="15"/>
                <w:szCs w:val="15"/>
                <w:color w:val="auto"/>
              </w:rPr>
            </w:pPr>
          </w:p>
        </w:tc>
        <w:tc>
          <w:tcPr>
            <w:tcW w:w="56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96"/>
              </w:rPr>
              <w:t>Built</w:t>
            </w:r>
          </w:p>
        </w:tc>
        <w:tc>
          <w:tcPr>
            <w:tcW w:w="1340" w:type="dxa"/>
            <w:vAlign w:val="bottom"/>
            <w:gridSpan w:val="2"/>
          </w:tcPr>
          <w:p>
            <w:pPr>
              <w:jc w:val="center"/>
              <w:ind w:right="220"/>
              <w:spacing w:after="0" w:line="154" w:lineRule="exact"/>
              <w:rPr>
                <w:sz w:val="20"/>
                <w:szCs w:val="20"/>
                <w:color w:val="auto"/>
              </w:rPr>
            </w:pPr>
            <w:r>
              <w:rPr>
                <w:rFonts w:ascii="Arial" w:cs="Arial" w:eastAsia="Arial" w:hAnsi="Arial"/>
                <w:sz w:val="11"/>
                <w:szCs w:val="11"/>
                <w:b w:val="1"/>
                <w:bCs w:val="1"/>
                <w:color w:val="auto"/>
              </w:rPr>
              <w:t xml:space="preserve">by GSL </w:t>
            </w:r>
            <w:r>
              <w:rPr>
                <w:rFonts w:ascii="Arial" w:cs="Arial" w:eastAsia="Arial" w:hAnsi="Arial"/>
                <w:sz w:val="17"/>
                <w:szCs w:val="17"/>
                <w:b w:val="1"/>
                <w:bCs w:val="1"/>
                <w:color w:val="auto"/>
                <w:vertAlign w:val="superscript"/>
              </w:rPr>
              <w:t>(2)</w:t>
            </w:r>
          </w:p>
        </w:tc>
        <w:tc>
          <w:tcPr>
            <w:tcW w:w="640" w:type="dxa"/>
            <w:vAlign w:val="bottom"/>
          </w:tcPr>
          <w:p>
            <w:pPr>
              <w:jc w:val="center"/>
              <w:spacing w:after="0" w:line="154" w:lineRule="exact"/>
              <w:rPr>
                <w:sz w:val="20"/>
                <w:szCs w:val="20"/>
                <w:color w:val="auto"/>
              </w:rPr>
            </w:pPr>
            <w:r>
              <w:rPr>
                <w:rFonts w:ascii="Arial" w:cs="Arial" w:eastAsia="Arial" w:hAnsi="Arial"/>
                <w:sz w:val="11"/>
                <w:szCs w:val="11"/>
                <w:b w:val="1"/>
                <w:bCs w:val="1"/>
                <w:color w:val="auto"/>
              </w:rPr>
              <w:t xml:space="preserve">(years) </w:t>
            </w:r>
            <w:r>
              <w:rPr>
                <w:rFonts w:ascii="Arial" w:cs="Arial" w:eastAsia="Arial" w:hAnsi="Arial"/>
                <w:sz w:val="17"/>
                <w:szCs w:val="17"/>
                <w:b w:val="1"/>
                <w:bCs w:val="1"/>
                <w:color w:val="auto"/>
                <w:vertAlign w:val="superscript"/>
              </w:rPr>
              <w:t>(3)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3"/>
        </w:trPr>
        <w:tc>
          <w:tcPr>
            <w:tcW w:w="7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Ville d’Orion </w:t>
            </w:r>
            <w:r>
              <w:rPr>
                <w:rFonts w:ascii="Arial" w:cs="Arial" w:eastAsia="Arial" w:hAnsi="Arial"/>
                <w:sz w:val="11"/>
                <w:szCs w:val="11"/>
                <w:color w:val="auto"/>
              </w:rPr>
              <w:t>(4)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1997</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December 2007</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0.85</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 xml:space="preserve">Ville d’Aquarius </w:t>
            </w:r>
            <w:r>
              <w:rPr>
                <w:rFonts w:ascii="Arial" w:cs="Arial" w:eastAsia="Arial" w:hAnsi="Arial"/>
                <w:sz w:val="11"/>
                <w:szCs w:val="11"/>
                <w:color w:val="auto"/>
              </w:rPr>
              <w:t>(4)</w:t>
            </w:r>
          </w:p>
        </w:tc>
        <w:tc>
          <w:tcPr>
            <w:tcW w:w="540" w:type="dxa"/>
            <w:vAlign w:val="bottom"/>
          </w:tcPr>
          <w:p>
            <w:pPr>
              <w:jc w:val="right"/>
              <w:spacing w:after="0"/>
              <w:rPr>
                <w:sz w:val="20"/>
                <w:szCs w:val="20"/>
                <w:color w:val="auto"/>
              </w:rPr>
            </w:pPr>
            <w:r>
              <w:rPr>
                <w:rFonts w:ascii="Arial" w:cs="Arial" w:eastAsia="Arial" w:hAnsi="Arial"/>
                <w:sz w:val="18"/>
                <w:szCs w:val="18"/>
                <w:color w:val="auto"/>
              </w:rPr>
              <w:t>4,113</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1996</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right"/>
              <w:spacing w:after="0"/>
              <w:rPr>
                <w:sz w:val="20"/>
                <w:szCs w:val="20"/>
                <w:color w:val="auto"/>
              </w:rPr>
            </w:pPr>
            <w:r>
              <w:rPr>
                <w:rFonts w:ascii="Arial" w:cs="Arial" w:eastAsia="Arial" w:hAnsi="Arial"/>
                <w:sz w:val="18"/>
                <w:szCs w:val="18"/>
                <w:color w:val="auto"/>
              </w:rPr>
              <w:t>0.85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1999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540" w:type="dxa"/>
            <w:vAlign w:val="bottom"/>
          </w:tcPr>
          <w:p>
            <w:pPr>
              <w:jc w:val="right"/>
              <w:spacing w:after="0"/>
              <w:rPr>
                <w:sz w:val="20"/>
                <w:szCs w:val="20"/>
                <w:color w:val="auto"/>
              </w:rPr>
            </w:pPr>
            <w:r>
              <w:rPr>
                <w:rFonts w:ascii="Arial" w:cs="Arial" w:eastAsia="Arial" w:hAnsi="Arial"/>
                <w:sz w:val="18"/>
                <w:szCs w:val="18"/>
                <w:color w:val="auto"/>
              </w:rPr>
              <w:t>2,262</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1999</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right"/>
              <w:spacing w:after="0"/>
              <w:rPr>
                <w:sz w:val="20"/>
                <w:szCs w:val="20"/>
                <w:color w:val="auto"/>
              </w:rPr>
            </w:pPr>
            <w:r>
              <w:rPr>
                <w:rFonts w:ascii="Arial" w:cs="Arial" w:eastAsia="Arial" w:hAnsi="Arial"/>
                <w:sz w:val="18"/>
                <w:szCs w:val="18"/>
                <w:color w:val="auto"/>
              </w:rPr>
              <w:t>3.50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540" w:type="dxa"/>
            <w:vAlign w:val="bottom"/>
          </w:tcPr>
          <w:p>
            <w:pPr>
              <w:jc w:val="right"/>
              <w:spacing w:after="0"/>
              <w:rPr>
                <w:sz w:val="20"/>
                <w:szCs w:val="20"/>
                <w:color w:val="auto"/>
              </w:rPr>
            </w:pPr>
            <w:r>
              <w:rPr>
                <w:rFonts w:ascii="Arial" w:cs="Arial" w:eastAsia="Arial" w:hAnsi="Arial"/>
                <w:sz w:val="18"/>
                <w:szCs w:val="18"/>
                <w:color w:val="auto"/>
              </w:rPr>
              <w:t>2,207</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2002</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right"/>
              <w:spacing w:after="0"/>
              <w:rPr>
                <w:sz w:val="20"/>
                <w:szCs w:val="20"/>
                <w:color w:val="auto"/>
              </w:rPr>
            </w:pPr>
            <w:r>
              <w:rPr>
                <w:rFonts w:ascii="Arial" w:cs="Arial" w:eastAsia="Arial" w:hAnsi="Arial"/>
                <w:sz w:val="18"/>
                <w:szCs w:val="18"/>
                <w:color w:val="auto"/>
              </w:rPr>
              <w:t>4.50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540" w:type="dxa"/>
            <w:vAlign w:val="bottom"/>
          </w:tcPr>
          <w:p>
            <w:pPr>
              <w:jc w:val="right"/>
              <w:spacing w:after="0"/>
              <w:rPr>
                <w:sz w:val="20"/>
                <w:szCs w:val="20"/>
                <w:color w:val="auto"/>
              </w:rPr>
            </w:pPr>
            <w:r>
              <w:rPr>
                <w:rFonts w:ascii="Arial" w:cs="Arial" w:eastAsia="Arial" w:hAnsi="Arial"/>
                <w:sz w:val="18"/>
                <w:szCs w:val="18"/>
                <w:color w:val="auto"/>
              </w:rPr>
              <w:t>2,207</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2002</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right"/>
              <w:spacing w:after="0"/>
              <w:rPr>
                <w:sz w:val="20"/>
                <w:szCs w:val="20"/>
                <w:color w:val="auto"/>
              </w:rPr>
            </w:pPr>
            <w:r>
              <w:rPr>
                <w:rFonts w:ascii="Arial" w:cs="Arial" w:eastAsia="Arial" w:hAnsi="Arial"/>
                <w:sz w:val="18"/>
                <w:szCs w:val="18"/>
                <w:color w:val="auto"/>
              </w:rPr>
              <w:t>4.50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540" w:type="dxa"/>
            <w:vAlign w:val="bottom"/>
          </w:tcPr>
          <w:p>
            <w:pPr>
              <w:jc w:val="right"/>
              <w:spacing w:after="0"/>
              <w:rPr>
                <w:sz w:val="20"/>
                <w:szCs w:val="20"/>
                <w:color w:val="auto"/>
              </w:rPr>
            </w:pPr>
            <w:r>
              <w:rPr>
                <w:rFonts w:ascii="Arial" w:cs="Arial" w:eastAsia="Arial" w:hAnsi="Arial"/>
                <w:sz w:val="18"/>
                <w:szCs w:val="18"/>
                <w:color w:val="auto"/>
              </w:rPr>
              <w:t>2,272</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2001</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right"/>
              <w:spacing w:after="0"/>
              <w:rPr>
                <w:sz w:val="20"/>
                <w:szCs w:val="20"/>
                <w:color w:val="auto"/>
              </w:rPr>
            </w:pPr>
            <w:r>
              <w:rPr>
                <w:rFonts w:ascii="Arial" w:cs="Arial" w:eastAsia="Arial" w:hAnsi="Arial"/>
                <w:sz w:val="18"/>
                <w:szCs w:val="18"/>
                <w:color w:val="auto"/>
              </w:rPr>
              <w:t>3.50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January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540" w:type="dxa"/>
            <w:vAlign w:val="bottom"/>
          </w:tcPr>
          <w:p>
            <w:pPr>
              <w:jc w:val="right"/>
              <w:spacing w:after="0"/>
              <w:rPr>
                <w:sz w:val="20"/>
                <w:szCs w:val="20"/>
                <w:color w:val="auto"/>
              </w:rPr>
            </w:pPr>
            <w:r>
              <w:rPr>
                <w:rFonts w:ascii="Arial" w:cs="Arial" w:eastAsia="Arial" w:hAnsi="Arial"/>
                <w:sz w:val="18"/>
                <w:szCs w:val="18"/>
                <w:color w:val="auto"/>
              </w:rPr>
              <w:t>5,089</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2007</w:t>
            </w: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January 2008</w:t>
            </w:r>
          </w:p>
        </w:tc>
        <w:tc>
          <w:tcPr>
            <w:tcW w:w="640" w:type="dxa"/>
            <w:vAlign w:val="bottom"/>
          </w:tcPr>
          <w:p>
            <w:pPr>
              <w:jc w:val="right"/>
              <w:spacing w:after="0"/>
              <w:rPr>
                <w:sz w:val="20"/>
                <w:szCs w:val="20"/>
                <w:color w:val="auto"/>
              </w:rPr>
            </w:pPr>
            <w:r>
              <w:rPr>
                <w:rFonts w:ascii="Arial" w:cs="Arial" w:eastAsia="Arial" w:hAnsi="Arial"/>
                <w:sz w:val="18"/>
                <w:szCs w:val="18"/>
                <w:color w:val="auto"/>
              </w:rPr>
              <w:t>7.50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11,040</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540" w:type="dxa"/>
            <w:vAlign w:val="bottom"/>
          </w:tcPr>
          <w:p>
            <w:pPr>
              <w:jc w:val="right"/>
              <w:spacing w:after="0"/>
              <w:rPr>
                <w:sz w:val="20"/>
                <w:szCs w:val="20"/>
                <w:color w:val="auto"/>
              </w:rPr>
            </w:pPr>
            <w:r>
              <w:rPr>
                <w:rFonts w:ascii="Arial" w:cs="Arial" w:eastAsia="Arial" w:hAnsi="Arial"/>
                <w:sz w:val="18"/>
                <w:szCs w:val="18"/>
                <w:color w:val="auto"/>
              </w:rPr>
              <w:t>4,298</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2006</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540" w:type="dxa"/>
            <w:vAlign w:val="bottom"/>
          </w:tcPr>
          <w:p>
            <w:pPr>
              <w:jc w:val="right"/>
              <w:spacing w:after="0"/>
              <w:rPr>
                <w:sz w:val="20"/>
                <w:szCs w:val="20"/>
                <w:color w:val="auto"/>
              </w:rPr>
            </w:pPr>
            <w:r>
              <w:rPr>
                <w:rFonts w:ascii="Arial" w:cs="Arial" w:eastAsia="Arial" w:hAnsi="Arial"/>
                <w:sz w:val="18"/>
                <w:szCs w:val="18"/>
                <w:color w:val="auto"/>
              </w:rPr>
              <w:t>4,045</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2006</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August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As at June 30, 2013. Plus or minus 90 days, other than Ville d’Orion and Ville d’Aquarius, at charterer’s option.</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New charters commenced on May 1, 2013 and will expire on April 30, 2014 plus or minus 30 days at charterer’s option.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8"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0"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risk</w:t>
      </w:r>
    </w:p>
    <w:p>
      <w:pPr>
        <w:spacing w:after="0" w:line="96" w:lineRule="exact"/>
        <w:rPr>
          <w:sz w:val="20"/>
          <w:szCs w:val="20"/>
          <w:color w:val="auto"/>
        </w:rPr>
      </w:pPr>
    </w:p>
    <w:p>
      <w:pPr>
        <w:ind w:left="452" w:right="140"/>
        <w:spacing w:after="0" w:line="306"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are reporting losses.</w:t>
      </w:r>
    </w:p>
    <w:p>
      <w:pPr>
        <w:spacing w:after="0" w:line="26" w:lineRule="exact"/>
        <w:rPr>
          <w:sz w:val="20"/>
          <w:szCs w:val="20"/>
          <w:color w:val="auto"/>
        </w:rPr>
      </w:pPr>
    </w:p>
    <w:p>
      <w:pPr>
        <w:ind w:left="452" w:right="140"/>
        <w:spacing w:after="0" w:line="298" w:lineRule="auto"/>
        <w:rPr>
          <w:sz w:val="20"/>
          <w:szCs w:val="20"/>
          <w:color w:val="auto"/>
        </w:rPr>
      </w:pPr>
      <w:r>
        <w:rPr>
          <w:rFonts w:ascii="Arial" w:cs="Arial" w:eastAsia="Arial" w:hAnsi="Arial"/>
          <w:sz w:val="16"/>
          <w:szCs w:val="16"/>
          <w:color w:val="auto"/>
        </w:rPr>
        <w:t>On February 12, 2013 CMA CGM announced it had finalised a financial restructuring, having reached agreement with its banks regarding a restructuring of their debt and a new covenant package taking into account the volatile nature of the container shipping industry. Other parts of this restructuring have been the French Fonds Strategique d’Investissement investment of $150 million in bonds redeemable for shares (completed June 2013) and an additional investment by the Yildrim Group of $100 million, also for bonds redeemable for shares.</w:t>
      </w:r>
    </w:p>
    <w:p>
      <w:pPr>
        <w:spacing w:after="0" w:line="32" w:lineRule="exact"/>
        <w:rPr>
          <w:sz w:val="20"/>
          <w:szCs w:val="20"/>
          <w:color w:val="auto"/>
        </w:rPr>
      </w:pPr>
    </w:p>
    <w:p>
      <w:pPr>
        <w:ind w:left="452" w:right="60"/>
        <w:spacing w:after="0" w:line="256"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62" w:lineRule="exact"/>
        <w:rPr>
          <w:sz w:val="20"/>
          <w:szCs w:val="20"/>
          <w:color w:val="auto"/>
        </w:rPr>
      </w:pPr>
    </w:p>
    <w:p>
      <w:pPr>
        <w:ind w:left="452" w:right="120"/>
        <w:spacing w:after="0" w:line="298" w:lineRule="auto"/>
        <w:rPr>
          <w:sz w:val="20"/>
          <w:szCs w:val="20"/>
          <w:color w:val="auto"/>
        </w:rPr>
      </w:pPr>
      <w:r>
        <w:rPr>
          <w:rFonts w:ascii="Arial" w:cs="Arial" w:eastAsia="Arial" w:hAnsi="Arial"/>
          <w:sz w:val="16"/>
          <w:szCs w:val="16"/>
          <w:color w:val="auto"/>
        </w:rPr>
        <w:t>The Company has experienced delays in receiving charterhire from CMA CGM, where between one and three instalments have been outstanding. Under the charter contracts charterhire is due to be paid every 15 days in advance on the 1st and 16th of each month. As at June 30, 2013, one period of charterhire, due on June 16, 2013, was outstanding amounting to $5,797. This was received in July 2013. As at close of business on August 12, 2013, one period of charterhire, due on August 1, 2013 amounting to $5,797 was outstanding.</w:t>
      </w:r>
    </w:p>
    <w:p>
      <w:pPr>
        <w:spacing w:after="0" w:line="32" w:lineRule="exact"/>
        <w:rPr>
          <w:sz w:val="20"/>
          <w:szCs w:val="20"/>
          <w:color w:val="auto"/>
        </w:rPr>
      </w:pPr>
    </w:p>
    <w:p>
      <w:pPr>
        <w:ind w:left="452" w:right="160"/>
        <w:spacing w:after="0" w:line="256"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259" w:lineRule="exact"/>
        <w:rPr>
          <w:sz w:val="20"/>
          <w:szCs w:val="20"/>
          <w:color w:val="auto"/>
        </w:rPr>
      </w:pPr>
    </w:p>
    <w:p>
      <w:pPr>
        <w:ind w:left="892" w:hanging="446"/>
        <w:spacing w:after="0"/>
        <w:tabs>
          <w:tab w:leader="none" w:pos="89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left="452" w:right="100"/>
        <w:spacing w:after="0" w:line="259" w:lineRule="auto"/>
        <w:rPr>
          <w:sz w:val="20"/>
          <w:szCs w:val="20"/>
          <w:color w:val="auto"/>
        </w:rPr>
      </w:pPr>
      <w:r>
        <w:rPr>
          <w:rFonts w:ascii="Arial" w:cs="Arial" w:eastAsia="Arial" w:hAnsi="Arial"/>
          <w:sz w:val="18"/>
          <w:szCs w:val="18"/>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cannot exceed 75%.</w:t>
      </w:r>
    </w:p>
    <w:p>
      <w:pPr>
        <w:spacing w:after="0" w:line="59" w:lineRule="exact"/>
        <w:rPr>
          <w:sz w:val="20"/>
          <w:szCs w:val="20"/>
          <w:color w:val="auto"/>
        </w:rPr>
      </w:pPr>
    </w:p>
    <w:p>
      <w:pPr>
        <w:ind w:left="452"/>
        <w:spacing w:after="0" w:line="255" w:lineRule="auto"/>
        <w:rPr>
          <w:sz w:val="20"/>
          <w:szCs w:val="20"/>
          <w:color w:val="auto"/>
        </w:rPr>
      </w:pPr>
      <w:r>
        <w:rPr>
          <w:rFonts w:ascii="Arial" w:cs="Arial" w:eastAsia="Arial" w:hAnsi="Arial"/>
          <w:sz w:val="18"/>
          <w:szCs w:val="18"/>
          <w:color w:val="auto"/>
        </w:rPr>
        <w:t>As the Company anticipated that the Leverage Ratio as at November 30, 2012 would, if tested, exceed 75%, it agreed with its lenders on November 13, 2012, to a further waiver, for two years, of the requirement to perform the Leverage Ratio test. The next scheduled test will be December 1, 2014. As a result of the waiver, debt cannot be accelerated for the Leverage Ratio during the waiver period and debt estimated to be payable after one year is classified as non-current in the consolidated balance sheet and the consolidated financial statements have been prepared assuming that the Company will continue as a going concern.</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72"/>
          </w:cols>
          <w:pgMar w:left="248" w:top="274" w:right="279" w:bottom="1440" w:gutter="0" w:footer="0" w:header="0"/>
        </w:sectPr>
      </w:pPr>
    </w:p>
    <w:bookmarkStart w:id="21" w:name="page22"/>
    <w:bookmarkEnd w:id="2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52"/>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w:t>
      </w:r>
    </w:p>
    <w:p>
      <w:pPr>
        <w:spacing w:after="0" w:line="1" w:lineRule="exact"/>
        <w:rPr>
          <w:rFonts w:ascii="Arial" w:cs="Arial" w:eastAsia="Arial" w:hAnsi="Arial"/>
          <w:sz w:val="18"/>
          <w:szCs w:val="18"/>
          <w:b w:val="1"/>
          <w:bCs w:val="1"/>
          <w:color w:val="auto"/>
        </w:rPr>
      </w:pPr>
    </w:p>
    <w:p>
      <w:pPr>
        <w:ind w:left="452" w:right="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These interim unaudited consolidated financial statements should be read in conjunction with the Company’s financial statements as of December 31, 2012 filed with the Securities and Exchange Commission on April 12, 2013 in the Company’s Annual Report on Form 20-F.</w:t>
      </w:r>
    </w:p>
    <w:p>
      <w:pPr>
        <w:spacing w:after="0" w:line="17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Impairment Testing</w:t>
      </w:r>
    </w:p>
    <w:p>
      <w:pPr>
        <w:spacing w:after="0" w:line="90" w:lineRule="exact"/>
        <w:rPr>
          <w:rFonts w:ascii="Arial" w:cs="Arial" w:eastAsia="Arial" w:hAnsi="Arial"/>
          <w:sz w:val="18"/>
          <w:szCs w:val="18"/>
          <w:b w:val="1"/>
          <w:bCs w:val="1"/>
          <w:color w:val="auto"/>
        </w:rPr>
      </w:pPr>
    </w:p>
    <w:p>
      <w:pPr>
        <w:ind w:left="452"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decline in charter free vessel values referred to in note 2(b)(ii) was seen as an indicator of potential impairment of the carrying value of the Company’s vessels as at December 31, 2012. Accordingly, an impairment test, based on expected undiscounted cash flows by vessel, was performed as at that date. Based on the assumptions made, the expected undiscounted future cash flows exceeded the vessels’ carrying amounts and accordingly no impairment was recognised.</w:t>
      </w:r>
    </w:p>
    <w:p>
      <w:pPr>
        <w:spacing w:after="0" w:line="62" w:lineRule="exact"/>
        <w:rPr>
          <w:rFonts w:ascii="Arial" w:cs="Arial" w:eastAsia="Arial" w:hAnsi="Arial"/>
          <w:sz w:val="18"/>
          <w:szCs w:val="18"/>
          <w:b w:val="1"/>
          <w:bCs w:val="1"/>
          <w:color w:val="auto"/>
        </w:rPr>
      </w:pPr>
    </w:p>
    <w:p>
      <w:pPr>
        <w:ind w:left="452"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agreement of new charters with effect from May 1, 2013 of two of the Company’s vessels at rates below the previous rates was seen as an indicator of potential impairment of their carrying value. Accordingly, an impairment test, based on expected undiscounted cash flows by vessel, was performed for these two vessels as at March 31, 2013. Based on the assumptions made, the expected undiscounted future cash flows exceeded the vessels’ carrying amounts as at March 31, 2013 and accordingly no impairment was recognised.</w:t>
      </w:r>
    </w:p>
    <w:p>
      <w:pPr>
        <w:spacing w:after="0" w:line="31" w:lineRule="exact"/>
        <w:rPr>
          <w:rFonts w:ascii="Arial" w:cs="Arial" w:eastAsia="Arial" w:hAnsi="Arial"/>
          <w:sz w:val="18"/>
          <w:szCs w:val="18"/>
          <w:b w:val="1"/>
          <w:bCs w:val="1"/>
          <w:color w:val="auto"/>
        </w:rPr>
      </w:pPr>
    </w:p>
    <w:p>
      <w:pPr>
        <w:ind w:left="452"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19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90" w:lineRule="exact"/>
        <w:rPr>
          <w:rFonts w:ascii="Arial" w:cs="Arial" w:eastAsia="Arial" w:hAnsi="Arial"/>
          <w:sz w:val="18"/>
          <w:szCs w:val="18"/>
          <w:b w:val="1"/>
          <w:bCs w:val="1"/>
          <w:color w:val="auto"/>
        </w:rPr>
      </w:pPr>
    </w:p>
    <w:p>
      <w:pPr>
        <w:jc w:val="both"/>
        <w:ind w:left="45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January 2013, the Financial Accounting Standards Board (“FASB”) issued an accounting standards update (Topic 210) that clarified a previous update issued in 2011 in respect of disclosure of offsetting assets and liabilities. The amendment is effective for annual and interim periods beginning on or after January 1, 2013. The adoption of this update has led to minor disclosure amendments.</w:t>
      </w:r>
    </w:p>
    <w:p>
      <w:pPr>
        <w:spacing w:after="0" w:line="59" w:lineRule="exact"/>
        <w:rPr>
          <w:rFonts w:ascii="Arial" w:cs="Arial" w:eastAsia="Arial" w:hAnsi="Arial"/>
          <w:sz w:val="18"/>
          <w:szCs w:val="18"/>
          <w:b w:val="1"/>
          <w:bCs w:val="1"/>
          <w:color w:val="auto"/>
        </w:rPr>
      </w:pPr>
    </w:p>
    <w:p>
      <w:pPr>
        <w:ind w:left="452"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February 2013, FASB issued an update amending certain requirements for the reporting of joint and several liability arrangements (Topic 405). A reporting entity will be required to make increased disclosure of obligations resulting from joint and several liability arrangements for which the total amount of the obligation is fixed at the reporting date. The amendment is effective for annual and interim periods beginning on or after December 15, 2013 and early adoption is permitted. The adoption of this update has led to minor disclosure amendments.</w:t>
      </w:r>
    </w:p>
    <w:p>
      <w:pPr>
        <w:spacing w:after="0" w:line="31"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92"/>
          </w:cols>
          <w:pgMar w:left="248" w:top="274" w:right="25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57"/>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08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$1,014,473</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$1,014,367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85"/>
              </w:rPr>
              <w:t>(176,431)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(158,205)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Drydock – in progress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24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230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838,042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856,394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52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Intangible Assets</w:t>
            </w:r>
          </w:p>
        </w:tc>
        <w:tc>
          <w:tcPr>
            <w:tcW w:w="2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524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Opening balance</w:t>
            </w:r>
          </w:p>
        </w:tc>
        <w:tc>
          <w:tcPr>
            <w:tcW w:w="2460" w:type="dxa"/>
            <w:vAlign w:val="bottom"/>
            <w:gridSpan w:val="4"/>
          </w:tcPr>
          <w:p>
            <w:pPr>
              <w:ind w:left="23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3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2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 until October 2012, when it transferred its exposure to OCM Starfish Debtco S.àr.l. In February 2013, one member of the syndicate novated part of their commitment to the following funds: FPA Hawkeye-7 Fund, FPA Crescent Fund, FPA Hawkeye Fund and FPA Value Partners Fund.</w:t>
      </w:r>
    </w:p>
    <w:p>
      <w:pPr>
        <w:spacing w:after="0" w:line="34" w:lineRule="exact"/>
        <w:rPr>
          <w:rFonts w:ascii="Arial" w:cs="Arial" w:eastAsia="Arial" w:hAnsi="Arial"/>
          <w:sz w:val="18"/>
          <w:szCs w:val="18"/>
          <w:b w:val="1"/>
          <w:bCs w:val="1"/>
          <w:color w:val="auto"/>
        </w:rPr>
      </w:pPr>
    </w:p>
    <w:p>
      <w:pPr>
        <w:jc w:val="both"/>
        <w:ind w:left="460" w:right="1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Leverage Ratio is not permitted to exceed 75%.</w:t>
      </w:r>
    </w:p>
    <w:p>
      <w:pPr>
        <w:spacing w:after="0" w:line="90" w:lineRule="exact"/>
        <w:rPr>
          <w:rFonts w:ascii="Arial" w:cs="Arial" w:eastAsia="Arial" w:hAnsi="Arial"/>
          <w:sz w:val="18"/>
          <w:szCs w:val="18"/>
          <w:b w:val="1"/>
          <w:bCs w:val="1"/>
          <w:color w:val="auto"/>
        </w:rPr>
      </w:pPr>
    </w:p>
    <w:p>
      <w:pPr>
        <w:jc w:val="both"/>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a repayment of $13,816 was made on March 31, 2011.</w:t>
      </w:r>
    </w:p>
    <w:p>
      <w:pPr>
        <w:spacing w:after="0" w:line="25" w:lineRule="exact"/>
        <w:rPr>
          <w:rFonts w:ascii="Arial" w:cs="Arial" w:eastAsia="Arial" w:hAnsi="Arial"/>
          <w:sz w:val="18"/>
          <w:szCs w:val="18"/>
          <w:b w:val="1"/>
          <w:bCs w:val="1"/>
          <w:color w:val="auto"/>
        </w:rPr>
      </w:pPr>
    </w:p>
    <w:p>
      <w:pPr>
        <w:ind w:left="460" w:right="3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At April 30, 2011 the Leverage Ratio was less than 75% and greater than 65%. Accordingly, from that date (i) interest margin paid on borrowings was 3.00% (ii) repayments of borrowings were fixed at $10,000 per quarter, and (iii) the Company was able to make dividend payments to common shareholders, although no such dividends were paid. On this basis, further repayments of $10,000 were made on both June 30, 2011 and September 30, 2011.</w:t>
      </w:r>
    </w:p>
    <w:p>
      <w:pPr>
        <w:spacing w:after="0" w:line="62"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Due to the downturn after April 2011 in charter free market values of containerships, on November 30, 2011 the Company obtained a waiver from its lenders of the requirement to perform the Leverage Ratio test until November 30, 2012. Accordingly from November 30, 2011 (i) the interest margin on borrowings reverted to 3.50% (ii) quarterly repayments of borrowings to be made in an amount equal to free cash in excess of $20,000 determined as at the previous month end subject to a minimum of $40,000 repayment a year on a rolling 12 month trailing basis, and (iii) the Company was unable to make dividend payments to common shareholders. On this basis, repayments were made of $15,341 on December 31, 2011 and $11,788 on March 30, 2012.</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80"/>
          </w:cols>
          <w:pgMar w:left="240" w:top="274" w:right="27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3" w:lineRule="exact"/>
        <w:rPr>
          <w:rFonts w:ascii="Arial" w:cs="Arial" w:eastAsia="Arial" w:hAnsi="Arial"/>
          <w:sz w:val="18"/>
          <w:szCs w:val="18"/>
          <w:b w:val="1"/>
          <w:bCs w:val="1"/>
          <w:color w:val="auto"/>
        </w:rPr>
      </w:pPr>
    </w:p>
    <w:p>
      <w:pPr>
        <w:ind w:left="452"/>
        <w:spacing w:after="0" w:line="304" w:lineRule="auto"/>
        <w:rPr>
          <w:rFonts w:ascii="Arial" w:cs="Arial" w:eastAsia="Arial" w:hAnsi="Arial"/>
          <w:sz w:val="18"/>
          <w:szCs w:val="18"/>
          <w:b w:val="1"/>
          <w:bCs w:val="1"/>
          <w:color w:val="auto"/>
        </w:rPr>
      </w:pPr>
      <w:r>
        <w:rPr>
          <w:rFonts w:ascii="Arial" w:cs="Arial" w:eastAsia="Arial" w:hAnsi="Arial"/>
          <w:sz w:val="16"/>
          <w:szCs w:val="16"/>
          <w:color w:val="auto"/>
        </w:rPr>
        <w:t>As the Company anticipated, due to continuing poor industry conditions, that the Leverage Ratio as at November 30, 2012 would, if tested, exceed 75%, it agreed with its lenders on November 13, 2012, to a further waiver, for two years, of the requirement to perform the Leverage Ratio test. Accordingly, the next scheduled test will be December 1, 2014. In this waiver period, the fixed interest margin to be paid over U.S. dollar LIBOR is 3.75%, repayments are based on cash flow, as in the previous waiver, and dividends on common shares cannot be paid. As a result of the new waiver, debt cannot be accelerated for the Leverage Ratio during the waiver period and debt estimated to be payable after one year is classified as non-current in the consolidated balance sheets. It was also agreed that all secured vessels will be included in the Leverage Ratio test, whether they are subject to a charter or not. Under the terms of the new waiver, repayments of the credit facility were made of $11,080 on December 31, 2012, $14,800 on March 28, 2013 and $10,797 on June 28, 2013. The final maturity date of the credit facility is August 14, 2016 at which point any remaining outstanding balance must be repaid.</w:t>
      </w:r>
    </w:p>
    <w:p>
      <w:pPr>
        <w:spacing w:after="0" w:line="26" w:lineRule="exact"/>
        <w:rPr>
          <w:rFonts w:ascii="Arial" w:cs="Arial" w:eastAsia="Arial" w:hAnsi="Arial"/>
          <w:sz w:val="18"/>
          <w:szCs w:val="18"/>
          <w:b w:val="1"/>
          <w:bCs w:val="1"/>
          <w:color w:val="auto"/>
        </w:rPr>
      </w:pPr>
    </w:p>
    <w:p>
      <w:pPr>
        <w:ind w:left="452"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Company’s 17 vessels, a pledge of shares of the vessel owning subsidiaries as well as assignments of earnings and insurances. The Company, along with all of its subsidiaries, is jointly and severally liable for the total amount of the outstanding credit facility.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 term debt is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June 30,</w:t>
            </w:r>
          </w:p>
        </w:tc>
        <w:tc>
          <w:tcPr>
            <w:tcW w:w="1120" w:type="dxa"/>
            <w:vAlign w:val="bottom"/>
            <w:gridSpan w:val="4"/>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26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+ 3.50% to 3.75%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$400,079</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425,676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current instalments of long term debt</w:t>
            </w:r>
          </w:p>
        </w:tc>
        <w:tc>
          <w:tcPr>
            <w:tcW w:w="15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(55,174)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(50,572)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344,905</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375,104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20"/>
        <w:spacing w:after="0" w:line="306" w:lineRule="auto"/>
        <w:rPr>
          <w:sz w:val="20"/>
          <w:szCs w:val="20"/>
          <w:color w:val="auto"/>
        </w:rPr>
      </w:pPr>
      <w:r>
        <w:rPr>
          <w:rFonts w:ascii="Arial" w:cs="Arial" w:eastAsia="Arial" w:hAnsi="Arial"/>
          <w:sz w:val="16"/>
          <w:szCs w:val="16"/>
          <w:color w:val="auto"/>
        </w:rPr>
        <w:t>Based on (i) management’s reasonable estimate of cash flows from July 1, 2013 and (ii) the waiver of the requirement to test the Leverage Ratio until December 1, 2014 at which point it is assumed to be less than 75% meaning that the Company will be able to comply with the leverage ratio covenant at its next measurement date, the estimated repayments in each of the relevant periods are as follows:</w:t>
      </w:r>
    </w:p>
    <w:p>
      <w:pPr>
        <w:spacing w:after="0" w:line="143" w:lineRule="exact"/>
        <w:rPr>
          <w:sz w:val="20"/>
          <w:szCs w:val="20"/>
          <w:color w:val="auto"/>
        </w:rPr>
      </w:pPr>
    </w:p>
    <w:tbl>
      <w:tblPr>
        <w:tblLayout w:type="fixed"/>
        <w:tblInd w:w="1832" w:type="dxa"/>
        <w:tblCellMar>
          <w:top w:w="0" w:type="dxa"/>
          <w:left w:w="0" w:type="dxa"/>
          <w:bottom w:w="0" w:type="dxa"/>
          <w:right w:w="0" w:type="dxa"/>
        </w:tblCellMar>
      </w:tblPr>
      <w:tr>
        <w:trPr>
          <w:trHeight w:val="174"/>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2015</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2017</w:t>
            </w:r>
          </w:p>
        </w:tc>
        <w:tc>
          <w:tcPr>
            <w:tcW w:w="2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259,747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400,079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The amount of excess cash generated may vary significantly from management’s estimates and consequently the repayment profile of outstanding debt may be significantly different from that presented.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12"/>
          </w:cols>
          <w:pgMar w:left="248" w:top="274" w:right="239" w:bottom="1440" w:gutter="0" w:footer="0" w:header="0"/>
        </w:sectPr>
      </w:pPr>
    </w:p>
    <w:bookmarkStart w:id="24" w:name="page25"/>
    <w:bookmarkEnd w:id="24"/>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40"/>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CMA CGM is considered as a related party as it was, until the merger referred to in Note 1, the parent company of Global Ship Lease, Inc. and at June 30, 2013 is a significant shareholder of the Company, owning Class A and Class B common shares representing a 45% voting interest in the Company. Amounts due to and from CMA CGM companies are summarized as follows:</w:t>
      </w:r>
    </w:p>
    <w:p>
      <w:pPr>
        <w:spacing w:after="0" w:line="123"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5"/>
              </w:rPr>
              <w:t>June 30,</w:t>
            </w:r>
          </w:p>
        </w:tc>
        <w:tc>
          <w:tcPr>
            <w:tcW w:w="1120" w:type="dxa"/>
            <w:vAlign w:val="bottom"/>
            <w:gridSpan w:val="4"/>
          </w:tcPr>
          <w:p>
            <w:pPr>
              <w:ind w:left="2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79"/>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CMA CGM companies presented within current liabilities</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3,658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040" w:type="dxa"/>
            <w:vAlign w:val="bottom"/>
            <w:gridSpan w:val="2"/>
          </w:tcPr>
          <w:p>
            <w:pPr>
              <w:spacing w:after="0"/>
              <w:rPr>
                <w:sz w:val="20"/>
                <w:szCs w:val="20"/>
                <w:color w:val="auto"/>
              </w:rPr>
            </w:pPr>
            <w:r>
              <w:rPr>
                <w:rFonts w:ascii="Arial" w:cs="Arial" w:eastAsia="Arial" w:hAnsi="Arial"/>
                <w:sz w:val="18"/>
                <w:szCs w:val="18"/>
                <w:color w:val="auto"/>
              </w:rPr>
              <w:t>Amounts due from CMA CGM companies presented within current assets</w:t>
            </w:r>
          </w:p>
        </w:tc>
        <w:tc>
          <w:tcPr>
            <w:tcW w:w="520" w:type="dxa"/>
            <w:vAlign w:val="bottom"/>
            <w:gridSpan w:val="2"/>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6,417</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52" w:right="140"/>
        <w:spacing w:after="0" w:line="33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June 30, 2013 and December 31, 2012 relate to amounts payable to or recoverable from CMA CGM group companies.</w:t>
      </w:r>
    </w:p>
    <w:p>
      <w:pPr>
        <w:spacing w:after="0" w:line="4" w:lineRule="exact"/>
        <w:rPr>
          <w:sz w:val="20"/>
          <w:szCs w:val="20"/>
          <w:color w:val="auto"/>
        </w:rPr>
      </w:pPr>
    </w:p>
    <w:p>
      <w:pPr>
        <w:ind w:left="452" w:right="320"/>
        <w:spacing w:after="0" w:line="268" w:lineRule="auto"/>
        <w:rPr>
          <w:sz w:val="20"/>
          <w:szCs w:val="20"/>
          <w:color w:val="auto"/>
        </w:rPr>
      </w:pPr>
      <w:r>
        <w:rPr>
          <w:rFonts w:ascii="Arial" w:cs="Arial" w:eastAsia="Arial" w:hAnsi="Arial"/>
          <w:sz w:val="18"/>
          <w:szCs w:val="18"/>
          <w:color w:val="auto"/>
        </w:rPr>
        <w:t>CMA CGM holds all of the Series A preferred shares of the Company. Dividends on these preferred shares for the three months and six months ended June 30, 2013 amounted to $259 (2012: $301) and $518 (2012: $602) respectively.</w:t>
      </w:r>
    </w:p>
    <w:p>
      <w:pPr>
        <w:spacing w:after="0" w:line="20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jc w:val="both"/>
        <w:ind w:left="452" w:right="160"/>
        <w:spacing w:after="0" w:line="306" w:lineRule="auto"/>
        <w:rPr>
          <w:sz w:val="20"/>
          <w:szCs w:val="20"/>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 the duration of the charter. The charters are for remaining periods as at June 30, 2013 of between 0.85 and 12.50 years (see note 2(a)). All the $983,250 maximum contracted future charter hire receivable for the fleet set out in note 8 relates to the 17 vessels currently chartered to CMA CGM.</w:t>
      </w:r>
    </w:p>
    <w:p>
      <w:pPr>
        <w:spacing w:after="0" w:line="182"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The Company outsources day to day technical management of its 17 vessels to a ship manager, CMA Ships Limited, a wholly owned subsidiary of CMA CGM. The Company pays CMA Ships Limited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three months and six months ended June 30, 2013 amounted to $484 (2012: $484) and $969 (2012: $969) respectively.</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32"/>
          </w:cols>
          <w:pgMar w:left="248" w:top="274" w:right="319" w:bottom="1440" w:gutter="0" w:footer="0" w:header="0"/>
        </w:sectPr>
      </w:pPr>
    </w:p>
    <w:bookmarkStart w:id="25" w:name="page26"/>
    <w:bookmarkEnd w:id="2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right="8460" w:hanging="452"/>
        <w:spacing w:after="0" w:line="417" w:lineRule="auto"/>
        <w:tabs>
          <w:tab w:leader="none" w:pos="441"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Charter Hire Receivable</w:t>
      </w:r>
    </w:p>
    <w:p>
      <w:pPr>
        <w:jc w:val="both"/>
        <w:ind w:left="452" w:right="80"/>
        <w:spacing w:after="0" w:line="305" w:lineRule="auto"/>
        <w:rPr>
          <w:rFonts w:ascii="Arial" w:cs="Arial" w:eastAsia="Arial" w:hAnsi="Arial"/>
          <w:sz w:val="15"/>
          <w:szCs w:val="15"/>
          <w:b w:val="1"/>
          <w:bCs w:val="1"/>
          <w:color w:val="auto"/>
        </w:rPr>
      </w:pPr>
      <w:r>
        <w:rPr>
          <w:rFonts w:ascii="Arial" w:cs="Arial" w:eastAsia="Arial" w:hAnsi="Arial"/>
          <w:sz w:val="15"/>
          <w:szCs w:val="15"/>
          <w:color w:val="auto"/>
        </w:rPr>
        <w:t>The Company has entered into time charters for its vessels. The charter hire is fixed for the duration of the charter. The maximum contracted future annual charter hire receivable (not allowing for any offhire and assuming expiry at the midpoint between the earliest and latest possible end dates) for the fleet of</w:t>
      </w:r>
    </w:p>
    <w:p>
      <w:pPr>
        <w:ind w:left="452"/>
        <w:spacing w:after="0"/>
        <w:rPr>
          <w:rFonts w:ascii="Arial" w:cs="Arial" w:eastAsia="Arial" w:hAnsi="Arial"/>
          <w:sz w:val="15"/>
          <w:szCs w:val="15"/>
          <w:b w:val="1"/>
          <w:bCs w:val="1"/>
          <w:color w:val="auto"/>
        </w:rPr>
      </w:pPr>
      <w:r>
        <w:rPr>
          <w:rFonts w:ascii="Arial" w:cs="Arial" w:eastAsia="Arial" w:hAnsi="Arial"/>
          <w:sz w:val="18"/>
          <w:szCs w:val="18"/>
          <w:color w:val="auto"/>
        </w:rPr>
        <w:t>17 vessels as at June 30, 2013 is as follows:</w:t>
      </w:r>
    </w:p>
    <w:p>
      <w:pPr>
        <w:spacing w:after="0" w:line="188"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Fleet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3560" w:type="dxa"/>
            <w:vAlign w:val="bottom"/>
            <w:gridSpan w:val="2"/>
          </w:tcPr>
          <w:p>
            <w:pPr>
              <w:jc w:val="center"/>
              <w:ind w:left="279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2015</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2017</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121,272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983,250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jc w:val="both"/>
        <w:ind w:left="452"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June 30, 2013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59" w:lineRule="exact"/>
        <w:rPr>
          <w:rFonts w:ascii="Arial" w:cs="Arial" w:eastAsia="Arial" w:hAnsi="Arial"/>
          <w:sz w:val="18"/>
          <w:szCs w:val="18"/>
          <w:b w:val="1"/>
          <w:bCs w:val="1"/>
          <w:color w:val="auto"/>
        </w:rPr>
      </w:pPr>
    </w:p>
    <w:p>
      <w:pPr>
        <w:ind w:left="1452" w:hanging="547"/>
        <w:spacing w:after="0"/>
        <w:tabs>
          <w:tab w:leader="none" w:pos="14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90" w:lineRule="exact"/>
        <w:rPr>
          <w:rFonts w:ascii="Arial" w:cs="Arial" w:eastAsia="Arial" w:hAnsi="Arial"/>
          <w:sz w:val="18"/>
          <w:szCs w:val="18"/>
          <w:color w:val="auto"/>
        </w:rPr>
      </w:pPr>
    </w:p>
    <w:p>
      <w:pPr>
        <w:ind w:left="1452" w:hanging="547"/>
        <w:spacing w:after="0"/>
        <w:tabs>
          <w:tab w:leader="none" w:pos="1452" w:val="left"/>
        </w:tabs>
        <w:numPr>
          <w:ilvl w:val="1"/>
          <w:numId w:val="19"/>
        </w:numPr>
        <w:rPr>
          <w:rFonts w:ascii="Arial" w:cs="Arial" w:eastAsia="Arial" w:hAnsi="Arial"/>
          <w:sz w:val="15"/>
          <w:szCs w:val="15"/>
          <w:color w:val="auto"/>
        </w:rPr>
      </w:pPr>
      <w:r>
        <w:rPr>
          <w:rFonts w:ascii="Arial" w:cs="Arial" w:eastAsia="Arial" w:hAnsi="Arial"/>
          <w:sz w:val="15"/>
          <w:szCs w:val="15"/>
          <w:color w:val="auto"/>
        </w:rPr>
        <w:t>secondly, to all Class A common shares until they have received payment for all preceding quarters at the rate of $0.23 per share per quarter;</w:t>
      </w:r>
    </w:p>
    <w:p>
      <w:pPr>
        <w:spacing w:after="0" w:line="124" w:lineRule="exact"/>
        <w:rPr>
          <w:rFonts w:ascii="Arial" w:cs="Arial" w:eastAsia="Arial" w:hAnsi="Arial"/>
          <w:sz w:val="15"/>
          <w:szCs w:val="15"/>
          <w:color w:val="auto"/>
        </w:rPr>
      </w:pPr>
    </w:p>
    <w:p>
      <w:pPr>
        <w:ind w:left="1452" w:hanging="547"/>
        <w:spacing w:after="0"/>
        <w:tabs>
          <w:tab w:leader="none" w:pos="14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90" w:lineRule="exact"/>
        <w:rPr>
          <w:rFonts w:ascii="Arial" w:cs="Arial" w:eastAsia="Arial" w:hAnsi="Arial"/>
          <w:sz w:val="18"/>
          <w:szCs w:val="18"/>
          <w:color w:val="auto"/>
        </w:rPr>
      </w:pPr>
    </w:p>
    <w:p>
      <w:pPr>
        <w:ind w:left="1452" w:hanging="547"/>
        <w:spacing w:after="0"/>
        <w:tabs>
          <w:tab w:leader="none" w:pos="14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90" w:lineRule="exact"/>
        <w:rPr>
          <w:sz w:val="20"/>
          <w:szCs w:val="20"/>
          <w:color w:val="auto"/>
        </w:rPr>
      </w:pPr>
    </w:p>
    <w:p>
      <w:pPr>
        <w:ind w:left="452"/>
        <w:spacing w:after="0" w:line="291" w:lineRule="auto"/>
        <w:rPr>
          <w:sz w:val="20"/>
          <w:szCs w:val="20"/>
          <w:color w:val="auto"/>
        </w:rPr>
      </w:pPr>
      <w:r>
        <w:rPr>
          <w:rFonts w:ascii="Arial" w:cs="Arial" w:eastAsia="Arial" w:hAnsi="Arial"/>
          <w:sz w:val="16"/>
          <w:szCs w:val="16"/>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The last quarter for which a dividend was paid was fourth quarter 2008.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39" w:lineRule="exact"/>
        <w:rPr>
          <w:sz w:val="20"/>
          <w:szCs w:val="20"/>
          <w:color w:val="auto"/>
        </w:rPr>
      </w:pPr>
    </w:p>
    <w:p>
      <w:pPr>
        <w:ind w:left="452" w:right="680"/>
        <w:spacing w:after="0" w:line="268" w:lineRule="auto"/>
        <w:rPr>
          <w:sz w:val="20"/>
          <w:szCs w:val="20"/>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11).</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5"/>
          <w:szCs w:val="15"/>
          <w:color w:val="auto"/>
        </w:rPr>
        <w:t>The Series A preferred shares rank senior to the common shares and are mandatorily redeemable in 12 quarterly instalments commencing August 31, 2016.</w:t>
      </w:r>
    </w:p>
    <w:p>
      <w:pPr>
        <w:spacing w:after="0" w:line="5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They are classified as a long-term liability. The dividend that preferred shareholders are entitled to is presented as part of interest expense.</w:t>
      </w:r>
    </w:p>
    <w:p>
      <w:pPr>
        <w:spacing w:after="0" w:line="107" w:lineRule="exact"/>
        <w:rPr>
          <w:sz w:val="20"/>
          <w:szCs w:val="20"/>
          <w:color w:val="auto"/>
        </w:rPr>
      </w:pPr>
    </w:p>
    <w:p>
      <w:pPr>
        <w:ind w:left="452" w:right="380"/>
        <w:spacing w:after="0" w:line="268" w:lineRule="auto"/>
        <w:rPr>
          <w:sz w:val="20"/>
          <w:szCs w:val="20"/>
          <w:color w:val="auto"/>
        </w:rPr>
      </w:pPr>
      <w:r>
        <w:rPr>
          <w:rFonts w:ascii="Arial" w:cs="Arial" w:eastAsia="Arial" w:hAnsi="Arial"/>
          <w:sz w:val="18"/>
          <w:szCs w:val="18"/>
          <w:color w:val="auto"/>
        </w:rPr>
        <w:t>There are 6,188,088 Class A Warrants outstanding which expire on September 1, 2013 and give the holders the right to purchase one Class A common share at a price of $9.25.</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92"/>
          </w:cols>
          <w:pgMar w:left="248" w:top="274" w:right="2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has entered into interest rate swap agreements to manage the exposure to interest rate variability. As of June 30, 2013 a total of $327,000 of these interest rate swap agreements were in place, at a weighted average rate of 3.74%. These interest rate swap agreements are secured by first priority mortgages on each of the Company’s 17 vessels and rank secondary to the long-term debt (see note 6). None of the Company’s interest rate agreements qualify for hedge accounting and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for the derivatives and periodic cash settlements) are included within cash flows from investing activities in the consolidated statements of cash flows.</w:t>
      </w:r>
    </w:p>
    <w:p>
      <w:pPr>
        <w:spacing w:after="0" w:line="37" w:lineRule="exact"/>
        <w:rPr>
          <w:rFonts w:ascii="Arial" w:cs="Arial" w:eastAsia="Arial" w:hAnsi="Arial"/>
          <w:sz w:val="18"/>
          <w:szCs w:val="18"/>
          <w:b w:val="1"/>
          <w:bCs w:val="1"/>
          <w:color w:val="auto"/>
        </w:rPr>
      </w:pPr>
    </w:p>
    <w:p>
      <w:pPr>
        <w:ind w:left="46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Realized gains or losses from interest rate derivatives are recognized in the consolidated statement of income. In addition, the interest rate derivatives are “marked to market” at each reporting period end and are recorded at fair values. This generates unrealized gains or losses. The unrealized gain on interest rate derivatives for the three months ended June 30, 2013 was $4,988 (2012: $907 gain). The unrealised gain on interest rate derivatives for the six months ended June 30, 2013 was $10,442 (2012: $3,583 gain).</w:t>
      </w:r>
    </w:p>
    <w:p>
      <w:pPr>
        <w:spacing w:after="0" w:line="62"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in the fair value hierarchy. As at June 30, 2013, these derivatives represented a liability of $25,149 (December 31, 2012: $35,591). Within the consolidated balance sheets, there are no offsets of recognized assets or liabilities related to these derivatives.</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654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Restricted Stock Units</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80" w:type="dxa"/>
            <w:vAlign w:val="bottom"/>
          </w:tcPr>
          <w:p>
            <w:pPr>
              <w:jc w:val="center"/>
              <w:spacing w:after="0" w:line="131" w:lineRule="exact"/>
              <w:rPr>
                <w:sz w:val="20"/>
                <w:szCs w:val="20"/>
                <w:color w:val="auto"/>
              </w:rPr>
            </w:pPr>
            <w:r>
              <w:rPr>
                <w:rFonts w:ascii="Arial" w:cs="Arial" w:eastAsia="Arial" w:hAnsi="Arial"/>
                <w:sz w:val="14"/>
                <w:szCs w:val="14"/>
                <w:color w:val="auto"/>
                <w:w w:val="87"/>
              </w:rPr>
              <w:t>Weighted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vMerge w:val="restart"/>
          </w:tcPr>
          <w:p>
            <w:pPr>
              <w:ind w:left="460"/>
              <w:spacing w:after="0"/>
              <w:rPr>
                <w:sz w:val="20"/>
                <w:szCs w:val="20"/>
                <w:color w:val="auto"/>
              </w:rPr>
            </w:pPr>
            <w:r>
              <w:rPr>
                <w:rFonts w:ascii="Arial" w:cs="Arial" w:eastAsia="Arial" w:hAnsi="Arial"/>
                <w:sz w:val="14"/>
                <w:szCs w:val="14"/>
                <w:color w:val="auto"/>
              </w:rPr>
              <w:t>Number of Units</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4"/>
              </w:rPr>
              <w:t>Average Fair</w:t>
            </w:r>
          </w:p>
        </w:tc>
        <w:tc>
          <w:tcPr>
            <w:tcW w:w="940" w:type="dxa"/>
            <w:vAlign w:val="bottom"/>
          </w:tcPr>
          <w:p>
            <w:pPr>
              <w:jc w:val="center"/>
              <w:ind w:left="212"/>
              <w:spacing w:after="0" w:line="149" w:lineRule="exact"/>
              <w:rPr>
                <w:sz w:val="20"/>
                <w:szCs w:val="20"/>
                <w:color w:val="auto"/>
              </w:rPr>
            </w:pPr>
            <w:r>
              <w:rPr>
                <w:rFonts w:ascii="Arial" w:cs="Arial" w:eastAsia="Arial" w:hAnsi="Arial"/>
                <w:sz w:val="14"/>
                <w:szCs w:val="14"/>
                <w:color w:val="auto"/>
                <w:w w:val="92"/>
              </w:rPr>
              <w:t>Actual Fair</w:t>
            </w:r>
          </w:p>
        </w:tc>
        <w:tc>
          <w:tcPr>
            <w:tcW w:w="0" w:type="dxa"/>
            <w:vAlign w:val="bottom"/>
          </w:tcPr>
          <w:p>
            <w:pPr>
              <w:spacing w:after="0"/>
              <w:rPr>
                <w:sz w:val="1"/>
                <w:szCs w:val="1"/>
                <w:color w:val="auto"/>
              </w:rPr>
            </w:pPr>
          </w:p>
        </w:tc>
      </w:tr>
      <w:tr>
        <w:trPr>
          <w:trHeight w:val="149"/>
        </w:trPr>
        <w:tc>
          <w:tcPr>
            <w:tcW w:w="210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6"/>
              </w:rPr>
              <w:t>Value on</w:t>
            </w:r>
          </w:p>
        </w:tc>
        <w:tc>
          <w:tcPr>
            <w:tcW w:w="940" w:type="dxa"/>
            <w:vAlign w:val="bottom"/>
          </w:tcPr>
          <w:p>
            <w:pPr>
              <w:jc w:val="center"/>
              <w:ind w:left="212"/>
              <w:spacing w:after="0" w:line="149" w:lineRule="exact"/>
              <w:rPr>
                <w:sz w:val="20"/>
                <w:szCs w:val="20"/>
                <w:color w:val="auto"/>
              </w:rPr>
            </w:pPr>
            <w:r>
              <w:rPr>
                <w:rFonts w:ascii="Arial" w:cs="Arial" w:eastAsia="Arial" w:hAnsi="Arial"/>
                <w:sz w:val="14"/>
                <w:szCs w:val="14"/>
                <w:color w:val="auto"/>
                <w:w w:val="83"/>
              </w:rPr>
              <w:t>Value on</w:t>
            </w:r>
          </w:p>
        </w:tc>
        <w:tc>
          <w:tcPr>
            <w:tcW w:w="0" w:type="dxa"/>
            <w:vAlign w:val="bottom"/>
          </w:tcPr>
          <w:p>
            <w:pPr>
              <w:spacing w:after="0"/>
              <w:rPr>
                <w:sz w:val="1"/>
                <w:szCs w:val="1"/>
                <w:color w:val="auto"/>
              </w:rPr>
            </w:pPr>
          </w:p>
        </w:tc>
      </w:tr>
      <w:tr>
        <w:trPr>
          <w:trHeight w:val="172"/>
        </w:trPr>
        <w:tc>
          <w:tcPr>
            <w:tcW w:w="1000" w:type="dxa"/>
            <w:vAlign w:val="bottom"/>
          </w:tcPr>
          <w:p>
            <w:pPr>
              <w:spacing w:after="0"/>
              <w:rPr>
                <w:sz w:val="20"/>
                <w:szCs w:val="20"/>
                <w:color w:val="auto"/>
              </w:rPr>
            </w:pPr>
            <w:r>
              <w:rPr>
                <w:rFonts w:ascii="Arial" w:cs="Arial" w:eastAsia="Arial" w:hAnsi="Arial"/>
                <w:sz w:val="14"/>
                <w:szCs w:val="14"/>
                <w:color w:val="auto"/>
              </w:rPr>
              <w:t>Management</w:t>
            </w:r>
          </w:p>
        </w:tc>
        <w:tc>
          <w:tcPr>
            <w:tcW w:w="1100" w:type="dxa"/>
            <w:vAlign w:val="bottom"/>
          </w:tcPr>
          <w:p>
            <w:pPr>
              <w:ind w:left="300"/>
              <w:spacing w:after="0"/>
              <w:rPr>
                <w:sz w:val="20"/>
                <w:szCs w:val="20"/>
                <w:color w:val="auto"/>
              </w:rPr>
            </w:pPr>
            <w:r>
              <w:rPr>
                <w:rFonts w:ascii="Arial" w:cs="Arial" w:eastAsia="Arial" w:hAnsi="Arial"/>
                <w:sz w:val="14"/>
                <w:szCs w:val="14"/>
                <w:color w:val="auto"/>
              </w:rPr>
              <w:t>Directors</w:t>
            </w:r>
          </w:p>
        </w:tc>
        <w:tc>
          <w:tcPr>
            <w:tcW w:w="1280" w:type="dxa"/>
            <w:vAlign w:val="bottom"/>
          </w:tcPr>
          <w:p>
            <w:pPr>
              <w:jc w:val="center"/>
              <w:spacing w:after="0"/>
              <w:rPr>
                <w:sz w:val="20"/>
                <w:szCs w:val="20"/>
                <w:color w:val="auto"/>
              </w:rPr>
            </w:pPr>
            <w:r>
              <w:rPr>
                <w:rFonts w:ascii="Arial" w:cs="Arial" w:eastAsia="Arial" w:hAnsi="Arial"/>
                <w:sz w:val="14"/>
                <w:szCs w:val="14"/>
                <w:color w:val="auto"/>
                <w:w w:val="84"/>
              </w:rPr>
              <w:t>Grant date</w:t>
            </w:r>
          </w:p>
        </w:tc>
        <w:tc>
          <w:tcPr>
            <w:tcW w:w="940" w:type="dxa"/>
            <w:vAlign w:val="bottom"/>
          </w:tcPr>
          <w:p>
            <w:pPr>
              <w:jc w:val="center"/>
              <w:ind w:left="212"/>
              <w:spacing w:after="0"/>
              <w:rPr>
                <w:sz w:val="20"/>
                <w:szCs w:val="20"/>
                <w:color w:val="auto"/>
              </w:rPr>
            </w:pPr>
            <w:r>
              <w:rPr>
                <w:rFonts w:ascii="Arial" w:cs="Arial" w:eastAsia="Arial" w:hAnsi="Arial"/>
                <w:sz w:val="14"/>
                <w:szCs w:val="14"/>
                <w:color w:val="auto"/>
                <w:w w:val="84"/>
              </w:rPr>
              <w:t>Vesting date</w:t>
            </w: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17,886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3.40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in January 2012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(17,886)</w:t>
            </w:r>
          </w:p>
        </w:tc>
        <w:tc>
          <w:tcPr>
            <w:tcW w:w="24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6.15</w:t>
            </w:r>
          </w:p>
        </w:tc>
        <w:tc>
          <w:tcPr>
            <w:tcW w:w="6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13, 2012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32,070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225,000</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32,070</w:t>
            </w:r>
          </w:p>
        </w:tc>
        <w:tc>
          <w:tcPr>
            <w:tcW w:w="540" w:type="dxa"/>
            <w:vAlign w:val="bottom"/>
          </w:tcPr>
          <w:p>
            <w:pPr>
              <w:spacing w:after="0"/>
              <w:rPr>
                <w:sz w:val="19"/>
                <w:szCs w:val="19"/>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(32,070)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 on March 7, 2013</w:t>
            </w:r>
          </w:p>
        </w:tc>
        <w:tc>
          <w:tcPr>
            <w:tcW w:w="700" w:type="dxa"/>
            <w:vAlign w:val="bottom"/>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27,550</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3.43</w:t>
            </w:r>
          </w:p>
        </w:tc>
        <w:tc>
          <w:tcPr>
            <w:tcW w:w="5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June 30, 2013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300,000</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27,550</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stock units is recognized as compensation cost in the consolidated statements of income over the vesting period. During the three months and six months ended June 30, 2013, the Company recognized a total of $102 (2012: $134) and $185 (2012: $247) share based compensation costs respectively. As at June 30, 2013, there was a total of $428 unrecognized compensation cost relating to the above share based awards (December 31, 2012: $260). The remaining cost is expected to be recognized over a period of 27 months.</w:t>
      </w:r>
    </w:p>
    <w:p>
      <w:pPr>
        <w:spacing w:after="0" w:line="62"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restricted stock units granted to Directors on March 17, 2011 and March 13, 2012 vested in January 2012 and January 2013 respectively. The restricted stock units granted to Directors on March 7, 2013 will vest in January 2014.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274"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 (continued)</w:t>
      </w:r>
    </w:p>
    <w:p>
      <w:pPr>
        <w:spacing w:after="0" w:line="164"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is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 The restricted stock units granted to management on March 7, 2013 are expected to vest when the individual leaves employment, provided that this is after September 30, 2015 and is not as a result of resignation or termination for cause.</w:t>
      </w:r>
    </w:p>
    <w:p>
      <w:pPr>
        <w:spacing w:after="0" w:line="23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and six months ended June 30, 2013, no dividend was declared (2012: nil dividends).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39"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59" w:lineRule="exact"/>
        <w:rPr>
          <w:rFonts w:ascii="Arial" w:cs="Arial" w:eastAsia="Arial" w:hAnsi="Arial"/>
          <w:sz w:val="18"/>
          <w:szCs w:val="18"/>
          <w:b w:val="1"/>
          <w:bCs w:val="1"/>
          <w:color w:val="auto"/>
        </w:rPr>
      </w:pPr>
    </w:p>
    <w:p>
      <w:pPr>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June 30, 2013, there were 6,188,088 Class A Warrants to purchase Class A common shares at an exercise price of $9.25 outstanding which are due to expire on September 1, 2013. In addition, there were 327,550 restricted stock units granted and unvested as part of management’s equity incentive plan and as part of the Directors’ compensation for 2013. As of June 30, 2013 only Class A and B common shares are participating securities.</w:t>
      </w:r>
    </w:p>
    <w:p>
      <w:pPr>
        <w:spacing w:after="0" w:line="25"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For the three months and six months ended June 30, 2013 and June 30, 2012, the diluted weighted average number of shares includes the incremental effect of outstanding stock based incentive awards but excludes the effect of outstanding warrants as these were antidilutive.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00"/>
          </w:cols>
          <w:pgMar w:left="240" w:top="274"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Earnings per Share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133"/>
              <w:spacing w:after="0"/>
              <w:rPr>
                <w:sz w:val="20"/>
                <w:szCs w:val="20"/>
                <w:color w:val="auto"/>
              </w:rPr>
            </w:pPr>
            <w:r>
              <w:rPr>
                <w:rFonts w:ascii="Arial" w:cs="Arial" w:eastAsia="Arial" w:hAnsi="Arial"/>
                <w:sz w:val="14"/>
                <w:szCs w:val="14"/>
                <w:b w:val="1"/>
                <w:bCs w:val="1"/>
                <w:color w:val="auto"/>
                <w:w w:val="92"/>
              </w:rPr>
              <w:t>Three months ended 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47,588,934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47,481,864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47,588,757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47,481,667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117,895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480" w:type="dxa"/>
            <w:vAlign w:val="bottom"/>
            <w:gridSpan w:val="2"/>
          </w:tcPr>
          <w:p>
            <w:pPr>
              <w:spacing w:after="0"/>
              <w:rPr>
                <w:sz w:val="20"/>
                <w:szCs w:val="20"/>
                <w:color w:val="auto"/>
              </w:rPr>
            </w:pPr>
            <w:r>
              <w:rPr>
                <w:rFonts w:ascii="Arial" w:cs="Arial" w:eastAsia="Arial" w:hAnsi="Arial"/>
                <w:sz w:val="18"/>
                <w:szCs w:val="18"/>
                <w:color w:val="auto"/>
              </w:rPr>
              <w:t>Common shares and common share equivalents (F)</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47,742,911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47,599,759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47,697,969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47,537,241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7,405,956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7,405,956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480" w:type="dxa"/>
            <w:vAlign w:val="bottom"/>
            <w:gridSpan w:val="2"/>
          </w:tcPr>
          <w:p>
            <w:pPr>
              <w:spacing w:after="0"/>
              <w:rPr>
                <w:sz w:val="20"/>
                <w:szCs w:val="20"/>
                <w:color w:val="auto"/>
              </w:rPr>
            </w:pPr>
            <w:r>
              <w:rPr>
                <w:rFonts w:ascii="Arial" w:cs="Arial" w:eastAsia="Arial" w:hAnsi="Arial"/>
                <w:sz w:val="18"/>
                <w:szCs w:val="18"/>
                <w:color w:val="auto"/>
              </w:rPr>
              <w:t>Common shares (H)</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7,405,956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7,405,956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available to shareholders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17,361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17,361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 available for Class A (A)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17,361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(C)</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4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(A/B)</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Class B (C/D)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available to shareholders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17,361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17,361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 available for Class A (E)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17,361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(G)</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4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(E/F)</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Class B (G/H)</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are no subsequent events other than those disclosed elsewhere in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63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lvl w:ilvl="1">
      <w:lvlJc w:val="left"/>
      <w:lvlText w:val="(%2)"/>
      <w:numFmt w:val="lowerLetter"/>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lowerLetter"/>
      <w:start w:val="2"/>
    </w:lvl>
  </w:abstractNum>
  <w:abstractNum w:abstractNumId="10">
    <w:nsid w:val="4E6AFB66"/>
    <w:multiLevelType w:val="hybridMultilevel"/>
    <w:lvl w:ilvl="0">
      <w:lvlJc w:val="left"/>
      <w:lvlText w:val="(%1)"/>
      <w:numFmt w:val="lowerRoman"/>
      <w:start w:val="1"/>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decimal"/>
      <w:start w:val="4"/>
    </w:lvl>
  </w:abstractNum>
  <w:abstractNum w:abstractNumId="14">
    <w:nsid w:val="3F2DBA31"/>
    <w:multiLevelType w:val="hybridMultilevel"/>
    <w:lvl w:ilvl="0">
      <w:lvlJc w:val="left"/>
      <w:lvlText w:val="%1."/>
      <w:numFmt w:val="decimal"/>
      <w:start w:val="6"/>
    </w:lvl>
  </w:abstractNum>
  <w:abstractNum w:abstractNumId="15">
    <w:nsid w:val="7C83E458"/>
    <w:multiLevelType w:val="hybridMultilevel"/>
    <w:lvl w:ilvl="0">
      <w:lvlJc w:val="left"/>
      <w:lvlText w:val="%1."/>
      <w:numFmt w:val="decimal"/>
      <w:start w:val="6"/>
    </w:lvl>
  </w:abstractNum>
  <w:abstractNum w:abstractNumId="16">
    <w:nsid w:val="257130A3"/>
    <w:multiLevelType w:val="hybridMultilevel"/>
    <w:lvl w:ilvl="0">
      <w:lvlJc w:val="left"/>
      <w:lvlText w:val="%1."/>
      <w:numFmt w:val="decimal"/>
      <w:start w:val="7"/>
    </w:lvl>
  </w:abstractNum>
  <w:abstractNum w:abstractNumId="17">
    <w:nsid w:val="62BBD95A"/>
    <w:multiLevelType w:val="hybridMultilevel"/>
    <w:lvl w:ilvl="0">
      <w:lvlJc w:val="left"/>
      <w:lvlText w:val="%1."/>
      <w:numFmt w:val="decimal"/>
      <w:start w:val="8"/>
    </w:lvl>
  </w:abstractNum>
  <w:abstractNum w:abstractNumId="18">
    <w:nsid w:val="436C6125"/>
    <w:multiLevelType w:val="hybridMultilevel"/>
    <w:lvl w:ilvl="0">
      <w:lvlJc w:val="left"/>
      <w:lvlText w:val="%1."/>
      <w:numFmt w:val="decimal"/>
      <w:start w:val="9"/>
    </w:lvl>
    <w:lvl w:ilvl="1">
      <w:lvlJc w:val="left"/>
      <w:lvlText w:val="•"/>
      <w:numFmt w:val="bullet"/>
      <w:start w:val="1"/>
    </w:lvl>
  </w:abstractNum>
  <w:abstractNum w:abstractNumId="19">
    <w:nsid w:val="628C895D"/>
    <w:multiLevelType w:val="hybridMultilevel"/>
    <w:lvl w:ilvl="0">
      <w:lvlJc w:val="left"/>
      <w:lvlText w:val="%1."/>
      <w:numFmt w:val="decimal"/>
      <w:start w:val="10"/>
    </w:lvl>
  </w:abstractNum>
  <w:abstractNum w:abstractNumId="20">
    <w:nsid w:val="333AB105"/>
    <w:multiLevelType w:val="hybridMultilevel"/>
    <w:lvl w:ilvl="0">
      <w:lvlJc w:val="left"/>
      <w:lvlText w:val="%1."/>
      <w:numFmt w:val="decimal"/>
      <w:start w:val="12"/>
    </w:lvl>
  </w:abstractNum>
  <w:abstractNum w:abstractNumId="21">
    <w:nsid w:val="721DA31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2019-12-07T17:51:05Z</dcterms:created>
  <dcterms:modified xsi:type="dcterms:W3CDTF">2019-12-07T17:51:05Z</dcterms:modified>
</cp:coreProperties>
</file>