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2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2"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420" w:type="dxa"/>
        <w:tblCellMar>
          <w:top w:w="0" w:type="dxa"/>
          <w:left w:w="0" w:type="dxa"/>
          <w:bottom w:w="0" w:type="dxa"/>
          <w:right w:w="0" w:type="dxa"/>
        </w:tblCellMar>
      </w:tblPr>
      <w:tr>
        <w:trPr>
          <w:trHeight w:val="171"/>
        </w:trPr>
        <w:tc>
          <w:tcPr>
            <w:tcW w:w="192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Class A Common</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91"/>
        </w:trPr>
        <w:tc>
          <w:tcPr>
            <w:tcW w:w="1920" w:type="dxa"/>
            <w:vAlign w:val="bottom"/>
            <w:vMerge w:val="continue"/>
          </w:tcPr>
          <w:p>
            <w:pPr>
              <w:spacing w:after="0"/>
              <w:rPr>
                <w:sz w:val="16"/>
                <w:szCs w:val="16"/>
                <w:color w:val="auto"/>
              </w:rPr>
            </w:pPr>
          </w:p>
        </w:tc>
        <w:tc>
          <w:tcPr>
            <w:tcW w:w="498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Shares, par value of $0.01 per share</w:t>
            </w:r>
          </w:p>
        </w:tc>
        <w:tc>
          <w:tcPr>
            <w:tcW w:w="2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690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88"/>
              </w:rPr>
              <w:t>Depositary Shares, each of which represents a 1/100th interest in</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16"/>
        </w:trPr>
        <w:tc>
          <w:tcPr>
            <w:tcW w:w="6900" w:type="dxa"/>
            <w:vAlign w:val="bottom"/>
            <w:gridSpan w:val="3"/>
          </w:tcPr>
          <w:p>
            <w:pPr>
              <w:jc w:val="center"/>
              <w:ind w:right="1940"/>
              <w:spacing w:after="0"/>
              <w:rPr>
                <w:sz w:val="20"/>
                <w:szCs w:val="20"/>
                <w:color w:val="auto"/>
              </w:rPr>
            </w:pPr>
            <w:r>
              <w:rPr>
                <w:rFonts w:ascii="Arial" w:cs="Arial" w:eastAsia="Arial" w:hAnsi="Arial"/>
                <w:sz w:val="18"/>
                <w:szCs w:val="18"/>
                <w:b w:val="1"/>
                <w:bCs w:val="1"/>
                <w:color w:val="auto"/>
                <w:w w:val="90"/>
              </w:rPr>
              <w:t>a share of 8.75% Series B Cumulative Redeemable Perpetual</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0"/>
              </w:rPr>
              <w:t>Preferred Shares, par value $0.01 per share (and 8.75% Series B</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00" w:type="dxa"/>
            <w:vAlign w:val="bottom"/>
            <w:gridSpan w:val="3"/>
          </w:tcPr>
          <w:p>
            <w:pPr>
              <w:jc w:val="center"/>
              <w:ind w:right="1960"/>
              <w:spacing w:after="0"/>
              <w:rPr>
                <w:sz w:val="20"/>
                <w:szCs w:val="20"/>
                <w:color w:val="auto"/>
              </w:rPr>
            </w:pPr>
            <w:r>
              <w:rPr>
                <w:rFonts w:ascii="Arial" w:cs="Arial" w:eastAsia="Arial" w:hAnsi="Arial"/>
                <w:sz w:val="18"/>
                <w:szCs w:val="18"/>
                <w:b w:val="1"/>
                <w:bCs w:val="1"/>
                <w:color w:val="auto"/>
                <w:w w:val="91"/>
              </w:rPr>
              <w:t>Cumulative Redeemable Perpetual Preferred Shares*)</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ind w:left="220" w:right="420" w:hanging="212"/>
        <w:spacing w:after="0" w:line="308"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 for trading, but only in connection with the registration of the Depositary Shares representing such 1/100th interest in shares of 8.75% Series B Cumulative Redeemable Perpetual Preferred Shares, pursuant to the requirements of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0" w:gutter="0" w:footer="0" w:header="0"/>
        </w:sectPr>
      </w:pPr>
    </w:p>
    <w:p>
      <w:pPr>
        <w:spacing w:after="0" w:line="200" w:lineRule="exact"/>
        <w:rPr>
          <w:sz w:val="24"/>
          <w:szCs w:val="24"/>
          <w:color w:val="auto"/>
        </w:rPr>
      </w:pPr>
    </w:p>
    <w:p>
      <w:pPr>
        <w:spacing w:after="0" w:line="311" w:lineRule="exact"/>
        <w:rPr>
          <w:sz w:val="24"/>
          <w:szCs w:val="24"/>
          <w:color w:val="auto"/>
        </w:rPr>
      </w:pPr>
    </w:p>
    <w:p>
      <w:pPr>
        <w:ind w:left="460"/>
        <w:spacing w:after="0"/>
        <w:rPr>
          <w:sz w:val="20"/>
          <w:szCs w:val="20"/>
          <w:color w:val="auto"/>
        </w:rPr>
      </w:pPr>
      <w:r>
        <w:rPr>
          <w:rFonts w:ascii="Arial" w:cs="Arial" w:eastAsia="Arial" w:hAnsi="Arial"/>
          <w:sz w:val="16"/>
          <w:szCs w:val="16"/>
          <w:color w:val="auto"/>
        </w:rPr>
        <w:t>Securities registered or to be registered pursuant to Section 12(g) of the Act: None</w:t>
      </w:r>
    </w:p>
    <w:p>
      <w:pPr>
        <w:sectPr>
          <w:pgSz w:w="11900" w:h="16838" w:orient="portrait"/>
          <w:cols w:equalWidth="0" w:num="1">
            <w:col w:w="11260"/>
          </w:cols>
          <w:pgMar w:left="240" w:top="230" w:right="39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7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47,541,484 Class A Common Shares, par value of $0.01 per share</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9"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14,000 Series B Preferred Shares, par value of $0.01 per share</w:t>
      </w:r>
    </w:p>
    <w:p>
      <w:pPr>
        <w:spacing w:after="0" w:line="178" w:lineRule="exact"/>
        <w:rPr>
          <w:sz w:val="20"/>
          <w:szCs w:val="20"/>
          <w:color w:val="auto"/>
        </w:rPr>
      </w:pPr>
    </w:p>
    <w:p>
      <w:pPr>
        <w:ind w:left="460"/>
        <w:spacing w:after="0" w:line="207" w:lineRule="exact"/>
        <w:tabs>
          <w:tab w:leader="none" w:pos="9060" w:val="left"/>
          <w:tab w:leader="none" w:pos="980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jc w:val="center"/>
        <w:ind w:right="-19"/>
        <w:spacing w:after="0" w:line="207" w:lineRule="exact"/>
        <w:tabs>
          <w:tab w:leader="none" w:pos="540" w:val="left"/>
          <w:tab w:leader="none" w:pos="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00"/>
          </w:cols>
          <w:pgMar w:left="240" w:top="125" w:right="259" w:bottom="1440" w:gutter="0" w:footer="0" w:header="0"/>
        </w:sectPr>
      </w:pPr>
    </w:p>
    <w:p>
      <w:pPr>
        <w:spacing w:after="0" w:line="25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U.S. 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International Financial Reporting Standards as Issued</w:t>
      </w:r>
    </w:p>
    <w:p>
      <w:pPr>
        <w:spacing w:after="0" w:line="46" w:lineRule="exact"/>
        <w:rPr>
          <w:sz w:val="20"/>
          <w:szCs w:val="20"/>
          <w:color w:val="auto"/>
        </w:rPr>
      </w:pPr>
    </w:p>
    <w:p>
      <w:pPr>
        <w:ind w:left="40"/>
        <w:spacing w:after="0" w:line="184" w:lineRule="exact"/>
        <w:rPr>
          <w:sz w:val="20"/>
          <w:szCs w:val="20"/>
          <w:color w:val="auto"/>
        </w:rPr>
      </w:pPr>
      <w:r>
        <w:rPr>
          <w:rFonts w:ascii="Arial" w:cs="Arial" w:eastAsia="Arial" w:hAnsi="Arial"/>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87" w:lineRule="exact"/>
        <w:rPr>
          <w:sz w:val="20"/>
          <w:szCs w:val="20"/>
          <w:color w:val="auto"/>
        </w:rPr>
      </w:pPr>
    </w:p>
    <w:p>
      <w:pPr>
        <w:sectPr>
          <w:pgSz w:w="11900" w:h="16838" w:orient="portrait"/>
          <w:cols w:equalWidth="0" w:num="5">
            <w:col w:w="1780" w:space="80"/>
            <w:col w:w="1420" w:space="720"/>
            <w:col w:w="5120" w:space="720"/>
            <w:col w:w="400" w:space="100"/>
            <w:col w:w="1060"/>
          </w:cols>
          <w:pgMar w:left="240" w:top="125" w:right="259" w:bottom="1440" w:gutter="0" w:footer="0" w:header="0"/>
          <w:type w:val="continuous"/>
        </w:sectPr>
      </w:pPr>
    </w:p>
    <w:p>
      <w:pPr>
        <w:spacing w:after="0" w:line="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p>
      <w:pPr>
        <w:ind w:left="460"/>
        <w:spacing w:after="0" w:line="207" w:lineRule="exact"/>
        <w:tabs>
          <w:tab w:leader="none" w:pos="144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Item 18 </w:t>
      </w:r>
      <w:r>
        <w:rPr>
          <w:rFonts w:ascii="MS PGothic" w:cs="MS PGothic" w:eastAsia="MS PGothic" w:hAnsi="MS PGothic"/>
          <w:sz w:val="17"/>
          <w:szCs w:val="17"/>
          <w:color w:val="auto"/>
        </w:rPr>
        <w:t>☐</w:t>
      </w:r>
    </w:p>
    <w:p>
      <w:pPr>
        <w:spacing w:after="0" w:line="258" w:lineRule="exact"/>
        <w:rPr>
          <w:sz w:val="20"/>
          <w:szCs w:val="20"/>
          <w:color w:val="auto"/>
        </w:rPr>
      </w:pPr>
    </w:p>
    <w:p>
      <w:pPr>
        <w:ind w:right="1280" w:firstLine="456"/>
        <w:spacing w:after="0" w:line="233" w:lineRule="exact"/>
        <w:rPr>
          <w:sz w:val="20"/>
          <w:szCs w:val="20"/>
          <w:color w:val="auto"/>
        </w:rPr>
      </w:pPr>
      <w:r>
        <w:rPr>
          <w:rFonts w:ascii="Arial" w:cs="Arial" w:eastAsia="Arial" w:hAnsi="Arial"/>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REPORT ON FORM 20-F</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40" w:type="dxa"/>
            <w:vAlign w:val="bottom"/>
            <w:gridSpan w:val="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440" w:type="dxa"/>
            <w:vAlign w:val="bottom"/>
            <w:gridSpan w:val="2"/>
            <w:vMerge w:val="continue"/>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1.</w:t>
            </w:r>
          </w:p>
        </w:tc>
        <w:tc>
          <w:tcPr>
            <w:tcW w:w="4020" w:type="dxa"/>
            <w:vAlign w:val="bottom"/>
            <w:tcBorders>
              <w:bottom w:val="single" w:sz="8" w:color="0000EE"/>
            </w:tcBorders>
            <w:gridSpan w:val="37"/>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Identity of Directors, Senior Management and Advisors</w:t>
              </w:r>
            </w:hyperlink>
          </w:p>
        </w:tc>
        <w:tc>
          <w:tcPr>
            <w:tcW w:w="556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2.</w:t>
            </w:r>
          </w:p>
        </w:tc>
        <w:tc>
          <w:tcPr>
            <w:tcW w:w="288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Offer Statistics and Expected Timetable</w:t>
              </w:r>
            </w:hyperlink>
          </w:p>
        </w:tc>
        <w:tc>
          <w:tcPr>
            <w:tcW w:w="670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3.</w:t>
            </w:r>
          </w:p>
        </w:tc>
        <w:tc>
          <w:tcPr>
            <w:tcW w:w="9580" w:type="dxa"/>
            <w:vAlign w:val="bottom"/>
            <w:gridSpan w:val="40"/>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9000" w:type="dxa"/>
            <w:vAlign w:val="bottom"/>
            <w:gridSpan w:val="3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Selected Financial Data</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2300" w:type="dxa"/>
            <w:vAlign w:val="bottom"/>
            <w:tcBorders>
              <w:bottom w:val="single" w:sz="8" w:color="0000EE"/>
            </w:tcBorders>
            <w:gridSpan w:val="25"/>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Capitalization and Indebtedness</w:t>
              </w:r>
            </w:hyperlink>
          </w:p>
        </w:tc>
        <w:tc>
          <w:tcPr>
            <w:tcW w:w="670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w:t>
            </w:r>
          </w:p>
        </w:tc>
        <w:tc>
          <w:tcPr>
            <w:tcW w:w="3080" w:type="dxa"/>
            <w:vAlign w:val="bottom"/>
            <w:tcBorders>
              <w:bottom w:val="single" w:sz="8" w:color="0000EE"/>
            </w:tcBorders>
            <w:gridSpan w:val="33"/>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Reasons for the Offer and Use of Proceeds</w:t>
              </w:r>
            </w:hyperlink>
          </w:p>
        </w:tc>
        <w:tc>
          <w:tcPr>
            <w:tcW w:w="592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w:t>
            </w:r>
          </w:p>
        </w:tc>
        <w:tc>
          <w:tcPr>
            <w:tcW w:w="9000" w:type="dxa"/>
            <w:vAlign w:val="bottom"/>
            <w:gridSpan w:val="39"/>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4.</w:t>
            </w:r>
          </w:p>
        </w:tc>
        <w:tc>
          <w:tcPr>
            <w:tcW w:w="210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Information on the Company</w:t>
              </w:r>
            </w:hyperlink>
          </w:p>
        </w:tc>
        <w:tc>
          <w:tcPr>
            <w:tcW w:w="7480" w:type="dxa"/>
            <w:vAlign w:val="bottom"/>
            <w:gridSpan w:val="2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9000" w:type="dxa"/>
            <w:vAlign w:val="bottom"/>
            <w:gridSpan w:val="3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History and Development of the Company</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1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Business Overview</w:t>
              </w:r>
            </w:hyperlink>
          </w:p>
        </w:tc>
        <w:tc>
          <w:tcPr>
            <w:tcW w:w="1660" w:type="dxa"/>
            <w:vAlign w:val="bottom"/>
            <w:tcBorders>
              <w:top w:val="single" w:sz="8" w:color="0000EE"/>
            </w:tcBorders>
            <w:gridSpan w:val="19"/>
          </w:tcPr>
          <w:p>
            <w:pPr>
              <w:spacing w:after="0"/>
              <w:rPr>
                <w:sz w:val="24"/>
                <w:szCs w:val="24"/>
                <w:color w:val="auto"/>
              </w:rPr>
            </w:pPr>
          </w:p>
        </w:tc>
        <w:tc>
          <w:tcPr>
            <w:tcW w:w="59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w:t>
            </w:r>
          </w:p>
        </w:tc>
        <w:tc>
          <w:tcPr>
            <w:tcW w:w="17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Organizational Structure</w:t>
              </w:r>
            </w:hyperlink>
          </w:p>
        </w:tc>
        <w:tc>
          <w:tcPr>
            <w:tcW w:w="722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w:t>
            </w:r>
          </w:p>
        </w:tc>
        <w:tc>
          <w:tcPr>
            <w:tcW w:w="2280" w:type="dxa"/>
            <w:vAlign w:val="bottom"/>
            <w:tcBorders>
              <w:bottom w:val="single" w:sz="8" w:color="0000EE"/>
            </w:tcBorders>
            <w:gridSpan w:val="24"/>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Property, Plants and Equipment</w:t>
              </w:r>
            </w:hyperlink>
          </w:p>
        </w:tc>
        <w:tc>
          <w:tcPr>
            <w:tcW w:w="672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5.</w:t>
            </w:r>
          </w:p>
        </w:tc>
        <w:tc>
          <w:tcPr>
            <w:tcW w:w="338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Operating and Financial Review and Prospects</w:t>
              </w:r>
            </w:hyperlink>
          </w:p>
        </w:tc>
        <w:tc>
          <w:tcPr>
            <w:tcW w:w="620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156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Results of Operations</w:t>
              </w:r>
            </w:hyperlink>
          </w:p>
        </w:tc>
        <w:tc>
          <w:tcPr>
            <w:tcW w:w="7440" w:type="dxa"/>
            <w:vAlign w:val="bottom"/>
            <w:gridSpan w:val="2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9000" w:type="dxa"/>
            <w:vAlign w:val="bottom"/>
            <w:gridSpan w:val="3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Liquidity and Capital Resources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w:t>
            </w:r>
          </w:p>
        </w:tc>
        <w:tc>
          <w:tcPr>
            <w:tcW w:w="198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Research and Development</w:t>
              </w:r>
            </w:hyperlink>
          </w:p>
        </w:tc>
        <w:tc>
          <w:tcPr>
            <w:tcW w:w="340" w:type="dxa"/>
            <w:vAlign w:val="bottom"/>
            <w:tcBorders>
              <w:top w:val="single" w:sz="8" w:color="0000EE"/>
            </w:tcBorders>
            <w:gridSpan w:val="4"/>
          </w:tcPr>
          <w:p>
            <w:pPr>
              <w:spacing w:after="0"/>
              <w:rPr>
                <w:sz w:val="24"/>
                <w:szCs w:val="24"/>
                <w:color w:val="auto"/>
              </w:rPr>
            </w:pPr>
          </w:p>
        </w:tc>
        <w:tc>
          <w:tcPr>
            <w:tcW w:w="668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w:t>
            </w:r>
          </w:p>
        </w:tc>
        <w:tc>
          <w:tcPr>
            <w:tcW w:w="9000" w:type="dxa"/>
            <w:vAlign w:val="bottom"/>
            <w:gridSpan w:val="3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Trend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w:t>
            </w:r>
          </w:p>
        </w:tc>
        <w:tc>
          <w:tcPr>
            <w:tcW w:w="2400" w:type="dxa"/>
            <w:vAlign w:val="bottom"/>
            <w:tcBorders>
              <w:bottom w:val="single" w:sz="8" w:color="0000EE"/>
            </w:tcBorders>
            <w:gridSpan w:val="27"/>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Off-Balance Sheet Arrangements</w:t>
              </w:r>
            </w:hyperlink>
          </w:p>
        </w:tc>
        <w:tc>
          <w:tcPr>
            <w:tcW w:w="660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F.</w:t>
            </w:r>
          </w:p>
        </w:tc>
        <w:tc>
          <w:tcPr>
            <w:tcW w:w="9000" w:type="dxa"/>
            <w:vAlign w:val="bottom"/>
            <w:gridSpan w:val="3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Contractual Obligations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6.</w:t>
            </w:r>
          </w:p>
        </w:tc>
        <w:tc>
          <w:tcPr>
            <w:tcW w:w="9580" w:type="dxa"/>
            <w:vAlign w:val="bottom"/>
            <w:gridSpan w:val="40"/>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Directors, Senior Management and Employees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A.</w:t>
            </w:r>
          </w:p>
        </w:tc>
        <w:tc>
          <w:tcPr>
            <w:tcW w:w="2480" w:type="dxa"/>
            <w:vAlign w:val="bottom"/>
            <w:tcBorders>
              <w:top w:val="single" w:sz="8" w:color="0000EE"/>
              <w:bottom w:val="single" w:sz="8" w:color="0000EE"/>
            </w:tcBorders>
            <w:gridSpan w:val="28"/>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Directors and Senior Management</w:t>
              </w:r>
            </w:hyperlink>
          </w:p>
        </w:tc>
        <w:tc>
          <w:tcPr>
            <w:tcW w:w="300" w:type="dxa"/>
            <w:vAlign w:val="bottom"/>
            <w:tcBorders>
              <w:top w:val="single" w:sz="8" w:color="0000EE"/>
            </w:tcBorders>
          </w:tcPr>
          <w:p>
            <w:pPr>
              <w:spacing w:after="0"/>
              <w:rPr>
                <w:sz w:val="24"/>
                <w:szCs w:val="24"/>
                <w:color w:val="auto"/>
              </w:rPr>
            </w:pPr>
          </w:p>
        </w:tc>
        <w:tc>
          <w:tcPr>
            <w:tcW w:w="62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9000" w:type="dxa"/>
            <w:vAlign w:val="bottom"/>
            <w:gridSpan w:val="3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Compensation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w:t>
            </w:r>
          </w:p>
        </w:tc>
        <w:tc>
          <w:tcPr>
            <w:tcW w:w="114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7">
              <w:r>
                <w:rPr>
                  <w:rFonts w:ascii="Arial" w:cs="Arial" w:eastAsia="Arial" w:hAnsi="Arial"/>
                  <w:sz w:val="18"/>
                  <w:szCs w:val="18"/>
                  <w:color w:val="0000EE"/>
                  <w:w w:val="88"/>
                </w:rPr>
                <w:t>Board Practices</w:t>
              </w:r>
            </w:hyperlink>
          </w:p>
        </w:tc>
        <w:tc>
          <w:tcPr>
            <w:tcW w:w="7860" w:type="dxa"/>
            <w:vAlign w:val="bottom"/>
            <w:gridSpan w:val="3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w:t>
            </w:r>
          </w:p>
        </w:tc>
        <w:tc>
          <w:tcPr>
            <w:tcW w:w="9000" w:type="dxa"/>
            <w:vAlign w:val="bottom"/>
            <w:gridSpan w:val="3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Employees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w:t>
            </w:r>
          </w:p>
        </w:tc>
        <w:tc>
          <w:tcPr>
            <w:tcW w:w="9000" w:type="dxa"/>
            <w:vAlign w:val="bottom"/>
            <w:gridSpan w:val="39"/>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Share Ownership</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7.</w:t>
            </w:r>
          </w:p>
        </w:tc>
        <w:tc>
          <w:tcPr>
            <w:tcW w:w="9580" w:type="dxa"/>
            <w:vAlign w:val="bottom"/>
            <w:gridSpan w:val="40"/>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Major Shareholders and Related Party Transactions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A.</w:t>
            </w:r>
          </w:p>
        </w:tc>
        <w:tc>
          <w:tcPr>
            <w:tcW w:w="3120" w:type="dxa"/>
            <w:vAlign w:val="bottom"/>
            <w:tcBorders>
              <w:top w:val="single" w:sz="8" w:color="0000EE"/>
            </w:tcBorders>
            <w:gridSpan w:val="3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Major Shareholders</w:t>
              </w:r>
            </w:hyperlink>
          </w:p>
        </w:tc>
        <w:tc>
          <w:tcPr>
            <w:tcW w:w="588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194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80">
              <w:r>
                <w:rPr>
                  <w:rFonts w:ascii="Arial" w:cs="Arial" w:eastAsia="Arial" w:hAnsi="Arial"/>
                  <w:sz w:val="18"/>
                  <w:szCs w:val="18"/>
                  <w:color w:val="0000EE"/>
                  <w:w w:val="88"/>
                </w:rPr>
                <w:t>Related Party Transactions</w:t>
              </w:r>
            </w:hyperlink>
          </w:p>
        </w:tc>
        <w:tc>
          <w:tcPr>
            <w:tcW w:w="70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8.</w:t>
            </w:r>
          </w:p>
        </w:tc>
        <w:tc>
          <w:tcPr>
            <w:tcW w:w="1620" w:type="dxa"/>
            <w:vAlign w:val="bottom"/>
            <w:tcBorders>
              <w:bottom w:val="single" w:sz="8" w:color="0000EE"/>
            </w:tcBorders>
            <w:gridSpan w:val="7"/>
          </w:tcPr>
          <w:p>
            <w:pPr>
              <w:spacing w:after="0"/>
              <w:rPr>
                <w:rFonts w:ascii="Arial" w:cs="Arial" w:eastAsia="Arial" w:hAnsi="Arial"/>
                <w:sz w:val="18"/>
                <w:szCs w:val="18"/>
                <w:color w:val="0000EE"/>
                <w:w w:val="94"/>
              </w:rPr>
            </w:pPr>
            <w:hyperlink w:anchor="page80">
              <w:r>
                <w:rPr>
                  <w:rFonts w:ascii="Arial" w:cs="Arial" w:eastAsia="Arial" w:hAnsi="Arial"/>
                  <w:sz w:val="18"/>
                  <w:szCs w:val="18"/>
                  <w:color w:val="0000EE"/>
                  <w:w w:val="94"/>
                </w:rPr>
                <w:t>Financial Information</w:t>
              </w:r>
            </w:hyperlink>
          </w:p>
        </w:tc>
        <w:tc>
          <w:tcPr>
            <w:tcW w:w="7960" w:type="dxa"/>
            <w:vAlign w:val="bottom"/>
            <w:gridSpan w:val="3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9000" w:type="dxa"/>
            <w:vAlign w:val="bottom"/>
            <w:gridSpan w:val="39"/>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Financial Statements and Other Financial Information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146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Significant Changes</w:t>
              </w:r>
            </w:hyperlink>
          </w:p>
        </w:tc>
        <w:tc>
          <w:tcPr>
            <w:tcW w:w="2420" w:type="dxa"/>
            <w:vAlign w:val="bottom"/>
            <w:tcBorders>
              <w:top w:val="single" w:sz="8" w:color="0000EE"/>
            </w:tcBorders>
            <w:gridSpan w:val="23"/>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9.</w:t>
            </w:r>
          </w:p>
        </w:tc>
        <w:tc>
          <w:tcPr>
            <w:tcW w:w="158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82">
              <w:r>
                <w:rPr>
                  <w:rFonts w:ascii="Arial" w:cs="Arial" w:eastAsia="Arial" w:hAnsi="Arial"/>
                  <w:sz w:val="18"/>
                  <w:szCs w:val="18"/>
                  <w:color w:val="0000EE"/>
                  <w:w w:val="92"/>
                </w:rPr>
                <w:t>The Offer and Listing</w:t>
              </w:r>
            </w:hyperlink>
          </w:p>
        </w:tc>
        <w:tc>
          <w:tcPr>
            <w:tcW w:w="8000" w:type="dxa"/>
            <w:vAlign w:val="bottom"/>
            <w:gridSpan w:val="3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10.</w:t>
            </w:r>
          </w:p>
        </w:tc>
        <w:tc>
          <w:tcPr>
            <w:tcW w:w="16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82">
              <w:r>
                <w:rPr>
                  <w:rFonts w:ascii="Arial" w:cs="Arial" w:eastAsia="Arial" w:hAnsi="Arial"/>
                  <w:sz w:val="18"/>
                  <w:szCs w:val="18"/>
                  <w:color w:val="0000EE"/>
                  <w:w w:val="95"/>
                </w:rPr>
                <w:t>Additional Information</w:t>
              </w:r>
            </w:hyperlink>
          </w:p>
        </w:tc>
        <w:tc>
          <w:tcPr>
            <w:tcW w:w="7900" w:type="dxa"/>
            <w:vAlign w:val="bottom"/>
            <w:gridSpan w:val="3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A.</w:t>
            </w:r>
          </w:p>
        </w:tc>
        <w:tc>
          <w:tcPr>
            <w:tcW w:w="9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2">
              <w:r>
                <w:rPr>
                  <w:rFonts w:ascii="Arial" w:cs="Arial" w:eastAsia="Arial" w:hAnsi="Arial"/>
                  <w:sz w:val="18"/>
                  <w:szCs w:val="18"/>
                  <w:color w:val="0000EE"/>
                  <w:w w:val="87"/>
                </w:rPr>
                <w:t>Share Capital</w:t>
              </w:r>
            </w:hyperlink>
          </w:p>
        </w:tc>
        <w:tc>
          <w:tcPr>
            <w:tcW w:w="8020" w:type="dxa"/>
            <w:vAlign w:val="bottom"/>
            <w:gridSpan w:val="3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B.</w:t>
            </w:r>
          </w:p>
        </w:tc>
        <w:tc>
          <w:tcPr>
            <w:tcW w:w="9000" w:type="dxa"/>
            <w:vAlign w:val="bottom"/>
            <w:gridSpan w:val="39"/>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Memorandum and Articles of Association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C.</w:t>
            </w:r>
          </w:p>
        </w:tc>
        <w:tc>
          <w:tcPr>
            <w:tcW w:w="3020" w:type="dxa"/>
            <w:vAlign w:val="bottom"/>
            <w:tcBorders>
              <w:top w:val="single" w:sz="8" w:color="0000EE"/>
            </w:tcBorders>
            <w:gridSpan w:val="31"/>
          </w:tcPr>
          <w:p>
            <w:pPr>
              <w:spacing w:after="0"/>
              <w:rPr>
                <w:rFonts w:ascii="Arial" w:cs="Arial" w:eastAsia="Arial" w:hAnsi="Arial"/>
                <w:sz w:val="18"/>
                <w:szCs w:val="18"/>
                <w:color w:val="0000EE"/>
              </w:rPr>
            </w:pPr>
            <w:hyperlink w:anchor="page83">
              <w:r>
                <w:rPr>
                  <w:rFonts w:ascii="Arial" w:cs="Arial" w:eastAsia="Arial" w:hAnsi="Arial"/>
                  <w:sz w:val="18"/>
                  <w:szCs w:val="18"/>
                  <w:color w:val="0000EE"/>
                </w:rPr>
                <w:t>Material Contracts</w:t>
              </w:r>
            </w:hyperlink>
          </w:p>
        </w:tc>
        <w:tc>
          <w:tcPr>
            <w:tcW w:w="598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2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D.</w:t>
            </w:r>
          </w:p>
        </w:tc>
        <w:tc>
          <w:tcPr>
            <w:tcW w:w="138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84">
              <w:r>
                <w:rPr>
                  <w:rFonts w:ascii="Arial" w:cs="Arial" w:eastAsia="Arial" w:hAnsi="Arial"/>
                  <w:sz w:val="18"/>
                  <w:szCs w:val="18"/>
                  <w:color w:val="0000EE"/>
                  <w:w w:val="89"/>
                </w:rPr>
                <w:t>Exchange Controls</w:t>
              </w:r>
            </w:hyperlink>
          </w:p>
        </w:tc>
        <w:tc>
          <w:tcPr>
            <w:tcW w:w="7620" w:type="dxa"/>
            <w:vAlign w:val="bottom"/>
            <w:gridSpan w:val="2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E.</w:t>
            </w:r>
          </w:p>
        </w:tc>
        <w:tc>
          <w:tcPr>
            <w:tcW w:w="9000" w:type="dxa"/>
            <w:vAlign w:val="bottom"/>
            <w:gridSpan w:val="39"/>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Taxation</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0" w:type="dxa"/>
            <w:vAlign w:val="bottom"/>
            <w:gridSpan w:val="1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160" w:type="dxa"/>
            <w:vAlign w:val="bottom"/>
            <w:gridSpan w:val="1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F.</w:t>
            </w:r>
          </w:p>
        </w:tc>
        <w:tc>
          <w:tcPr>
            <w:tcW w:w="9000" w:type="dxa"/>
            <w:vAlign w:val="bottom"/>
            <w:gridSpan w:val="39"/>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Dividends and Paying Agents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G.</w:t>
            </w:r>
          </w:p>
        </w:tc>
        <w:tc>
          <w:tcPr>
            <w:tcW w:w="162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Statements by Experts</w:t>
              </w:r>
            </w:hyperlink>
          </w:p>
        </w:tc>
        <w:tc>
          <w:tcPr>
            <w:tcW w:w="520" w:type="dxa"/>
            <w:vAlign w:val="bottom"/>
            <w:tcBorders>
              <w:top w:val="single" w:sz="8" w:color="0000EE"/>
            </w:tcBorders>
            <w:gridSpan w:val="5"/>
          </w:tcPr>
          <w:p>
            <w:pPr>
              <w:spacing w:after="0"/>
              <w:rPr>
                <w:sz w:val="24"/>
                <w:szCs w:val="24"/>
                <w:color w:val="auto"/>
              </w:rPr>
            </w:pPr>
          </w:p>
        </w:tc>
        <w:tc>
          <w:tcPr>
            <w:tcW w:w="686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H.</w:t>
            </w:r>
          </w:p>
        </w:tc>
        <w:tc>
          <w:tcPr>
            <w:tcW w:w="170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Documents on Display</w:t>
              </w:r>
            </w:hyperlink>
          </w:p>
        </w:tc>
        <w:tc>
          <w:tcPr>
            <w:tcW w:w="7300" w:type="dxa"/>
            <w:vAlign w:val="bottom"/>
            <w:gridSpan w:val="2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11.</w:t>
            </w:r>
          </w:p>
        </w:tc>
        <w:tc>
          <w:tcPr>
            <w:tcW w:w="4360" w:type="dxa"/>
            <w:vAlign w:val="bottom"/>
            <w:tcBorders>
              <w:bottom w:val="single" w:sz="8" w:color="0000EE"/>
            </w:tcBorders>
            <w:gridSpan w:val="38"/>
          </w:tcPr>
          <w:p>
            <w:pPr>
              <w:spacing w:after="0"/>
              <w:rPr>
                <w:rFonts w:ascii="Arial" w:cs="Arial" w:eastAsia="Arial" w:hAnsi="Arial"/>
                <w:sz w:val="18"/>
                <w:szCs w:val="18"/>
                <w:color w:val="0000EE"/>
                <w:w w:val="92"/>
              </w:rPr>
            </w:pPr>
            <w:hyperlink w:anchor="page92">
              <w:r>
                <w:rPr>
                  <w:rFonts w:ascii="Arial" w:cs="Arial" w:eastAsia="Arial" w:hAnsi="Arial"/>
                  <w:sz w:val="18"/>
                  <w:szCs w:val="18"/>
                  <w:color w:val="0000EE"/>
                  <w:w w:val="92"/>
                </w:rPr>
                <w:t>Quantitative and Qualitative Disclosures About Market Risk</w:t>
              </w:r>
            </w:hyperlink>
          </w:p>
        </w:tc>
        <w:tc>
          <w:tcPr>
            <w:tcW w:w="52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ind w:left="360"/>
              <w:spacing w:after="0"/>
              <w:rPr>
                <w:sz w:val="20"/>
                <w:szCs w:val="20"/>
                <w:color w:val="auto"/>
              </w:rPr>
            </w:pPr>
            <w:r>
              <w:rPr>
                <w:rFonts w:ascii="Arial" w:cs="Arial" w:eastAsia="Arial" w:hAnsi="Arial"/>
                <w:sz w:val="18"/>
                <w:szCs w:val="18"/>
                <w:color w:val="auto"/>
              </w:rPr>
              <w:t>Item 12.</w:t>
            </w:r>
          </w:p>
        </w:tc>
        <w:tc>
          <w:tcPr>
            <w:tcW w:w="9580" w:type="dxa"/>
            <w:vAlign w:val="bottom"/>
            <w:gridSpan w:val="4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Description of Securities Other than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440" w:type="dxa"/>
            <w:vAlign w:val="bottom"/>
            <w:gridSpan w:val="2"/>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PART II</w:t>
              </w:r>
            </w:hyperlink>
          </w:p>
        </w:tc>
        <w:tc>
          <w:tcPr>
            <w:tcW w:w="5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13.</w:t>
            </w:r>
          </w:p>
        </w:tc>
        <w:tc>
          <w:tcPr>
            <w:tcW w:w="7660" w:type="dxa"/>
            <w:vAlign w:val="bottom"/>
            <w:gridSpan w:val="1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Defaults, Dividend Arrearages and Delinquencies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14.</w:t>
            </w:r>
          </w:p>
        </w:tc>
        <w:tc>
          <w:tcPr>
            <w:tcW w:w="7660" w:type="dxa"/>
            <w:vAlign w:val="bottom"/>
            <w:gridSpan w:val="15"/>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Material Modifications to the Rights of Security Holders and Use of Proceeds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04"/>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15.</w:t>
            </w:r>
          </w:p>
        </w:tc>
        <w:tc>
          <w:tcPr>
            <w:tcW w:w="5600" w:type="dxa"/>
            <w:vAlign w:val="bottom"/>
            <w:tcBorders>
              <w:top w:val="single" w:sz="8" w:color="0000EE"/>
            </w:tcBorders>
            <w:gridSpan w:val="14"/>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Controls and Procedures</w:t>
              </w:r>
            </w:hyperlink>
          </w:p>
        </w:tc>
        <w:tc>
          <w:tcPr>
            <w:tcW w:w="2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A. </w:t>
            </w:r>
            <w:hyperlink w:anchor="page95">
              <w:r>
                <w:rPr>
                  <w:rFonts w:ascii="Arial" w:cs="Arial" w:eastAsia="Arial" w:hAnsi="Arial"/>
                  <w:sz w:val="18"/>
                  <w:szCs w:val="18"/>
                  <w:color w:val="0000EE"/>
                </w:rPr>
                <w:t>Audit Committee Financial Expert</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B. </w:t>
            </w:r>
            <w:hyperlink w:anchor="page95">
              <w:r>
                <w:rPr>
                  <w:rFonts w:ascii="Arial" w:cs="Arial" w:eastAsia="Arial" w:hAnsi="Arial"/>
                  <w:sz w:val="18"/>
                  <w:szCs w:val="18"/>
                  <w:color w:val="0000EE"/>
                </w:rPr>
                <w:t>Code of Ethics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C. </w:t>
            </w:r>
            <w:hyperlink w:anchor="page95">
              <w:r>
                <w:rPr>
                  <w:rFonts w:ascii="Arial" w:cs="Arial" w:eastAsia="Arial" w:hAnsi="Arial"/>
                  <w:sz w:val="18"/>
                  <w:szCs w:val="18"/>
                  <w:color w:val="0000EE"/>
                </w:rPr>
                <w:t>Principal Accountant Fees and Services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D. </w:t>
            </w:r>
            <w:hyperlink w:anchor="page96">
              <w:r>
                <w:rPr>
                  <w:rFonts w:ascii="Arial" w:cs="Arial" w:eastAsia="Arial" w:hAnsi="Arial"/>
                  <w:sz w:val="18"/>
                  <w:szCs w:val="18"/>
                  <w:color w:val="0000EE"/>
                </w:rPr>
                <w:t>Exemptions from the Listing Standards for Audit Committees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E. </w:t>
            </w:r>
            <w:hyperlink w:anchor="page96">
              <w:r>
                <w:rPr>
                  <w:rFonts w:ascii="Arial" w:cs="Arial" w:eastAsia="Arial" w:hAnsi="Arial"/>
                  <w:sz w:val="18"/>
                  <w:szCs w:val="18"/>
                  <w:color w:val="0000EE"/>
                </w:rPr>
                <w:t>Purchases of Equity Securities by the Issuer and Affiliated Purchasers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740" w:type="dxa"/>
            <w:vAlign w:val="bottom"/>
            <w:gridSpan w:val="3"/>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F. </w:t>
            </w:r>
            <w:hyperlink w:anchor="page96">
              <w:r>
                <w:rPr>
                  <w:rFonts w:ascii="Arial" w:cs="Arial" w:eastAsia="Arial" w:hAnsi="Arial"/>
                  <w:sz w:val="18"/>
                  <w:szCs w:val="18"/>
                  <w:color w:val="0000EE"/>
                </w:rPr>
                <w:t>Change in Registrants’ Certifying Accountant</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460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G. </w:t>
            </w:r>
            <w:hyperlink w:anchor="page96">
              <w:r>
                <w:rPr>
                  <w:rFonts w:ascii="Arial" w:cs="Arial" w:eastAsia="Arial" w:hAnsi="Arial"/>
                  <w:sz w:val="18"/>
                  <w:szCs w:val="18"/>
                  <w:color w:val="0000EE"/>
                </w:rPr>
                <w:t>Corporate Governance</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9100" w:type="dxa"/>
            <w:vAlign w:val="bottom"/>
            <w:gridSpan w:val="19"/>
          </w:tcPr>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16. H. </w:t>
            </w:r>
            <w:hyperlink w:anchor="page96">
              <w:r>
                <w:rPr>
                  <w:rFonts w:ascii="Arial" w:cs="Arial" w:eastAsia="Arial" w:hAnsi="Arial"/>
                  <w:sz w:val="18"/>
                  <w:szCs w:val="18"/>
                  <w:color w:val="0000EE"/>
                </w:rPr>
                <w:t>Mine Safety Disclosures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40" w:type="dxa"/>
            <w:vAlign w:val="bottom"/>
            <w:gridSpan w:val="3"/>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PART III</w:t>
              </w:r>
            </w:hyperlink>
          </w:p>
        </w:tc>
        <w:tc>
          <w:tcPr>
            <w:tcW w:w="2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660" w:type="dxa"/>
            <w:vAlign w:val="bottom"/>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40" w:type="dxa"/>
            <w:vAlign w:val="bottom"/>
            <w:gridSpan w:val="1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304"/>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17.</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Financial Statements</w:t>
              </w:r>
            </w:hyperlink>
          </w:p>
        </w:tc>
        <w:tc>
          <w:tcPr>
            <w:tcW w:w="6140" w:type="dxa"/>
            <w:vAlign w:val="bottom"/>
            <w:gridSpan w:val="10"/>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18.</w:t>
            </w:r>
          </w:p>
        </w:tc>
        <w:tc>
          <w:tcPr>
            <w:tcW w:w="7660" w:type="dxa"/>
            <w:vAlign w:val="bottom"/>
            <w:gridSpan w:val="15"/>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Financial Statements</w:t>
              </w:r>
            </w:hyperlink>
          </w:p>
        </w:tc>
        <w:tc>
          <w:tcPr>
            <w:tcW w:w="22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440" w:type="dxa"/>
            <w:vAlign w:val="bottom"/>
            <w:gridSpan w:val="4"/>
          </w:tcPr>
          <w:p>
            <w:pPr>
              <w:ind w:left="360"/>
              <w:spacing w:after="0"/>
              <w:rPr>
                <w:sz w:val="20"/>
                <w:szCs w:val="20"/>
                <w:color w:val="auto"/>
              </w:rPr>
            </w:pPr>
            <w:r>
              <w:rPr>
                <w:rFonts w:ascii="Arial" w:cs="Arial" w:eastAsia="Arial" w:hAnsi="Arial"/>
                <w:sz w:val="18"/>
                <w:szCs w:val="18"/>
                <w:color w:val="auto"/>
              </w:rPr>
              <w:t>Item 19.</w:t>
            </w: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Exhibits</w:t>
              </w:r>
            </w:hyperlink>
          </w:p>
        </w:tc>
        <w:tc>
          <w:tcPr>
            <w:tcW w:w="900" w:type="dxa"/>
            <w:vAlign w:val="bottom"/>
            <w:tcBorders>
              <w:top w:val="single" w:sz="8" w:color="0000EE"/>
            </w:tcBorders>
            <w:gridSpan w:val="3"/>
          </w:tcPr>
          <w:p>
            <w:pPr>
              <w:spacing w:after="0"/>
              <w:rPr>
                <w:sz w:val="24"/>
                <w:szCs w:val="24"/>
                <w:color w:val="auto"/>
              </w:rPr>
            </w:pPr>
          </w:p>
        </w:tc>
        <w:tc>
          <w:tcPr>
            <w:tcW w:w="6160" w:type="dxa"/>
            <w:vAlign w:val="bottom"/>
            <w:gridSpan w:val="11"/>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93</w:t>
            </w:r>
          </w:p>
        </w:tc>
      </w:tr>
    </w:tbl>
    <w:p>
      <w:pPr>
        <w:sectPr>
          <w:pgSz w:w="11900" w:h="16838" w:orient="portrait"/>
          <w:cols w:equalWidth="0" w:num="1">
            <w:col w:w="11320"/>
          </w:cols>
          <w:pgMar w:left="240" w:top="10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PART I</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Special Note Regarding Forward Looking Statements</w:t>
      </w:r>
    </w:p>
    <w:p>
      <w:pPr>
        <w:spacing w:after="0" w:line="225"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78"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7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83"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i w:val="1"/>
          <w:iCs w:val="1"/>
          <w:color w:val="auto"/>
        </w:rPr>
        <w:t>Unless the context otherwise requires, references to “the company”, “we”, “us” , “our” or “Global Ship Lease” refers to Global Ship Lease, Inc.; “CMA CGM” refers to CMA CGM S.A. and “CMA Ships” refers to CMA Ships, a wholly-owned subsidiary of CMA CGM and our principal ship manager. For the definition of certain terms used in this Annual Report, please see “Glossary of Shipping Terms” at the end of this Annual Report. Unless otherwise indicated, all references to “$” and “dollars” in this Annual Report are in U.S.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Identity of Directors, Senior Management and Advisors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Offer Statistics and Expected Timetable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131" w:lineRule="exact"/>
        <w:rPr>
          <w:sz w:val="20"/>
          <w:szCs w:val="20"/>
          <w:color w:val="auto"/>
        </w:rPr>
      </w:pPr>
    </w:p>
    <w:p>
      <w:pPr>
        <w:ind w:left="1480" w:hanging="567"/>
        <w:spacing w:after="0"/>
        <w:tabs>
          <w:tab w:leader="none" w:pos="1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consolidated financial statements and notes thereto, which are referred to as our consolidated financial statements, included elsewhere in this Annual Report.</w:t>
      </w:r>
    </w:p>
    <w:p>
      <w:pPr>
        <w:spacing w:after="0" w:line="18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This historical selected consolidated financial data has been derived from our audited consolidated financial statements and has been prepared in accordance with U.S. generally accepted accounting principles (“U.S. GAAP”). Certain financial information has been rounded, and, as a result, certain totals shown in this Annual Report may not equal the arithmetic sum of the figures that should otherwise aggregate to those totals.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This selected financial data should be read together with, and is qualified in its entirety by, our consolidated financial statements and the notes thereto included elsewhere in this Annual Report.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w w:val="89"/>
              </w:rPr>
              <w:t>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89"/>
              </w:rPr>
              <w:t>2012</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96"/>
              </w:rPr>
              <w:t>2011</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300" w:type="dxa"/>
            <w:vAlign w:val="bottom"/>
            <w:gridSpan w:val="11"/>
          </w:tcPr>
          <w:p>
            <w:pPr>
              <w:jc w:val="right"/>
              <w:ind w:right="220"/>
              <w:spacing w:after="0" w:line="142" w:lineRule="exact"/>
              <w:rPr>
                <w:sz w:val="20"/>
                <w:szCs w:val="20"/>
                <w:color w:val="auto"/>
              </w:rPr>
            </w:pPr>
            <w:r>
              <w:rPr>
                <w:rFonts w:ascii="Arial" w:cs="Arial" w:eastAsia="Arial" w:hAnsi="Arial"/>
                <w:sz w:val="14"/>
                <w:szCs w:val="14"/>
                <w:b w:val="1"/>
                <w:bCs w:val="1"/>
                <w:color w:val="auto"/>
                <w:w w:val="93"/>
              </w:rPr>
              <w:t>(in millions of U.S. dollars, except per share data)</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138.6</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143.2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156.3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(48.8)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(45.6)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(40.4)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(40.3)</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(40.1)</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Impairment charge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(96.3)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(92.1)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(91.4)</w:t>
            </w:r>
          </w:p>
        </w:tc>
        <w:tc>
          <w:tcPr>
            <w:tcW w:w="100" w:type="dxa"/>
            <w:vAlign w:val="bottom"/>
          </w:tcPr>
          <w:p>
            <w:pPr>
              <w:spacing w:after="0"/>
              <w:rPr>
                <w:sz w:val="19"/>
                <w:szCs w:val="19"/>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(106.3)</w:t>
            </w: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1"/>
              </w:rPr>
              <w:t>(107.1)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61.8</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(21.2)</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(18.4)</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32.1</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3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31.9</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Net income (loss) available to common shareholders</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Class A common share in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0.19</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Basic in millions</w:t>
            </w: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47.3</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in millions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47.6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 per Class B common share in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Nil</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Nil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Nil</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in millions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(80.1)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(16.6)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(24.3)</w:t>
            </w:r>
          </w:p>
        </w:tc>
        <w:tc>
          <w:tcPr>
            <w:tcW w:w="1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(59.3)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(59.1)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vessels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836.5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817.9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856.4</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890.2</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886.6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858.2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903.7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939.5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 xml:space="preserve">Long-term debt (current and non-current portion)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414.8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366.4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425.7</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483.6</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r>
              <w:rPr>
                <w:rFonts w:ascii="Arial" w:cs="Arial" w:eastAsia="Arial" w:hAnsi="Arial"/>
                <w:sz w:val="15"/>
                <w:szCs w:val="15"/>
                <w:color w:val="auto"/>
              </w:rPr>
              <w:t>(3)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Class A and B common stock</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4"/>
              </w:rPr>
              <w:t>399.5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366.6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334.2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Number of vessels in operation at period end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Ownership days</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6,270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6,205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6,222</w:t>
            </w: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6,205</w:t>
            </w: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Utilization</w:t>
            </w: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66"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November 8, 2010, we signed agreements with the sellers of two 4,231 TEU container vessels which terminated our purchase obligations totaling $154.8 million. Under the agreements we (i) released deposits, including accrued interest and totaling approximately $8.1 million per vessel (ii) made a further cash payment of approximately $6.2 million per vessel and (iii) transferred to the sellers certain supplies purchased for the vessels which were valued at approximately $0.4 million per vessel. The total value of these items was $29.4 million or $14.7 million per vessel. In exchange, we acquired purchase options giving us the right, but not the obligation, to purchase each vessel on the first anniversary of its delivery by the builder to the seller, for a final payment of $61.25 million per vessel. The purchase options were to be exercised by September 16, 2011 for one vessel and October 4, 2011 for the other vessel. Under U.S. GAAP, (i) the estimated fair value of the two purchase options was recorded as an intangible asset in the balance sheet of $13.6 million and (ii) the balance of the consideration paid in the transaction amounting to $17.1 million was expensed as an impairment charge in 2010. The purchase of these vessels was always predicated on achieving a strong return for shareholders by acquiring the vessels, which had time charters attached, at an attractive price and securing financing on favorable terms. As we were not able to obtain committed finance on acceptable terms, the purchase options were allowed to expire.</w:t>
      </w:r>
    </w:p>
    <w:p>
      <w:pPr>
        <w:spacing w:after="0" w:line="8" w:lineRule="exact"/>
        <w:rPr>
          <w:rFonts w:ascii="Arial" w:cs="Arial" w:eastAsia="Arial" w:hAnsi="Arial"/>
          <w:sz w:val="17"/>
          <w:szCs w:val="17"/>
          <w:color w:val="auto"/>
        </w:rPr>
      </w:pPr>
    </w:p>
    <w:p>
      <w:pPr>
        <w:ind w:left="460" w:right="60" w:hanging="452"/>
        <w:spacing w:after="0" w:line="30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Prior to March 19, 2014, long-term debt comprised amounts outstanding under a senior secured credit facility (“Previous Credit Facility”) that was first drawn in December 2007. The Company completed the issue of $420 million 10.000% First Priority Senior Secured Notes (the “notes”) on March 19, 2014, the principal use of proceeds being to repay the amounts outstanding under the Previous Credit Facility which was then terminated.</w:t>
      </w:r>
    </w:p>
    <w:p>
      <w:pPr>
        <w:sectPr>
          <w:pgSz w:w="11900" w:h="16838" w:orient="portrait"/>
          <w:cols w:equalWidth="0" w:num="1">
            <w:col w:w="11420"/>
          </w:cols>
          <w:pgMar w:left="240" w:top="459" w:right="239" w:bottom="408" w:gutter="0" w:footer="0" w:header="0"/>
        </w:sectPr>
      </w:pPr>
    </w:p>
    <w:p>
      <w:pPr>
        <w:spacing w:after="0" w:line="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459" w:right="239" w:bottom="408"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00" w:hanging="452"/>
        <w:spacing w:after="0" w:line="267"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Represents the aggregate outstanding liquidation preference on our Series A preferred shares. The Series A preferred shares were mandatorily redeemable in 11 quarterly instalments of approximately $4.0 million from August 31, 2016 with a final payment of the remaining amount outstanding on May 31, 2019. They were classified as a long-term liability on our balance sheet. Preferred shareholders were entitled to cash dividends equal to three-month USD LIBOR plus 2.0% of the original liquidation preference which was accounted for as a liability on our balance sheet. Dividends were payable quarterly or at such other times at our choice. The dividend that preferred shareholders was entitled to is included as part of interest expense. All of the Series A preferred shares were held by CMA CGM. The Series A preferred shares, which had a liquidation value at maturity of $45.0 million, were redeemed at a discount pursuant to a Share Repurchase Agreement for $36.4 million on August 22, 2014, using the proceeds received from the issuance of the 8.75% Series B Cumulative Redeemable Perpetual Preferred Shares (the “Series B preferred shares”), the balance of the restricted cash and cash on hand.</w:t>
      </w:r>
    </w:p>
    <w:p>
      <w:pPr>
        <w:spacing w:after="0" w:line="1" w:lineRule="exact"/>
        <w:rPr>
          <w:rFonts w:ascii="Arial" w:cs="Arial" w:eastAsia="Arial" w:hAnsi="Arial"/>
          <w:sz w:val="17"/>
          <w:szCs w:val="17"/>
          <w:color w:val="auto"/>
        </w:rPr>
      </w:pPr>
    </w:p>
    <w:p>
      <w:pPr>
        <w:ind w:left="460" w:right="4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 August 20, 2014, we issued 1,400,000 depositary shares (the “depositary shares”), each of which represents 1/100</w:t>
      </w:r>
      <w:r>
        <w:rPr>
          <w:rFonts w:ascii="Arial" w:cs="Arial" w:eastAsia="Arial" w:hAnsi="Arial"/>
          <w:sz w:val="15"/>
          <w:szCs w:val="15"/>
          <w:color w:val="auto"/>
        </w:rPr>
        <w:t>th</w:t>
      </w:r>
      <w:r>
        <w:rPr>
          <w:rFonts w:ascii="Arial" w:cs="Arial" w:eastAsia="Arial" w:hAnsi="Arial"/>
          <w:sz w:val="18"/>
          <w:szCs w:val="18"/>
          <w:color w:val="auto"/>
        </w:rPr>
        <w:t xml:space="preserve"> of one share of our Series B preferred shares.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 The net proceeds from the offering were $33.5 million. These shares are classified as equity in the consolidated financial statements.</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Ownership days represent the number of days in the period that we owned the relevant vessels.</w:t>
      </w:r>
    </w:p>
    <w:p>
      <w:pPr>
        <w:spacing w:after="0" w:line="9" w:lineRule="exact"/>
        <w:rPr>
          <w:rFonts w:ascii="Arial" w:cs="Arial" w:eastAsia="Arial" w:hAnsi="Arial"/>
          <w:sz w:val="18"/>
          <w:szCs w:val="18"/>
          <w:color w:val="auto"/>
        </w:rPr>
      </w:pPr>
    </w:p>
    <w:p>
      <w:pPr>
        <w:ind w:left="460" w:right="60" w:hanging="452"/>
        <w:spacing w:after="0" w:line="271" w:lineRule="auto"/>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or otherwise not earning revenue for any reason, including scheduled dry-dockings, breakdowns, repairs or idle time between charters. These data are non-U.S. GAAP statistical measures used by management to assess operating performance and are not included in consolidated financial statements prepared under U.S. GAAP.</w:t>
      </w:r>
    </w:p>
    <w:p>
      <w:pPr>
        <w:spacing w:after="0" w:line="323" w:lineRule="exact"/>
        <w:rPr>
          <w:sz w:val="20"/>
          <w:szCs w:val="20"/>
          <w:color w:val="auto"/>
        </w:rPr>
      </w:pPr>
    </w:p>
    <w:p>
      <w:pPr>
        <w:ind w:left="1480" w:hanging="567"/>
        <w:spacing w:after="0"/>
        <w:tabs>
          <w:tab w:leader="none" w:pos="1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480" w:hanging="567"/>
        <w:spacing w:after="0"/>
        <w:tabs>
          <w:tab w:leader="none" w:pos="1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right="8940" w:firstLine="913"/>
        <w:spacing w:after="0" w:line="425" w:lineRule="auto"/>
        <w:tabs>
          <w:tab w:leader="none" w:pos="1472"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 Risks Relating to Our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highly dependent on charter payments from CMA CGM.</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All but four of our 19 vessels are chartered to CMA CGM. CMA CGM’s payments to us under these charters are our principal source of operating revenue. We are consequently highly dependent on the performance by CMA CGM of its obligations under these charters. The container shipping industry suffered a significant cyclical downturn in the second half of 2008 and through 2009, with positive industry conditions returning in 2010. The industry suffered a further cyclical downturn in 2011 and many container shipping companies reported substantial losses. Financial performance of container shipping companies improved in 2012, 2013 and 2014, however, the industry remains under pressure due to oversupply of container ship capacity. We have experienced, from time to time, delays in receiving charterhire payments from CMA CGM, which under the charter contracts are due to be paid on the 1</w:t>
      </w:r>
      <w:r>
        <w:rPr>
          <w:rFonts w:ascii="Arial" w:cs="Arial" w:eastAsia="Arial" w:hAnsi="Arial"/>
          <w:sz w:val="13"/>
          <w:szCs w:val="13"/>
          <w:color w:val="auto"/>
        </w:rPr>
        <w:t>st</w:t>
      </w:r>
      <w:r>
        <w:rPr>
          <w:rFonts w:ascii="Arial" w:cs="Arial" w:eastAsia="Arial" w:hAnsi="Arial"/>
          <w:sz w:val="16"/>
          <w:szCs w:val="16"/>
          <w:color w:val="auto"/>
        </w:rPr>
        <w:t xml:space="preserve"> and 16</w:t>
      </w:r>
      <w:r>
        <w:rPr>
          <w:rFonts w:ascii="Arial" w:cs="Arial" w:eastAsia="Arial" w:hAnsi="Arial"/>
          <w:sz w:val="13"/>
          <w:szCs w:val="13"/>
          <w:color w:val="auto"/>
        </w:rPr>
        <w:t>th</w:t>
      </w:r>
      <w:r>
        <w:rPr>
          <w:rFonts w:ascii="Arial" w:cs="Arial" w:eastAsia="Arial" w:hAnsi="Arial"/>
          <w:sz w:val="16"/>
          <w:szCs w:val="16"/>
          <w:color w:val="auto"/>
        </w:rPr>
        <w:t xml:space="preserve"> of each month, in advance. Up to two instalments were outstanding at times during 2014. As at December 31, 2014, no charterhire was outstanding.</w:t>
      </w:r>
    </w:p>
    <w:p>
      <w:pPr>
        <w:spacing w:after="0" w:line="16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for shorter durations. If such events occur, there would be significant uncertainty about our ability to continue as a going concern.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manage our ships.</w:t>
      </w:r>
    </w:p>
    <w:p>
      <w:pPr>
        <w:spacing w:after="0" w:line="225"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All but two of our 19 vessels are managed by CMA Ships, a wholly owned subsidiary of CMA CGM, which, for an annual management fee of $123,000 per vessel, is responsible for all day-to-day ship management, including crewing, purchasing stores, lubricating oils and spare parts, paying wages, pensions and insurance for the crew, and organizing other vessel operating necessities, including the arrangement and management of drydocking. Our ship management agreements with CMA Ships may be terminated by either party on two months written notice. In the future, CMA Ships may demand a higher fee or other more favorable terms in consideration for its services or decide to terminate its agreements with us. The prices or terms of new ship management agreements with CMA Ships or an alternate provider may be significantly less favorable to us than the terms of our existing ship management agreements. Our other two vessels are managed by a ship manager based in Hong Kong, on similar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are privately held companies and there is little or no publicly available information about them.</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CMA CGM is our principal charterer and its wholly owned subsidiary, CMA Ships, is our principal ship manager. CMA CGM has guaranteed the performance of CMA Ships under the ship management agreements. CMA CGM’s ability to continue to pay charterhire and CMA Ships’ ability to render ship management services will depend in part on their own financial position.</w:t>
      </w:r>
    </w:p>
    <w:p>
      <w:pPr>
        <w:spacing w:after="0" w:line="18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Circumstances beyond their control could impair CMA CGM’s and CMA Ships’ financial position, and because they are privately held companies, limited information about their financial position is publicly available. As a result, we and an investor in our securities might have little advance warning of financial or other difficulties affecting CMA CGM or its wholly owned subsidiaries even though their financial or other difficulties could have a material adverse effect on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and CMA Ships have conflicts of interest with us which may make them favor their own interests to our detriment.</w:t>
      </w:r>
    </w:p>
    <w:p>
      <w:pPr>
        <w:spacing w:after="0" w:line="22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As at December 31, 2014, CMA CGM owned approximately 44.4% of our outstanding common stock. Accordingly, CMA CGM has the power to exert considerable influence over our actions and its concentration of ownership may have the effect of delaying, deferring or preventing a change in control, merger, consolidation, takeover or other business combination, which could have an adverse effect on the price of our common stock. In addition, the standstill provisions of the stockholders agreement entered into between us, CMA CGM and Marathon Founders, LLC, at the time of the Merger, expired on August 14, 2013. Accordingly, CMA CGM is no longer precluded from acquiring additional shares of our common stock or initiating changes to our board of directors. In May 2014 we appointed two additional directors to our board with those seats filled by CMA CGM nominees. Under our bylaws, in order for the approval of contracts or transactions involving a related party not to be voidable (1) any interested director’s relationship or interest as to the contract or transaction must be disclosed to the board of directors and such contract or transaction is authorized by a majority of the disinterested directors (or, in certain cases, all of the disinterested directors) or (2) the contract or transaction is specifically approved in good faith by vote of the shareholders. Furthermore, our corporate governance guidelines require a director with a personal interest in a matter being approved by the board of directors to disclose the interest, to recuse himself or herself from participation in the discussion and to not vote on the matter.</w:t>
      </w:r>
    </w:p>
    <w:p>
      <w:pPr>
        <w:spacing w:after="0" w:line="173"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Moreover, conflicts of interest may also arise between us, on the one hand, and CMA CGM, our charterer, or CMA Ships, our principal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CMA Ships as ship manager and CMA CGM as charterer. These risks may be exacerbated in the event that CMA CGM elects to exert more influence in the management of our business through its nominated board representation, acquiring additional shares of our common stock or otherwise.</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reporting is dependent on CMA Ships.</w:t>
      </w:r>
    </w:p>
    <w:p>
      <w:pPr>
        <w:spacing w:after="0" w:line="225"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Under the ship management agreements with CMA Ships, CMA Ships is obliged to provide us with requisite financial information on a timely basis so that we can meet our own reporting obligations under U.S. securities laws. CMA Ships and its parent company CMA CGM are privately held corporations with financial reporting arrangements different from ours. If CMA Ships or any of its affiliates is delayed in providing us with key financial information,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CMA CGM could compete with us.</w:t>
      </w:r>
    </w:p>
    <w:p>
      <w:pPr>
        <w:spacing w:after="0" w:line="225"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Along with many other vessel-owning companies, CMA CGM, currently our principal charterer and largest holder of our common shares, could compete with us for the purchase of vessels. Further, CMA CGM is not precluded from acting as an owner in the direct chartering market. While we understand that CMA CGM currently has no intention of becoming such an owner, competition from CMA CGM may potentially harm our ability to grow the business and may decrease our results of operations.</w:t>
      </w:r>
    </w:p>
    <w:p>
      <w:pPr>
        <w:spacing w:after="0" w:line="187" w:lineRule="exact"/>
        <w:rPr>
          <w:sz w:val="20"/>
          <w:szCs w:val="20"/>
          <w:color w:val="auto"/>
        </w:rPr>
      </w:pPr>
    </w:p>
    <w:p>
      <w:pPr>
        <w:ind w:right="120"/>
        <w:spacing w:after="0" w:line="381" w:lineRule="auto"/>
        <w:rPr>
          <w:sz w:val="20"/>
          <w:szCs w:val="20"/>
          <w:color w:val="auto"/>
        </w:rPr>
      </w:pPr>
      <w:r>
        <w:rPr>
          <w:rFonts w:ascii="Arial" w:cs="Arial" w:eastAsia="Arial" w:hAnsi="Arial"/>
          <w:sz w:val="15"/>
          <w:szCs w:val="15"/>
          <w:b w:val="1"/>
          <w:bCs w:val="1"/>
          <w:i w:val="1"/>
          <w:i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01"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initial charters, the ship management agreements and the other contractual agreements, including the terms of the Series A preferred shares and the subsequent agreement to redeem these in August 2014, we have entered into with CMA CGM and its wholly owned subsidiaries were made during an affiliated relationship in the context of a previously contemplated public offering of our Class A common shares in 2007, the Merger in August 2008 and other related transactions. New charters, now expired, that came into effect on the expiration of the initial charters in September 2012 for Ville d’Aquarius and Ville d’Orion were also agreed with CMA CGM, a significant shareholder and related party. Further, we agreed with CMA CGM, with effect from February 1, 2014, to extend by three years the charters on four other vessels at a lower on-going daily charter rate.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66"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growth depends on our ability to purchase further vessels, obtain new charters and maintain our relationship with CMA CGM. We will require additional financing to be able to grow and will face substantial competition.</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One of our objectives is to grow by acquiring additional vessels and chartering them out to container shipping companies potentially including CMA CGM. Acquisition of vessels will be challenging as, inter alia, we may need to obtain additional financing in order to complete vessel purchases. Due to the continuing effects of the economic downturn and the severe cyclical downturn in the container shipping industry, financing for investment in containerships, whether newbuildings or existing vessels, is severely limited. Further, the cost of any available financing has increased significantly. In addition, in recent years, the number of lenders for shipping companies has decreased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97"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process of obtaining further vessels and new charters is highly competitive. The purchase of vessels and gaining of new charters depends on a variety of factors relating to the vessel owner, including:</w:t>
      </w:r>
    </w:p>
    <w:p>
      <w:pPr>
        <w:spacing w:after="0" w:line="76"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containership leasing experience and quality of ship operations (including cost effectiveness);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130" w:lineRule="exact"/>
        <w:rPr>
          <w:rFonts w:ascii="Arial" w:cs="Arial" w:eastAsia="Arial" w:hAnsi="Arial"/>
          <w:sz w:val="18"/>
          <w:szCs w:val="18"/>
          <w:color w:val="auto"/>
        </w:rPr>
      </w:pPr>
    </w:p>
    <w:p>
      <w:pPr>
        <w:ind w:left="1460" w:right="1080" w:hanging="547"/>
        <w:spacing w:after="0" w:line="277" w:lineRule="auto"/>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construction management experience, including the ability to obtain on-time delivery of new vessels according to customer specifications.</w:t>
      </w:r>
    </w:p>
    <w:p>
      <w:pPr>
        <w:spacing w:after="0" w:line="170" w:lineRule="exact"/>
        <w:rPr>
          <w:sz w:val="20"/>
          <w:szCs w:val="20"/>
          <w:color w:val="auto"/>
        </w:rPr>
      </w:pPr>
    </w:p>
    <w:p>
      <w:pPr>
        <w:jc w:val="both"/>
        <w:ind w:right="160" w:firstLine="913"/>
        <w:spacing w:after="0" w:line="288" w:lineRule="auto"/>
        <w:rPr>
          <w:sz w:val="20"/>
          <w:szCs w:val="20"/>
          <w:color w:val="auto"/>
        </w:rPr>
      </w:pPr>
      <w:r>
        <w:rPr>
          <w:rFonts w:ascii="Arial" w:cs="Arial" w:eastAsia="Arial" w:hAnsi="Arial"/>
          <w:sz w:val="16"/>
          <w:szCs w:val="16"/>
          <w:color w:val="auto"/>
        </w:rPr>
        <w:t>We will face substantial competition in expanding our business from a number of experienced companies. Many of these competitors may have greater financial resources than us, may also operate larger fleets, may have been established for longer and may be able to offer better charter rates. During any industry downturn there are an increased number of vessels available for charter, including many from owners with strong reputations and experience.</w:t>
      </w:r>
    </w:p>
    <w:p>
      <w:pPr>
        <w:jc w:val="both"/>
        <w:spacing w:after="0" w:line="255" w:lineRule="auto"/>
        <w:rPr>
          <w:sz w:val="20"/>
          <w:szCs w:val="20"/>
          <w:color w:val="auto"/>
        </w:rPr>
      </w:pPr>
      <w:r>
        <w:rPr>
          <w:rFonts w:ascii="Arial" w:cs="Arial" w:eastAsia="Arial" w:hAnsi="Arial"/>
          <w:sz w:val="18"/>
          <w:szCs w:val="18"/>
          <w:color w:val="auto"/>
        </w:rPr>
        <w:t>Excess supply of vessels results in greater price competition for charters. As a result of these factors, we may be unable to purchase additional containerships, expand our relationships with CMA CGM or to obtain new charters on a profitable basis, if at all, which would have a material adverse effect on our business, results of operations and financial condition.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recharter our vessels at profitable rates, if at all, upon their time charter expiry.</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time charters for two of our 19 containerships can be terminated on 30 days’ notice and will in any case expire no later than June 3, 2015 and July 17, 2015. While we generally expect to be able to obtain new time charters for our vessels within a reasonable period prior to their expiry, we cannot be assured that this will occur in any particular case, or at all. In addition, the supply/demand balance for containerships has been under pressure since late 2008 with, from time to time, a significant number of vessels idle and charter rates in the spot market depressed and we may not be able to secure charter rates at the same level as the current time charters. If we are unable to obtain new time charters for these containerships at favorable rates or are unable to secure new charters, in which case the vessels would be idle and we would continue to incur certain operating costs but earn no revenue, at all it could have a material adverse effect on our business, results of operations and financial condition.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and limit our ability to react to changes in the economy or our industry.</w:t>
      </w:r>
    </w:p>
    <w:p>
      <w:pPr>
        <w:spacing w:after="0" w:line="17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We are highly leveraged. As at December 31, 2014, we had $420.0 million of secured indebtedness outstanding (all of which is represented by our notes) and we had availability of $40.0 million under our senior secured revolving credit facility (the “revolving credit facility”). The revolving credit facility was drawn in full to partly fund the purchase of our 19</w:t>
      </w:r>
      <w:r>
        <w:rPr>
          <w:rFonts w:ascii="Arial" w:cs="Arial" w:eastAsia="Arial" w:hAnsi="Arial"/>
          <w:sz w:val="15"/>
          <w:szCs w:val="15"/>
          <w:color w:val="auto"/>
        </w:rPr>
        <w:t>th</w:t>
      </w:r>
      <w:r>
        <w:rPr>
          <w:rFonts w:ascii="Arial" w:cs="Arial" w:eastAsia="Arial" w:hAnsi="Arial"/>
          <w:sz w:val="18"/>
          <w:szCs w:val="18"/>
          <w:color w:val="auto"/>
        </w:rPr>
        <w:t xml:space="preserve"> vessel on March 11, 2015.</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high degree of leverage could have important consequences, including:</w:t>
      </w:r>
    </w:p>
    <w:p>
      <w:pPr>
        <w:spacing w:after="0" w:line="131"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our vulnerability to adverse economic, industry or competitive developments;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requiring a substantial portion of our cash flows from operations to be dedicated to the payment of interest on our indebtedness and up to $20.0 million to repurchase notes under the Excess Cash Flow offer, therefore reducing our ability to use our cash flows to fund operations, capital expenditure and future business opportunities;</w:t>
      </w:r>
    </w:p>
    <w:p>
      <w:pPr>
        <w:spacing w:after="0" w:line="86" w:lineRule="exact"/>
        <w:rPr>
          <w:rFonts w:ascii="Arial" w:cs="Arial" w:eastAsia="Arial" w:hAnsi="Arial"/>
          <w:sz w:val="18"/>
          <w:szCs w:val="18"/>
          <w:color w:val="auto"/>
        </w:rPr>
      </w:pPr>
    </w:p>
    <w:p>
      <w:pPr>
        <w:ind w:left="1460" w:right="20" w:hanging="547"/>
        <w:spacing w:after="0" w:line="31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making it more difficult for us to satisfy our obligations with respect to our indebtedness, including the revolving credit facility and notes, and any failure to comply with the obligations of any of our debt instruments, including restrictive covenants and borrowing conditions, could result in an event of default under the indenture governing the notes and the agreements governing such other indebtedness;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causing us to make non-strategic divestitures;</w:t>
      </w:r>
    </w:p>
    <w:p>
      <w:pPr>
        <w:spacing w:after="0" w:line="130" w:lineRule="exact"/>
        <w:rPr>
          <w:rFonts w:ascii="Arial" w:cs="Arial" w:eastAsia="Arial" w:hAnsi="Arial"/>
          <w:sz w:val="18"/>
          <w:szCs w:val="18"/>
          <w:color w:val="auto"/>
        </w:rPr>
      </w:pPr>
    </w:p>
    <w:p>
      <w:pPr>
        <w:ind w:left="1460" w:right="240" w:hanging="547"/>
        <w:spacing w:after="0" w:line="277"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75" w:lineRule="exact"/>
        <w:rPr>
          <w:rFonts w:ascii="Arial" w:cs="Arial" w:eastAsia="Arial" w:hAnsi="Arial"/>
          <w:sz w:val="18"/>
          <w:szCs w:val="18"/>
          <w:color w:val="auto"/>
        </w:rPr>
      </w:pPr>
    </w:p>
    <w:p>
      <w:pPr>
        <w:ind w:left="1460" w:right="540" w:hanging="547"/>
        <w:spacing w:after="0" w:line="264" w:lineRule="auto"/>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Despite our indebtedness levels, we may be able to incur substantially more indebtedness. This could further exacerbate the risks associated with our substantial indebtedness.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may be able to incur substantial additional indebtedness in the future. Although the indenture governing the notes and our revolving credit facility contain restrictions on the incurrence of additional indebtedness, these restrictions are subject to a number of significant qualifications and exceptions, and under certain circumstances, the amount of indebtedness that could be incurred in compliance with these restrictions could be substantial. In addition, the indenture governing the notes and our revolving credit facility will not prevent us from incurring obligations that do not constitute indebtedness thereunder. Our covenants also permit us to incur substantial non-recourse indebtedness in subsidiaries that do not guarantee our obligations under our notes.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agreements contain restrictions that limit our flexibility in operating our business.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indenture governing the notes and our revolving credit facility contain various covenants that limit our ability to engage in specified types of transactions. These covenants limit our ability and the ability of our restricted subsidiaries to, among other things:</w:t>
      </w:r>
    </w:p>
    <w:p>
      <w:pPr>
        <w:spacing w:after="0" w:line="76"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In addition, the restrictive covenants in the revolving credit facility require us to satisfy certain financial condition tests at the risk of default or reduction and cancellation of certain commitments under the revolving credit facility. Our ability to meet those financial ratios and tests will depend on our ongoing financial and operating performance, which, in turn, will be subject to economic conditions and to financial, market, and competitive factors, many of which are beyond our control.</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Due to the restrictive covenants under our revolving credit facility, we may need to seek consent from our lenders in order to engage in some corporate and commercial actions that we believe would be in the best interest of our business, and a denial of consent may make it difficult for us to successfully execute our business strategy or effectively compete with companies that are not similarly restricted. Our lenders’ interests may be different from our interests, and we cannot guarantee that we will be able to obtain our lenders’ permission when needed. This may prevent us from taking actions that are in our best interest. Any future agreements governing our indebtedness may include similar or more restrictive restrictions.</w:t>
      </w:r>
    </w:p>
    <w:p>
      <w:pPr>
        <w:spacing w:after="0" w:line="173"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A breach of any of these covenants could result in a default under one or more of these agreements, including as a result of cross default provisions, and, in the case of our revolving credit facility, permit the lenders to cease making loans to us. Upon the occurrence of an event of default under our revolving credit facility, the lenders could elect to declare all amounts outstanding under our revolving credit facility to be immediately due and payable. Such actions by the lenders could cause cross defaults under the indenture governing our notes.</w:t>
      </w:r>
    </w:p>
    <w:p>
      <w:pPr>
        <w:spacing w:after="0" w:line="18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Substantially all of the assets currently owned by us serve as security under our revolving credit facility and for our notes. If our operating performance declines, we may be required to obtain waivers from the holders of our notes and the lenders under the revolving credit facility to avoid default thereunder. If we are not able to obtain a waiver from the holders of our notes and the lenders under the revolving credit facility, the lenders could exercise their rights upon default and we could be forced into bankruptcy or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vessels’ mortgagor or other maritime claimants could arrest our vessels, which could interrupt the charterer’s or our cash flow.</w:t>
      </w:r>
    </w:p>
    <w:p>
      <w:pPr>
        <w:spacing w:after="0" w:line="225"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If we default under our revolving credit facility or on our notes, our lenders under our revolving credit facility and/or holders of our notes who hold mortgages on our vessels could arrest some or all of our vessels and cause them to be sold. We would not receive any proceeds of such sale unless all amounts outstanding under such indebtedness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Vessel values may fluctuate, which may adversely affect our financial condition, result in the incurrence of a loss upon disposal of a vessel or increase the cost of acquiring additional vessels.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Vessel values may fluctuate due to a number of different factors, including:</w:t>
      </w:r>
    </w:p>
    <w:p>
      <w:pPr>
        <w:spacing w:after="0" w:line="131"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and market conditions affecting the shipping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types, sizes and demand for available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of other modes of transportation;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supply of vessel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newbuildings;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governmental or other regulations;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2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need to upgrade second hand and previously owned vessels as a result of charterer requirements, technological advances in vessel design or equipment, or otherwise.</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In addition, as vessels grow older, they generally decline in value. Due to the cyclical nature of the container market, if for any reason we sell any of our owned vessels at a time when prices are depressed, we could incur a loss and our business, results of operations, cash flow and financial condition could be adversely affected. Additionally, under our current time charter agreements with CMA CGM, the charterer has a right of first refusal should we decide to sell the vessel during or at the end of the charter period. If they do not exercise this right, we are entitled to sell the vessel, subject to their prior approval, which cannot be unreasonably withheld. We may be forced to sell our vessels for a lesser amount because of these constraints. Moreover, if the book value of a vessel is impaired due to unfavorable market conditions we may incur a loss that could adversely affect our operating results.</w:t>
      </w:r>
    </w:p>
    <w:p>
      <w:pPr>
        <w:spacing w:after="0" w:line="16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Our vessels may be subject to extended periods of off-hire, which could materially adversely affect our business, financial condition and results of operations.</w:t>
      </w:r>
    </w:p>
    <w:p>
      <w:pPr>
        <w:spacing w:after="0" w:line="170"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Under the time charters for our vessels, when the vessel is not available for service, it will likely be “off-hire,” and the charterer is generally not required to pay hire, and we will be responsible for all costs unless the charterer is responsible for the circumstances giving rise to the lack of availability. A vessel generally will be deemed to be off-hire if there is an occurrence that affects the full working condition of the vessel, such as:</w:t>
      </w:r>
    </w:p>
    <w:p>
      <w:pPr>
        <w:spacing w:after="0" w:line="71" w:lineRule="exact"/>
        <w:rPr>
          <w:sz w:val="20"/>
          <w:szCs w:val="20"/>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charterer’s lost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crewing labor boycotts or certain vessel arrests;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vessel’s declared performance speed is reduced or fuel consumption is increased by more than 5% over a specified period of time; or</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Additionally, the charterer may have the right to terminate the charter agreement under a number of circumstances, such as, if:</w:t>
      </w:r>
    </w:p>
    <w:p>
      <w:pPr>
        <w:spacing w:after="0" w:line="131" w:lineRule="exact"/>
        <w:rPr>
          <w:sz w:val="20"/>
          <w:szCs w:val="20"/>
          <w:color w:val="auto"/>
        </w:rPr>
      </w:pPr>
    </w:p>
    <w:p>
      <w:pPr>
        <w:ind w:left="1460" w:right="14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vessel is off-hire for a specified number of days, in the case of our charters with CMA CGM more than 90 consecutive days, and the vessel is free of cargo;</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charterer informs us of a default under the charter, and the default is not rectified, in the case of our charters with CMA CGM, within 60 days of such notice;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is a total (actual or constructive) loss of the vessel;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vessel is requisitioned by any government or governmental authority; or</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vessel’s declared performance speed is reduced or fuel consumption increased in excess of 10% over a continuous period of 30 days, and the reason is within our or the vessel’s control.</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unable to make or realize expected benefits from acquisitions of vessels or container shipping-related assets, and implementing our growth strategy through acquisitions which may harm our business, financial condition and operating results.</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Our growth strategy includes, among other things, selectively acquiring secondhand and, potentially, newbuilding vessels and we may also seek to diversify our asset base by acquiring containers and other container shipping-related assets if an attractive investment opportunity presents itself in the future.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that we will be able to purchase secondhand vessels or newbuildings at satisfactory prices or obtain ship management agreements with similar or better terms than those we have obtained from CMA Ships, that we will be able to purchase containers and subsequently lease them out at satisfactory prices or that we will not incur significant expenses and losses in connection with our future growth.</w:t>
      </w:r>
    </w:p>
    <w:p>
      <w:pPr>
        <w:spacing w:after="0" w:line="179"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87"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Should we expand our business or provide services to third parties, we may need to improve our operating and financial systems, expand our commercial and technical management staff, and recruit suitable employees and crew for our vessels.</w:t>
      </w:r>
    </w:p>
    <w:p>
      <w:pPr>
        <w:spacing w:after="0" w:line="170"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Our current operating and financial systems may not be adequate if we expand the size of our fleet or begin to lease containers, and attempts to improve those systems may be ineffective. In addition, we may need to recruit suitable additional administrative and management personnel to manage any growth. We may not be able to</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continue to hire suitable employees in such circumstances. If a shortage of experienced labor exists or if we encounter business or financial difficulties, we may not be able to adequately staff our vessels. If we expand our fleet, or begin to lease containers, and we are unable to grow our financial and operating systems or to recruit suitable employees, our business, results of operations and financial condition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the purchase and operation of secondhand vessels.</w:t>
      </w:r>
    </w:p>
    <w:p>
      <w:pPr>
        <w:spacing w:after="0" w:line="225"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perform underwater inspections of vessels prior to purchase.</w:t>
      </w:r>
    </w:p>
    <w:p>
      <w:pPr>
        <w:spacing w:after="0" w:line="225"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Although we would perform physical inspections of any vessel prior to its purchase, it may not be possible for us to undertake any underwater inspections. As a result, we will not be aware of any damage to a vessel that may have existed at the time of purchase and which could only be discovered through an underwater inspection. However, if any damage is subsequently found, we could incur substantial costs to repair the damage which would not be recoverable from the sellers.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grow may be reduced by the introduction of new accounting rules for leasing.</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International and U.S. accounting standard-setting organizations have proposed the elimination of allowing operating leases to not be recorded on the balance sheet. The proposals are still under discussion. The date for implementation is now unlikely to be before 2017. If the proposals are adopted as currently proposed, they would have the effect of bringing most off-balance sheet operating leases, including time charters, onto a lessee’s balance sheet as liabilities. This proposed change could affect charterers by causing them to breach certain financial covenants. This may make them less likely to enter into time charters for our containerships, which could reduce our growth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make substantial expenditures to maintain our fleet and to acquire vessels.</w:t>
      </w:r>
    </w:p>
    <w:p>
      <w:pPr>
        <w:spacing w:after="0" w:line="225" w:lineRule="exact"/>
        <w:rPr>
          <w:sz w:val="20"/>
          <w:szCs w:val="20"/>
          <w:color w:val="auto"/>
        </w:rPr>
      </w:pPr>
    </w:p>
    <w:p>
      <w:pPr>
        <w:ind w:right="100" w:firstLine="913"/>
        <w:spacing w:after="0" w:line="291" w:lineRule="auto"/>
        <w:rPr>
          <w:sz w:val="20"/>
          <w:szCs w:val="20"/>
          <w:color w:val="auto"/>
        </w:rPr>
      </w:pPr>
      <w:r>
        <w:rPr>
          <w:rFonts w:ascii="Arial" w:cs="Arial" w:eastAsia="Arial" w:hAnsi="Arial"/>
          <w:sz w:val="16"/>
          <w:szCs w:val="16"/>
          <w:color w:val="auto"/>
        </w:rPr>
        <w:t>We must make substantial expenditures to maintain our fleet and we generally expect to finance these maintenance expenditures from operating cashflow. In addition, we will need to make substantial capital expenditures to acquire vessels in accordance with our growth strategy. Further, we may be obliged to incur substantial expenditure to become compliant with changes in the regulatory environment, particularly concerning clean air and ballast water. Maintenance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borrowings under our revolving credit facility or otherwise find alternative sources of financing. Such alternatives may not be available on economic terms or at 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fleet ages, we may incur increased operating costs, which would adversely affect our earnings.</w:t>
      </w:r>
    </w:p>
    <w:p>
      <w:pPr>
        <w:spacing w:after="0" w:line="225"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Our fleet of 18 vessels as at December 31, 2014 had an average age weighted by TEU capacity of 10.7 years.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7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Our fleet of 18 containerships as at December 31, 2014, had an average age weighted by TEU capacity of 10.7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certain individuals who may not necessarily continue to be affiliated with us.</w:t>
      </w:r>
    </w:p>
    <w:p>
      <w:pPr>
        <w:spacing w:after="0" w:line="225"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Our current performance and future success depend to a significant extent upon our Chief Executive Officer, Ian J. Webber, our Chief Financial Officer, Susan J. Cook, our Chief Commercial Officer, Thomas A. Lister and our Chief Technical Officer, Vivek Puri. Mr. Webber, Ms. Cook, Mr. Lister and Mr. Puri have over 100 years of cumulative experience in the shipping industry and have worked with several of the world’s largest shipping, ship leasing and ship management companies. They and members of the board of directors are crucial to the execution of our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crew and other vessel operating costs may adversely affect our profits.</w:t>
      </w:r>
    </w:p>
    <w:p>
      <w:pPr>
        <w:spacing w:after="0" w:line="225" w:lineRule="exact"/>
        <w:rPr>
          <w:sz w:val="20"/>
          <w:szCs w:val="20"/>
          <w:color w:val="auto"/>
        </w:rPr>
      </w:pPr>
    </w:p>
    <w:p>
      <w:pPr>
        <w:ind w:right="200" w:firstLine="913"/>
        <w:spacing w:after="0" w:line="273" w:lineRule="auto"/>
        <w:rPr>
          <w:sz w:val="20"/>
          <w:szCs w:val="20"/>
          <w:color w:val="auto"/>
        </w:rPr>
      </w:pPr>
      <w:r>
        <w:rPr>
          <w:rFonts w:ascii="Arial" w:cs="Arial" w:eastAsia="Arial" w:hAnsi="Arial"/>
          <w:sz w:val="17"/>
          <w:szCs w:val="17"/>
          <w:color w:val="auto"/>
        </w:rPr>
        <w:t>Acquiring and renewing long-term time charters with leading liner companies depends on a number of factors, including our ability to man our containerships with suitably experienced, high quality masters, officers and crews. In recent years, the limited supply of and increased demand for well-qualified crew, due to the increase in the size of the global shipping fleet, has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 quality onboard seafaring personnel, our fleet utilization will decrease, which could have a material adverse effect on our business, results of operations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fuel prices may have an adverse effect on our profits.</w:t>
      </w:r>
    </w:p>
    <w:p>
      <w:pPr>
        <w:spacing w:after="0" w:line="225"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The cost of fuel is a significant factor in negotiating charter rates and can affect us in both directly and indirectly. The cost of fuel will be borne by us if our containerships are being positioned between charters or are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We also bear the cost of fuel associated with dry-dockings and when a vessel is off-hire. Even where the cost of fuel is borne by the charterer, which is the case with all of our existing time charters, that cost will affect the level of charter rates that charterers are prepared to pay, depending in part of the fuel efficiency of a particular vessel.</w:t>
      </w:r>
    </w:p>
    <w:p>
      <w:pPr>
        <w:spacing w:after="0" w:line="178"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The price of fuel is unpredictable and fluctuates based on events outside our control, including but not limited to geo-political developments, supply and demand for oil, actions by members of the OPEC and other oil and gas producers, economic or other sanctions levied against oil and gas producing countries, war and unrest in oil producing countries and regions, regional production patterns and environmental concerns and regulations.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holding company and we depend on the ability of our subsidiaries to distribute funds to us in order to satisfy our financial and other obligations.</w:t>
      </w:r>
    </w:p>
    <w:p>
      <w:pPr>
        <w:spacing w:after="0" w:line="260"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a claim or other action by a third party, including a creditor, or by English, Marshall Islands, Cypriot or Hong Kong law or the laws of any jurisdiction which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preferred shares, or meet our debt service obligations or our other liabilities.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Because we generate all of our revenues in U.S. dollars but incur a portion of our expenses in other currencies, exchange rate fluctuations could hurt our results of operations.</w:t>
      </w:r>
    </w:p>
    <w:p>
      <w:pPr>
        <w:spacing w:after="0" w:line="170" w:lineRule="exact"/>
        <w:rPr>
          <w:sz w:val="20"/>
          <w:szCs w:val="20"/>
          <w:color w:val="auto"/>
        </w:rPr>
      </w:pPr>
    </w:p>
    <w:p>
      <w:pPr>
        <w:ind w:right="260" w:firstLine="913"/>
        <w:spacing w:after="0" w:line="297" w:lineRule="auto"/>
        <w:rPr>
          <w:sz w:val="20"/>
          <w:szCs w:val="20"/>
          <w:color w:val="auto"/>
        </w:rPr>
      </w:pPr>
      <w:r>
        <w:rPr>
          <w:rFonts w:ascii="Arial" w:cs="Arial" w:eastAsia="Arial" w:hAnsi="Arial"/>
          <w:sz w:val="16"/>
          <w:szCs w:val="16"/>
          <w:color w:val="auto"/>
        </w:rPr>
        <w:t>We generate all of our revenues in U.S. dollars and some of our expenses are denominated in currencies other than U.S. dollars. This currency mismatch could lead to fluctuations in net income due to changes in the value of the U.S. dollar relative to other currencies. Expenses incurred in foreign currencies against which the U.S. dollar falls in value could increase, thereby decreasing our net income. We have not hedged any of this exposure and our U.S. dollar denominated results of operations and financial condition and ability to pay dividends could suffer from adverse currency exchange rate movements. Future declines in the U.S. dollar versus other currencies could have a material effect on our operating expenses and net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may be insufficient to cover losses that may occur to our property or result from our operations.</w:t>
      </w:r>
    </w:p>
    <w:p>
      <w:pPr>
        <w:spacing w:after="0" w:line="22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The shipping industry has inherent operational risks. Although we carry hull and machinery insurance, war risks insurance and protection and indemnity insurance (which includes coverage for environmental damage and pollution) and other insurances commonly used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revolving credit facility and the indenture that governs our notes, we are subject to restrictions on the use of any 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73" w:lineRule="exact"/>
        <w:rPr>
          <w:sz w:val="20"/>
          <w:szCs w:val="20"/>
          <w:color w:val="auto"/>
        </w:rPr>
      </w:pPr>
    </w:p>
    <w:p>
      <w:pPr>
        <w:jc w:val="both"/>
        <w:ind w:right="220" w:firstLine="913"/>
        <w:spacing w:after="0" w:line="312"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assure you if and when we will resume paying dividends on our common shares.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have not paid dividends on our common shares since March 2009. Subject to the limitations contained in our revolving credit facility, the indenture governing our notes and other contractual obligations, we may resume the distribution of a portion of our cash flow to our shareholders, while retaining the remaining cash flow for reinvestment in our business, to fund vessel or fleet acquisitions, make debt repayments and for other purposes, as determined by our board of directors. The timing and amount of any dividends declared will depend on, among other things (a) our earnings,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78"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will vary based upon, among other things:</w:t>
      </w:r>
    </w:p>
    <w:p>
      <w:pPr>
        <w:spacing w:after="0" w:line="92" w:lineRule="exact"/>
        <w:rPr>
          <w:sz w:val="20"/>
          <w:szCs w:val="20"/>
          <w:color w:val="auto"/>
        </w:rPr>
      </w:pPr>
    </w:p>
    <w:p>
      <w:pPr>
        <w:ind w:left="1460" w:hanging="547"/>
        <w:spacing w:after="0"/>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charter-hire payments we obtain from our charters as well as the rates obtained upon the expiration of our existing charters;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acquisition of additional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the delivery of newbuilding vessels, if any, and the beginning of payments under charters relating to those vessels;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our operating costs, such as the costs of crews, lubricants and insurance;</w:t>
      </w:r>
    </w:p>
    <w:p>
      <w:pPr>
        <w:spacing w:after="0" w:line="130"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of unscheduled off-hire days for our fleet and the timing of, and number of days required for, scheduled dry-docking of our containerships;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idle time after one charter expires and a new charter is agreed or the vessel is disposed of, should a new charter not be agreed;</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a vessel;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effect of governmental regulations and maritime self-regulatory organization standards on the conduct of our business;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basis of taxation of our activities in various jurisdictions;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modification or revocation of our dividend policy by our board of directors;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913"/>
        <w:spacing w:after="0" w:line="308" w:lineRule="auto"/>
        <w:rPr>
          <w:sz w:val="20"/>
          <w:szCs w:val="20"/>
          <w:color w:val="auto"/>
        </w:rPr>
      </w:pPr>
      <w:r>
        <w:rPr>
          <w:rFonts w:ascii="Arial" w:cs="Arial" w:eastAsia="Arial" w:hAnsi="Arial"/>
          <w:sz w:val="17"/>
          <w:szCs w:val="17"/>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w:t>
      </w:r>
    </w:p>
    <w:p>
      <w:pPr>
        <w:spacing w:after="0" w:line="14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addition, Marshall Islands law generally prohibits the payment of dividends other than from surplus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be able to pay dividends during periods when we record losses and may not pay dividends during periods when we record net income. We can give no assurance that dividends will be paid in the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incorporated in the Republic of the Marshall Islands, which does not have a well-developed body of corporate law.</w:t>
      </w:r>
    </w:p>
    <w:p>
      <w:pPr>
        <w:spacing w:after="0" w:line="225"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U.S. jurisdiction.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Industry</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Our growth and long term profitability depend mainly upon growth in demand for containerships, the condition of the charter market and the availability of capital. The container shipping industry is cyclical and volatile. It experienced a severe cyclical downturn from mid-2008 through 2009, favorable conditions in 2010 and a further severe downturn in 2011 with over supply of capacity, although less acute, continuing to date.</w:t>
      </w:r>
    </w:p>
    <w:p>
      <w:pPr>
        <w:spacing w:after="0" w:line="14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Container shipping is a cyclical industry, with the demand for container shipping services and therefor the demand for container ships, driven by global trade. Between 1997 and 2007 containerized trade exhibited compound annual growth of approximately 10.0%, with a period of super-cyclical growth from 2002 to mid-2008 fuelled partly by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In 2012, 2013 and 2014 containerized trade is estimated to have grown, year-on-year, by 3.0%, 4.9% and 6.0%, respectively.</w:t>
      </w:r>
    </w:p>
    <w:p>
      <w:pPr>
        <w:spacing w:after="0" w:line="178"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131" w:lineRule="exact"/>
        <w:rPr>
          <w:sz w:val="20"/>
          <w:szCs w:val="20"/>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130" w:lineRule="exact"/>
        <w:rPr>
          <w:rFonts w:ascii="Arial" w:cs="Arial" w:eastAsia="Arial" w:hAnsi="Arial"/>
          <w:sz w:val="18"/>
          <w:szCs w:val="18"/>
          <w:color w:val="auto"/>
        </w:rPr>
      </w:pPr>
    </w:p>
    <w:p>
      <w:pPr>
        <w:jc w:val="both"/>
        <w:ind w:left="1460" w:right="240" w:hanging="547"/>
        <w:spacing w:after="0" w:line="264"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131" w:lineRule="exact"/>
        <w:rPr>
          <w:sz w:val="20"/>
          <w:szCs w:val="20"/>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Our ability to recharter our containerships upon the expiration or termination of their current charters, which for two vessels can be terminated on 30 days’ notice and will in any case expire no later than June 3, 2015 and July 17, 2015,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earnings or make our earnings volatile. The same issues will exist in respect of any additional vessels we may acquire either when obtaining the initial charters or on rechartering at their expiry.</w:t>
      </w:r>
    </w:p>
    <w:p>
      <w:pPr>
        <w:spacing w:after="0" w:line="19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Weak economic conditions throughout the world, particularly the Asia Pacific region and recent EU sovereign debt default fears, could have a material adverse effect on our business, financial condition and results of operations.</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Negative trends in the global economy emerged in 2008 and continued into 2009, and although there has been some improvement from 2010, the global economy remains fragile. The global economy is still subject to downside risks stemming from factors like fiscal fragility in advanced economies, highly accommodative macroeconomic policies and persistent difficulties in access to credit. In particular, recent concerns regarding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possibility of sovereign debt defaults by European Union member countries, including Cyprus, Greece, Ireland and Portugal, have significantly weakened the Euro zone, disrupted financial markets throughout the world, and may lead to weaker consumer demand in the European Union, the U.S., and other parts of the world. The deterioration in the global economy has caused, and may continue to cause, a decrease in worldwide demand for certain goods shipped in containerized form.</w:t>
      </w:r>
    </w:p>
    <w:p>
      <w:pPr>
        <w:spacing w:after="0" w:line="18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However, if China’s growth in gross domestic product declines and other countries in the Asia Pacific region experience slowed or negative economic growth in the future, then this may exacerbate the effect of the significant downturns in the economies of the U.S. and the European Union, and thus, may negatively impact container shipping demand. For example, the possibility of sovereign debt defaults by European Union member countries, including Cyprus,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Disruptions in world financial markets and the resulting governmental action in the U.S. and in other parts of the world could have a material adverse impact on our results of operations, financial condition and cash flows.</w:t>
      </w:r>
    </w:p>
    <w:p>
      <w:pPr>
        <w:spacing w:after="0" w:line="17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U.S. and other parts of the world, including the Euro zone, have exhibited very weak economic trends at times since 2008 and certain parts of the world continue to show weak economic conditions. The credit markets in the U.S. and elsewhere have, from time to time, experienced significant contraction, deleveraging and reduced liquidity, and the U.S. federal government and state and other governments have implemented and are also considering a broad variety of governmental action and/or new regulation of the financial markets. Securities and futures markets and the credit markets are subject to comprehensive statutes, regulations and other requirements. The U.S. SEC, other regulators, self-regulatory organizations and exchanges are authorized to take extraordinary actions in the event of market emergencies, and may effect changes in law or interpretations of existing laws.</w:t>
      </w:r>
    </w:p>
    <w:p>
      <w:pPr>
        <w:spacing w:after="0" w:line="165"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Global financial markets and economic conditions have been severely disrupted and volatile at times in recent years and remain subject to significant vulnerabilities, such as the deterioration of fiscal balances and the rapid accumulation of public debt, continued deleveraging in the banking sector and limited supply of credit. Credit markets and the debt and equity capital markets have been exceedingly distressed and volatile. The sovereign debt crisis in countries such as Cyprus and Greece, for example, and concerns over debt levels of certain other European Union member states and other countries around the world, as well as concerns about some international banks,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w:t>
      </w:r>
    </w:p>
    <w:p>
      <w:pPr>
        <w:spacing w:after="0" w:line="169"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We cannot be certain that financing will be available on acceptable terms or at all. If 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14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U.S. and Europe. Any reduction in or hindrance to the output of China based exporters could have a material adverse effect on the growth rate of China’s exports and on our charterers’ business. For instance, the government of China has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69"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73"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14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may incur realized and unrealized losses and impairments in connection with declining containership values and/or in connection with vessel dispositions.</w:t>
      </w:r>
    </w:p>
    <w:p>
      <w:pPr>
        <w:spacing w:after="0" w:line="170"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Containership values can fluctuate substantially over time. Containership values have decreased significantly since late 2008 and have remained at depressed levels, generally below long term averages. A number of factors may contribute to a decrease in the market value of containerships, including:</w:t>
      </w:r>
    </w:p>
    <w:p>
      <w:pPr>
        <w:spacing w:after="0" w:line="29" w:lineRule="exact"/>
        <w:rPr>
          <w:sz w:val="20"/>
          <w:szCs w:val="20"/>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 including from new vessels on order;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600" w:hanging="547"/>
        <w:spacing w:after="0" w:line="277" w:lineRule="auto"/>
        <w:tabs>
          <w:tab w:leader="none" w:pos="1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7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Inability to dispose of the containership at a reasonable price could result in a loss on the vessel’s sale and adversely affect our results of operations and financial condition.</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Future fluctuations in charter rates and vessel values may trigger a possible impairment of our vessels as described in Item 5.A. “Operating and Financial Review and Prospects—Results of Operations—Management’s Discussion and Analysis of Financial Condition and Results of Operations—Critical Accounting Policies and Estimates.”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more difficulty entering into long-term charters if a more active and cheaper short-term or spot container shipping market develops.</w:t>
      </w:r>
    </w:p>
    <w:p>
      <w:pPr>
        <w:spacing w:after="0" w:line="248"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over-supply of containership capacity may lead to reductions in charter hire rates and profitability.</w:t>
      </w:r>
    </w:p>
    <w:p>
      <w:pPr>
        <w:spacing w:after="0" w:line="22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While the size of the containership orderbook has declined over the last three years, the containership newbuilding orderbook as at December 31, 2014 represented approximately 18.4% of the total on the water fleet capacity. Further containerships are likely to be ordered. Delivery of newly built containerships will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competition in technology and innovation could reduce our charter hire income and the value of our vessels.</w:t>
      </w:r>
    </w:p>
    <w:p>
      <w:pPr>
        <w:spacing w:after="0" w:line="225"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charter rates and the value and operational life of a vessel are determined by a number of factors, including the vessel’s efficiency, operational flexibility and physical life. Efficiency includes speed and fuel economy. Flexibility includes the ability to enter harbors, utilize related docking facilities and pass through canals and straits together with other vessel specifications such as the capacity to carry temperature controlled containers (reefers). Physical life is related to the original design and construction, maintenance and the impact of the stress of operations. If new ship designs currently promoted by shipyards as being more fuel efficient perform, or if new containerships built in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stockholders.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piracy on ocean-going vessels have increased in frequency, which could adversely affect our business.</w:t>
      </w:r>
    </w:p>
    <w:p>
      <w:pPr>
        <w:spacing w:after="0" w:line="225"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Piracy is an inherent risk in the operation of ocean-going vessels and particularly affects vessels operating in specific regions of the world such as the South China Sea, the Gulf of Aden, the Arabian Sea, off the coast of West Africa and especially off the coast of Somalia. In recent years, the frequency of piracy incidents against commercial shipping vessels has increased significantly, particularly in the Gulf of Aden and off the coasts of Somalia and West Africa. Generally, we do not control the routing of our vessels which is determined by the charterer. Pirate attacks on any of our vessels could result in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Terrorist attacks and international hostilities could affect our results of operations and financial condition.</w:t>
      </w:r>
    </w:p>
    <w:p>
      <w:pPr>
        <w:spacing w:after="0" w:line="225" w:lineRule="exact"/>
        <w:rPr>
          <w:sz w:val="20"/>
          <w:szCs w:val="20"/>
          <w:color w:val="auto"/>
        </w:rPr>
      </w:pPr>
    </w:p>
    <w:p>
      <w:pPr>
        <w:jc w:val="both"/>
        <w:ind w:right="200" w:firstLine="913"/>
        <w:spacing w:after="0" w:line="297" w:lineRule="auto"/>
        <w:rPr>
          <w:sz w:val="20"/>
          <w:szCs w:val="20"/>
          <w:color w:val="auto"/>
        </w:rPr>
      </w:pPr>
      <w:r>
        <w:rPr>
          <w:rFonts w:ascii="Arial" w:cs="Arial" w:eastAsia="Arial" w:hAnsi="Arial"/>
          <w:sz w:val="16"/>
          <w:szCs w:val="16"/>
          <w:color w:val="auto"/>
        </w:rPr>
        <w:t>Terrorist attacks, such as the attacks on the U.S. on September 11, 2001, and in Mumbai on November 26, 2008 and the continuing response of the U.S.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58"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vessels may call on ports located in countries that are subject to restrictions imposed by the U.S. government, which could have a material adverse effect on our results of operations and financial condition.</w:t>
      </w:r>
    </w:p>
    <w:p>
      <w:pPr>
        <w:spacing w:after="0" w:line="17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From time to time on charterers’ instructions, our vessels may call on ports located in countries subject to sanctions and embargoes imposed by the U.S. government and in countries identified by the U.S. government as state sponsors of terrorism. In addition, as a result of actions taken by our charterers, we may be deemed to have engaged in financial transactions that are prohibited by such sanctions or embargoes. The U.S. sanctions and embargo laws and regulations vary in their application, as they do not all apply to the same covered persons or proscribe the same activities, and such sanctions and embargo laws and regulations may be amended or strengthened over time. In 2010, the U.S. enacted the Comprehensive Iran Sanctions Accountability and Divestment Act (“CISADA”), which amended the Iran Sanctions Act of 1996. Among other things, CISADA introduces limits on the ability of companies and persons to do business or trade with Iran when such activities relate to the investment, supply or export of refined petroleum or petroleum products. In 2012, President Obama signed Executive Order 13608 which prohibits U.S. persons from engaging in transactions or dealings with foreign individuals or entities that (1) have violated, attempted to violate, conspired to violate or caused a violation of any sanctions in effect against Iran or Syria, (2) facilitated any deceptive transactions for or on behalf of any person subject to U.S. sanctions concerning Iran or Syria, or (3) are owned or controlled by, or are acting on behalf of, any such person or entity subject to sanctions. The Secretary of the Treasury may prohibit any transactions or dealings, including any U.S. capital markets financing, involving any person found to be evading foreign sanctions under Executive Order 13608. Also in 2012, the U.S. enacted the Iran Threat Reduction and Syria Human Rights Act of 2012 (the “ITRA”) which expanded the range of Iran-related activities that expose third parties to sanctions created new sanctions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strengthened existing sanctions. Among other things, the ITRA intensifies existing sanctions regarding the provision of goods, services, infrastructure or technology to Iran’s petroleum or petrochemical sector. The ITRA also includes a provision requiring the President of the U.S. to impose five or more sanctions from Section 6(a) of the Iran Sanctions Act, as amended, on a person the President determines is a controlling beneficial owner of, or otherwise owns, operates, or controls or insures a vessel that was used to transport crude oil from Iran to another country and (1) if the person is a controlling beneficial owner of the vessel, the person had actual knowledge the vessel was so used or (2) if the person otherwise owns, operates, or controls, or insures the vessel, the person knew or should have known the vessel was so used. Such a person could be subject to a variety of sanctions, including exclusion from U.S. capital markets, exclusion from financial transactions subject to U.S. jurisdiction, and exclusion of that person’s vessels from U.S. ports for up to two years. The ITRA also includes a requirement that issuers of securities must disclose to the SEC in their annual and quarterly reports filed after February 6, 2013 if the issuer or “any affiliate” has “knowingly” engaged in certain sanctioned activities involving Iran during the timeframe covered by the report. Finally, in January 2013, the U.S. enacted the Iran Freedom and Counter-Proliferation Act of 2012 (the “IFCPA”) which expanded the scope of U.S. sanctions on any person that is part of Iran’s energy, shipping or shipbuilding sector and operators of ports in Iran, and imposes penalties on any person who facilitates or otherwise knowingly provides significant financial, material or other support to these entities.</w:t>
      </w:r>
    </w:p>
    <w:p>
      <w:pPr>
        <w:spacing w:after="0" w:line="16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To the best of our knowledge, none of our vessels have called at ports in Iran, Syria, Sudan or Cuba since January 1, 2012, nor have we provided any services or products to Iran, Syria, Sudan and Cuba, or entered into any agreements, commercial arrangements or had any contact with the governments of, or entities controlled by the governments of, the aforementioned countries, during this time period. Additionally, to the best of our knowledge, we have not since January 1, 2012 directly provided any services or products to Iran, or entered into any agreements, commercial arrangements or had any contact with the government of, or entities controlled by the government of Iran.</w:t>
      </w:r>
    </w:p>
    <w:p>
      <w:pPr>
        <w:spacing w:after="0" w:line="188"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us. Moreover, our charterers may violate applicable sanctions and embargo laws and regulations as a result of actions that do not involve us or our vessels, and those violations could in turn negatively affect our reputation. Investor perception of the value of our common stock may also be adversely affected by the consequences of war, the effects of terrorism, civil unrest and governmental actions in these and surrounding countries.</w:t>
      </w:r>
    </w:p>
    <w:p>
      <w:pPr>
        <w:spacing w:after="0" w:line="16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It may not be possible for some of our vessels to call on Turkish ports due to the Turkish embargo on Cypriot flag vessels and vessels owned by Cypriot companies.</w:t>
      </w:r>
    </w:p>
    <w:p>
      <w:pPr>
        <w:spacing w:after="0" w:line="170"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In 1987 the Turkish Government introduced certain restrictive measures against Cypriot flag vessels prohibiting such vessels to call on Turkish ports. In 1997 the restrictive measures were extended and since then they apply not only against Cypriot flag vessels but also against vessels registered under a foreign flag (of any nationality) sailing to Turkish ports directly from any Cypriot port under the effective control of the Republic of Cyprus or against vessels of any flag related to the Republic of Cyprus in terms of ownership or ship management. Cypriot vessels will be allowed passage through the Turkish Straits (Bosphorus) with or without pilot but no other services or provisions will be given, including bunker supply. Currently, 16 of our 19 vessels are owned by Cypriot companies and of these 11 are Cyprus flagged. Whilst the restrictive measures remain in place, our vessels which are either Cypriot flagged or owned by a Cypriot company may not call on Turkish ports. This may restrict the use of Cypriot ports by our charterers and may have an effect on the possible operation of our vessels by them in the Eastern Mediterranean and the Black Sea.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smuggling of drugs, weapons or other contraband and stowaways on our vessels may lead to governmental claims against us.</w:t>
      </w:r>
    </w:p>
    <w:p>
      <w:pPr>
        <w:spacing w:after="0" w:line="225"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an adverse effect on our business, results of operations, cash flows and financial condition.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significant risks in relation to compliance with anti-corruption laws and regulations.</w:t>
      </w:r>
    </w:p>
    <w:p>
      <w:pPr>
        <w:spacing w:after="0" w:line="225"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and the U.S. Foreign Corrupt Practices Act. Both civil and criminal penalties may be imposed on us as a result of violations of anti-corruption laws, and such penalties could have a significant impact on our reputation, business and financial condition.</w:t>
      </w:r>
    </w:p>
    <w:p>
      <w:pPr>
        <w:spacing w:after="0" w:line="16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Risks inherent in the operation of containerships could impair the ability of the charterer to make payments to us, increase our costs or reduce the value of our assets.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7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Compliance with safety and other vessel requirements imposed by classification societies may be costly and may adversely affect our business and operating results.</w:t>
      </w:r>
    </w:p>
    <w:p>
      <w:pPr>
        <w:spacing w:after="0" w:line="170"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89"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4.B. “Information on the Company—Business Overview—Inspection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65"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regulation and liability under environmental laws that could require significant expenditures and affect our cash flows and net income.</w:t>
      </w:r>
    </w:p>
    <w:p>
      <w:pPr>
        <w:spacing w:after="0" w:line="260"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82"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Item 4.B. “Information on the Company—Business Overview—Environmental and Other Regulations.”</w:t>
      </w:r>
    </w:p>
    <w:p>
      <w:pPr>
        <w:spacing w:after="0" w:line="18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Increased inspection procedures, tighter import and export controls and new security regulations could increase costs and cause disruption of our containership business.</w:t>
      </w:r>
    </w:p>
    <w:p>
      <w:pPr>
        <w:spacing w:after="0" w:line="170" w:lineRule="exact"/>
        <w:rPr>
          <w:sz w:val="20"/>
          <w:szCs w:val="20"/>
          <w:color w:val="auto"/>
        </w:rPr>
      </w:pPr>
    </w:p>
    <w:p>
      <w:pPr>
        <w:ind w:right="480" w:firstLine="913"/>
        <w:spacing w:after="0" w:line="264" w:lineRule="auto"/>
        <w:rPr>
          <w:sz w:val="20"/>
          <w:szCs w:val="20"/>
          <w:color w:val="auto"/>
        </w:rPr>
      </w:pPr>
      <w:r>
        <w:rPr>
          <w:rFonts w:ascii="Arial" w:cs="Arial" w:eastAsia="Arial" w:hAnsi="Arial"/>
          <w:sz w:val="18"/>
          <w:szCs w:val="18"/>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193"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and financial condition and our ability to pay dividends to our stockholders.</w:t>
      </w:r>
    </w:p>
    <w:p>
      <w:pPr>
        <w:spacing w:after="0" w:line="17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operation of our vessels is also affected by the requirements set forth in the International Ship and Port Facilities Security Code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IMO and the flag states, these requirements could require significant additional capital expenditures or otherwise increase the costs of our operations.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Depending on the outcome of an ongoing European Union investigation of container liner companies related to potential antitrust violations, our growth, results of operations and our ability to charter our vessels may be reduced.</w:t>
      </w:r>
    </w:p>
    <w:p>
      <w:pPr>
        <w:spacing w:after="0" w:line="170" w:lineRule="exact"/>
        <w:rPr>
          <w:sz w:val="20"/>
          <w:szCs w:val="20"/>
          <w:color w:val="auto"/>
        </w:rPr>
      </w:pPr>
    </w:p>
    <w:p>
      <w:pPr>
        <w:jc w:val="both"/>
        <w:ind w:right="240" w:firstLine="913"/>
        <w:spacing w:after="0" w:line="312" w:lineRule="auto"/>
        <w:rPr>
          <w:sz w:val="20"/>
          <w:szCs w:val="20"/>
          <w:color w:val="auto"/>
        </w:rPr>
      </w:pPr>
      <w:r>
        <w:rPr>
          <w:rFonts w:ascii="Arial" w:cs="Arial" w:eastAsia="Arial" w:hAnsi="Arial"/>
          <w:sz w:val="16"/>
          <w:szCs w:val="16"/>
          <w:color w:val="auto"/>
        </w:rPr>
        <w:t>The European Commission is conducting investigations of certain major container liner companies, including CMA CGM, related to potential violations of European Union competition (antitrust) rules. Although we have no basis for assessing the outcome of these investigations, it is possible that additional financial and legal obligations may be imposed on one or more of these liner companies. Such obligations may make CMA CGM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similarly situated potential customers less likely to enter into or renew time charters for our containerships, which could reduce our growth opportunities and harm our business, results of operations and financial condition. In addition, any significant financial penalties arising from these or similar investigations could reduce the ability of CMA CGM or future customers to make charter payments to us, which likewise could harm our business, results of operations and financial condition.</w:t>
      </w:r>
    </w:p>
    <w:p>
      <w:pPr>
        <w:spacing w:after="0" w:line="291" w:lineRule="exact"/>
        <w:rPr>
          <w:sz w:val="20"/>
          <w:szCs w:val="20"/>
          <w:color w:val="auto"/>
        </w:rPr>
      </w:pPr>
    </w:p>
    <w:p>
      <w:pPr>
        <w:ind w:right="3660"/>
        <w:spacing w:after="0" w:line="407" w:lineRule="auto"/>
        <w:rPr>
          <w:sz w:val="20"/>
          <w:szCs w:val="20"/>
          <w:color w:val="auto"/>
        </w:rPr>
      </w:pPr>
      <w:r>
        <w:rPr>
          <w:rFonts w:ascii="Arial" w:cs="Arial" w:eastAsia="Arial" w:hAnsi="Arial"/>
          <w:sz w:val="18"/>
          <w:szCs w:val="18"/>
          <w:b w:val="1"/>
          <w:bCs w:val="1"/>
          <w:color w:val="auto"/>
        </w:rPr>
        <w:t xml:space="preserve">Risks Relating to our Common Stock and Depositary Shares Representing Series B Preferred Shares </w:t>
      </w:r>
      <w:r>
        <w:rPr>
          <w:rFonts w:ascii="Arial" w:cs="Arial" w:eastAsia="Arial" w:hAnsi="Arial"/>
          <w:sz w:val="18"/>
          <w:szCs w:val="18"/>
          <w:b w:val="1"/>
          <w:bCs w:val="1"/>
          <w:i w:val="1"/>
          <w:iCs w:val="1"/>
          <w:color w:val="auto"/>
        </w:rPr>
        <w:t>The price of our securities may be volatile.</w:t>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price of our common shares and depositary shares representing Series B preferred shares may be volatile and may fluctuate due to factors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as:</w:t>
      </w:r>
    </w:p>
    <w:p>
      <w:pPr>
        <w:spacing w:after="0" w:line="116" w:lineRule="exact"/>
        <w:rPr>
          <w:sz w:val="20"/>
          <w:szCs w:val="20"/>
          <w:color w:val="auto"/>
        </w:rPr>
      </w:pPr>
    </w:p>
    <w:p>
      <w:pPr>
        <w:ind w:left="1460" w:hanging="547"/>
        <w:spacing w:after="0"/>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earnings and those of publicly held containership owners or operators;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225" w:lineRule="exact"/>
        <w:rPr>
          <w:sz w:val="20"/>
          <w:szCs w:val="20"/>
          <w:color w:val="auto"/>
        </w:rPr>
      </w:pPr>
    </w:p>
    <w:p>
      <w:pPr>
        <w:ind w:right="560" w:firstLine="913"/>
        <w:spacing w:after="0" w:line="277"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and depositary shares representing Series B preferred shares in companies operating in this industry may be equally volatile.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organizational documents that may discourage a change of control.</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Certain of these provisions provide for:</w:t>
      </w:r>
    </w:p>
    <w:p>
      <w:pPr>
        <w:spacing w:after="0" w:line="131" w:lineRule="exact"/>
        <w:rPr>
          <w:sz w:val="20"/>
          <w:szCs w:val="20"/>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for nominations of directors by shareholders and for shareholders to include matters to be considered at annual meetings;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our common shares available for sale in the future that may adversely affect the market price of our Class A common shares.</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Pursuant to the registration rights agreement entered into at the effective time of the Merger, Marathon’s initial stockholders and, under certain circumstances, CMA CGM can demand that we register the resale of their holdings of our common shares at any time. 10,737,004 common shares held by Marathon’s initial stockholders were registered for sale under Form F-3 filed with the Securities and Exchange Commission on July 28, 2014. The registration and availability of such a significant number of securities for trading in the public market may have an adverse effect on the market price of our Class A common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is required to devote substantial time to complying with public company regulations.</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will need to devote a substantial amount of time to comply with these requirements. Moreover, these rules and regulations relating to public companies will increase our legal and financial compliance costs and will make some activities more time-consuming and costly.</w:t>
      </w:r>
    </w:p>
    <w:p>
      <w:pPr>
        <w:spacing w:after="0" w:line="15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a related attestation of our independent auditors. While we did not identify any material weaknesses or significant deficiencies in our internal controls under the current assessment, we cannot be certain at this time that all our controls will be considered effective in future assessments. Therefore, we can give no assurances that our internal control over financial reporting will satisfy regulatory requirements in the future.</w:t>
      </w:r>
    </w:p>
    <w:p>
      <w:pPr>
        <w:spacing w:after="0" w:line="178"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We are a “foreign private issuer” under the NYSE rules, and as such we are entitled to exemption from certain NYSE corporate governance standards, and you may not have the same protections afforded to stockholders of companies that are subject to all of the NYSE corporate governance requirements.</w:t>
      </w:r>
    </w:p>
    <w:p>
      <w:pPr>
        <w:spacing w:after="0" w:line="101"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We are a “foreign private issuer” under the securities laws of the U.S. and the rules of the NYSE. Under the securities laws of the U.S.,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71"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NYSE corporate governance requirements.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cause the market price of our common stock to decline.</w:t>
      </w:r>
    </w:p>
    <w:p>
      <w:pPr>
        <w:spacing w:after="0" w:line="225"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24"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Subject to the rules of the NYSE, in the future, we may issue additional shares of common stock, and other equity securities of equal or senior rank, without stockholder approval, in a number of circumstances. The issuance by us of additional shares of common stock or other equity securities of equal or senior rank would have the following effects:</w:t>
      </w:r>
    </w:p>
    <w:p>
      <w:pPr>
        <w:spacing w:after="0" w:line="87" w:lineRule="exact"/>
        <w:rPr>
          <w:sz w:val="20"/>
          <w:szCs w:val="20"/>
          <w:color w:val="auto"/>
        </w:rPr>
      </w:pPr>
    </w:p>
    <w:p>
      <w:pPr>
        <w:ind w:left="5620" w:right="4240" w:hanging="4707"/>
        <w:spacing w:after="0" w:line="449" w:lineRule="auto"/>
        <w:tabs>
          <w:tab w:leader="none" w:pos="14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existing stockholders’ proportionate ownership interest in us may decrease; 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dividend amount payable per share on our common stock may be lower;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share may be diminished;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market price of our common stock may decline.</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Our stockholders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stockholders may enter into with the underwriters at the time of an offering. Subject to certain exceptions, these agreements generally restrict us and our executive officers, directors and existing stockholders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180 days after the date of an offering prospectus without the prior written consent of the underwriter(s).</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may not have sufficient cash from our operations to enable us to pay dividends on or to redeem our Series B preferred shares, and accordingly the depositary shares, as the case may be, and our ability to pay dividends on or redeem our Series B preferred shares is limited by Marshall Islands law and our contractual obligations.</w:t>
      </w:r>
    </w:p>
    <w:p>
      <w:pPr>
        <w:spacing w:after="0" w:line="18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related dividend payment date, holders of the Series B preferred shares and accordingly the depositary shares would not be entitled to receive a dividend for that dividend period. However, any unpaid dividends will accumulate.</w:t>
      </w:r>
    </w:p>
    <w:p>
      <w:pPr>
        <w:spacing w:after="0" w:line="188"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addition, we may have insufficient cash available to redeem the Series B preferred shares, and accordingly the depositary shares. 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87"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our operating cash flow, capital expenditure requirements, working capital requirements and other cash needs;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of any cash reserves established by our board of directors;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under Marshall Islands law as described below;</w:t>
      </w:r>
    </w:p>
    <w:p>
      <w:pPr>
        <w:spacing w:after="0" w:line="130"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under our credit facilities and other instruments and agreements governing our existing and future debt as described below; and</w:t>
      </w:r>
    </w:p>
    <w:p>
      <w:pPr>
        <w:spacing w:after="0" w:line="75" w:lineRule="exact"/>
        <w:rPr>
          <w:rFonts w:ascii="Arial" w:cs="Arial" w:eastAsia="Arial" w:hAnsi="Arial"/>
          <w:sz w:val="18"/>
          <w:szCs w:val="18"/>
          <w:color w:val="auto"/>
        </w:rPr>
      </w:pPr>
    </w:p>
    <w:p>
      <w:pPr>
        <w:ind w:left="1460" w:right="180" w:hanging="547"/>
        <w:spacing w:after="0" w:line="264"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overall financial and operating performance, which, in turn, is subject to prevailing economic and competitive conditions and to the risks associated with the shipping industry and the other factors (see Item “Risks Related to our Business” above), many of which are beyond our control.</w:t>
      </w:r>
    </w:p>
    <w:p>
      <w:pPr>
        <w:spacing w:after="0" w:line="181"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154"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Further, the terms of our outstanding notes and our revolving credit facility prohibit us from declaring or paying any dividends or distributions on preferred stock, including the Series B preferred shares, or redeeming, purchasing, acquiring or making a liquidation payment on preferred stock in certain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income could fail to qualify for an exemption from U.S. federal income taxation, which would reduce our cash flow.</w:t>
      </w:r>
    </w:p>
    <w:p>
      <w:pPr>
        <w:spacing w:after="0" w:line="22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93"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We will qualify for the exemption under Section 883 if, among other things, our stock is treated as primarily and regularly traded on an established securities market in the U.S. However, under the Treasury regulations, our stock will not be treated as primarily and regularly traded on an established securities market if, during more than half the number of days during the taxable year, one or more shareholders who actually or constructively own at least 5% of our stock (“5% shareholders”), own, in the aggregate, 50% or more of our stock, unless a sufficient amount of our stock is owned by 5% shareholders that are considered to be “qualified shareholders” to preclude non-qualifying 5% shareholders from owning 50% or more of the total value of our stock held by the 5% shareholders group.</w:t>
      </w:r>
    </w:p>
    <w:p>
      <w:pPr>
        <w:spacing w:after="0" w:line="193"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Generally, a 5% shareholder is a qualified 5% shareholder only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U.S.</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Based on information that we have as to our shareholders and other matters, we believe that we qualified for the Section 883 exemption for 2014, and expect to qualify for 2015. However, it is possible that our ownership may change such that qualified 5% shareholders will not own, in the aggregate, a sufficient amount of our stock for more than half the days during the taxable year to preclude the non-qualifying 5% shareholders from owning 50% or more of the total value of our stock held by the 5% shareholders group.</w:t>
      </w:r>
    </w:p>
    <w:p>
      <w:pPr>
        <w:spacing w:after="0" w:line="187"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Such an ownership change, and certain other requirements for our stock to be treated as primarily and regularly traded on an established securities market, will be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 See Item 10.E. “Additional Information—Taxation —Taxation of Global Ship Lease—The Section 883 exemption” for a more comprehensive discussion of the U.S. federal income tax rules related to Section 883.</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taxed as a U.S. corporation.</w:t>
      </w:r>
    </w:p>
    <w:p>
      <w:pPr>
        <w:spacing w:after="0" w:line="225"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adverse U.S. federal income tax consequences could arise for U.S. holders.</w:t>
      </w:r>
    </w:p>
    <w:p>
      <w:pPr>
        <w:spacing w:after="0" w:line="225"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Shareholders of a “passive foreign investment company,” or PFIC, that are U.S. persons within the meaning of the Code, which we refer to as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7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7"/>
          <w:szCs w:val="17"/>
          <w:i w:val="1"/>
          <w:iCs w:val="1"/>
          <w:color w:val="auto"/>
        </w:rPr>
        <w:t xml:space="preserve">Tidewater </w:t>
      </w:r>
      <w:r>
        <w:rPr>
          <w:rFonts w:ascii="Arial" w:cs="Arial" w:eastAsia="Arial" w:hAnsi="Arial"/>
          <w:sz w:val="17"/>
          <w:szCs w:val="17"/>
          <w:color w:val="auto"/>
        </w:rPr>
        <w:t>decision, and in its discussion stated that the time charters at issue in</w:t>
      </w:r>
      <w:r>
        <w:rPr>
          <w:rFonts w:ascii="Arial" w:cs="Arial" w:eastAsia="Arial" w:hAnsi="Arial"/>
          <w:sz w:val="17"/>
          <w:szCs w:val="17"/>
          <w:i w:val="1"/>
          <w:iCs w:val="1"/>
          <w:color w:val="auto"/>
        </w:rPr>
        <w:t xml:space="preserve"> Tidewater </w:t>
      </w:r>
      <w:r>
        <w:rPr>
          <w:rFonts w:ascii="Arial" w:cs="Arial" w:eastAsia="Arial" w:hAnsi="Arial"/>
          <w:sz w:val="17"/>
          <w:szCs w:val="17"/>
          <w:color w:val="auto"/>
        </w:rPr>
        <w:t>would be treated as producing services income for PFIC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No assurance can be given that the IRS or a court of law would accept our position, and there is a risk that the IRS or a court of law could determine that the company is a PFIC.</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 —Tax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8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subject to taxation on all or part of our income in the United Kingdom, which could have a material adverse effect on our results of operations.</w:t>
      </w:r>
    </w:p>
    <w:p>
      <w:pPr>
        <w:spacing w:after="0" w:line="170"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If we or our vessel owning subsidiaries were considered to be a resident of the United Kingdom or to have a permanent establishment in the United Kingdom, all or a part of our profits could be subject to UK corporate tax, which had a maximum rate of 26% for the year ended March 31, 2012, 24% for the year ended March 31, 2013, 23% for the year ending March 31, 2014 and 21% for the year ended March 31, 2015 and 20% thereafter. We and our vessel owning subsidiaries are strategically managed and controlled from outside the United Kingdom and have restricted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65"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We do not believe that we or our vessel owning subsidiaries are residents of the United Kingdom, or that we or our vessel owning subsidiaries have permanent establishments in the United Kingdom. However, because some administrative and executive services are provided to us or our vessel owning subsidiaries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or our vessel owning subsidiaries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taxes which will reduce our cash flow.</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We and our vessel owning subsidiaries are subject to tax in certain jurisdictions in which we are organized, own assets or have operations, which reduces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Cyprus and Hong Kong, where a number of our vessel owning subsidiaries are entered in the local tonnage tax regime), could result in additional tax imposed on us, further reducing the cash available for distribution.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131" w:lineRule="exact"/>
        <w:rPr>
          <w:sz w:val="20"/>
          <w:szCs w:val="20"/>
          <w:color w:val="auto"/>
        </w:rPr>
      </w:pPr>
    </w:p>
    <w:p>
      <w:pPr>
        <w:ind w:left="1480" w:hanging="567"/>
        <w:spacing w:after="0"/>
        <w:tabs>
          <w:tab w:leader="none" w:pos="14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121" w:lineRule="exact"/>
        <w:rPr>
          <w:sz w:val="20"/>
          <w:szCs w:val="20"/>
          <w:color w:val="auto"/>
        </w:rPr>
      </w:pPr>
    </w:p>
    <w:p>
      <w:pPr>
        <w:ind w:right="220" w:firstLine="913"/>
        <w:spacing w:after="0" w:line="342" w:lineRule="auto"/>
        <w:rPr>
          <w:sz w:val="20"/>
          <w:szCs w:val="20"/>
          <w:color w:val="auto"/>
        </w:rPr>
      </w:pPr>
      <w:r>
        <w:rPr>
          <w:rFonts w:ascii="Arial" w:cs="Arial" w:eastAsia="Arial" w:hAnsi="Arial"/>
          <w:sz w:val="16"/>
          <w:szCs w:val="16"/>
          <w:color w:val="auto"/>
        </w:rPr>
        <w:t>We are a Republic of the Marshall Islands corporation that owns a fleet of modern containerships of a range of sizes. Our business is to charter out our fleet under long-term, fixed-rate charters to reputable container shipping companies to generate stable revenues and predictable cashflows.</w:t>
      </w:r>
    </w:p>
    <w:p>
      <w:pPr>
        <w:spacing w:after="0" w:line="124"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We were formed in 2007 to purchase and charter back containerships then owned or to be purchased by CMA CGM, the third largest containership operator in the world. We acquired our initial fleet of 17 containerships from CMA CGM between December 2007 and August 2009. All of the vessels were time chartered to CMA CGM for terms between five and 17 years. Two of the initial charters, relating to our 4,113 TEU vessels, Ville d’Aquarius and Ville d’Orion, expired in September 2012 and were renewed successively with CMA CGM until expiry late April 2014 for Ville d’Aquarius and late May 2014 for Ville d’Orion. New charters were agreed with Sea Consortium, trading as X-Press Feeders, commencing May 7, 2014 and extended effective December 3, 2014 for between four and six months for Ville d’Aquarius and July 17, 2014 for between six and 12 months for Ville d’Orion. On October 28, 2014 we took delivery of our eighteenth vessel, the 8,063 TEU OOCL Tianjin, having purchased her from Orient Overseas Container Lines Limited (“OOCL”). The vessel was immediately chartered back to OOCL for between 36 and 39 months. The TEU weighted average remaining term of our charters, excluding the Ville d’Aquarius and Ville d’Orion which are deployed in the short term charter market, was 6.4 years at December 31, 2014 and TEU weighted average age for the fleet was 10.7 years. On March 11, 2015 we took delivery of a second 8,063 TEU vessel, the OOCL Qingdao, also purchased from OOCL and, again, immediately chartered back for between 36 and 39 months. Our management team undertakes all management of our fleet including the supervision of the day-to-day technical ship management of our vessels which as at March 31, 2015 was provided for 17 of our 19 vessels by CMA Ships, a wholly owned subsidiary of CMA CGM, pursuant to ship management agreements, with an agreement to cap the reimbursement by us of expenses incurred on our behalf on the 15 vessels they charter. A third party ship manager based in Hong Kong provides the day-to-day technical management of the two vessels chartered to OOCL.</w:t>
      </w:r>
    </w:p>
    <w:p>
      <w:pPr>
        <w:spacing w:after="0" w:line="183"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On March 21, 2008, Global Ship Lease entered into a merger agreement pursuant to which Marathon and Global Ship Lease, then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8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were subordinated to those of holders of Class A common shares until at least the third quarter of 2011. The Class B common shares remain subordinated. The Class C common shares automatically converted into Class A common shares on a one-for-one basis on January 1, 2009. The warrants to acquire Class A shares at an exercise price of $9.25 expired in September 2013. Pursuant to the Merger, CMA CGM holds approximately 44.5% of our outstanding common shares. See Item 7.A. “Major Shareholders and Related Party Transactions—Major Shareholders.”</w:t>
      </w:r>
    </w:p>
    <w:p>
      <w:pPr>
        <w:spacing w:after="0" w:line="175" w:lineRule="exact"/>
        <w:rPr>
          <w:sz w:val="20"/>
          <w:szCs w:val="20"/>
          <w:color w:val="auto"/>
        </w:rPr>
      </w:pPr>
    </w:p>
    <w:p>
      <w:pPr>
        <w:ind w:right="360" w:firstLine="913"/>
        <w:spacing w:after="0" w:line="259" w:lineRule="auto"/>
        <w:rPr>
          <w:sz w:val="20"/>
          <w:szCs w:val="20"/>
          <w:color w:val="auto"/>
        </w:rPr>
      </w:pPr>
      <w:r>
        <w:rPr>
          <w:rFonts w:ascii="Arial" w:cs="Arial" w:eastAsia="Arial" w:hAnsi="Arial"/>
          <w:sz w:val="18"/>
          <w:szCs w:val="18"/>
          <w:color w:val="auto"/>
        </w:rPr>
        <w:t>On August 20, 2014, we issued 1,400,000 Depositary Shares, each of which represents 1/100</w:t>
      </w:r>
      <w:r>
        <w:rPr>
          <w:rFonts w:ascii="Arial" w:cs="Arial" w:eastAsia="Arial" w:hAnsi="Arial"/>
          <w:sz w:val="15"/>
          <w:szCs w:val="15"/>
          <w:color w:val="auto"/>
        </w:rPr>
        <w:t>th</w:t>
      </w:r>
      <w:r>
        <w:rPr>
          <w:rFonts w:ascii="Arial" w:cs="Arial" w:eastAsia="Arial" w:hAnsi="Arial"/>
          <w:sz w:val="18"/>
          <w:szCs w:val="18"/>
          <w:color w:val="auto"/>
        </w:rPr>
        <w:t xml:space="preserve"> of one share of our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Class A common shares and our Series B preferred shares are listed on the NYSE under the symbols “GSL” and “GSL-B”, respectively.</w:t>
      </w:r>
    </w:p>
    <w:p>
      <w:pPr>
        <w:spacing w:after="0" w:line="248"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The mailing address of our principal executive office is c/o Global Ship Lease Services Limited, Portland House, Stag Place, London SW1E 5RS, United Kingdom, and our telephone number is 44 (0) 20 7869 8006.</w:t>
      </w:r>
    </w:p>
    <w:p>
      <w:pPr>
        <w:spacing w:after="0" w:line="315" w:lineRule="exact"/>
        <w:rPr>
          <w:sz w:val="20"/>
          <w:szCs w:val="20"/>
          <w:color w:val="auto"/>
        </w:rPr>
      </w:pPr>
    </w:p>
    <w:p>
      <w:pPr>
        <w:ind w:left="1480" w:hanging="567"/>
        <w:spacing w:after="0"/>
        <w:tabs>
          <w:tab w:leader="none" w:pos="14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jc w:val="both"/>
        <w:ind w:right="280" w:firstLine="913"/>
        <w:spacing w:after="0" w:line="264" w:lineRule="auto"/>
        <w:rPr>
          <w:sz w:val="20"/>
          <w:szCs w:val="20"/>
          <w:color w:val="auto"/>
        </w:rPr>
      </w:pPr>
      <w:r>
        <w:rPr>
          <w:rFonts w:ascii="Arial" w:cs="Arial" w:eastAsia="Arial" w:hAnsi="Arial"/>
          <w:sz w:val="18"/>
          <w:szCs w:val="18"/>
          <w:color w:val="auto"/>
        </w:rPr>
        <w:t>On March 11, 2015, we completed the purchase of the 2004 built 8,063 TEU containership OOCL Qingdao for $53.6 million. The vessel was immediately chartered back to OOCL, the sellers, for a period of between 36 and 39 months at a gross charter rate of $34,500 per day. The acquisition was financed with cash on hand and by drawing down on our $40 million revolving credit facility.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fleet, as of December 31, 2014, consisted of 18 containerships with an aggregate capacity of 74,412 TEU and a TEU weighted average age of approximately 10.7 years and a non-weighted average age of 11.8 years.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provides information about our current fleet as at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Capacity</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Lightweight</w:t>
            </w: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Year</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Purchase</w:t>
            </w: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Earliest Charter</w:t>
            </w: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4"/>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44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7"/>
              </w:rPr>
              <w:t>Charter Term</w:t>
            </w:r>
          </w:p>
        </w:tc>
        <w:tc>
          <w:tcPr>
            <w:tcW w:w="1240" w:type="dxa"/>
            <w:vAlign w:val="bottom"/>
            <w:gridSpan w:val="2"/>
            <w:vMerge w:val="continue"/>
          </w:tcPr>
          <w:p>
            <w:pPr>
              <w:spacing w:after="0"/>
              <w:rPr>
                <w:sz w:val="12"/>
                <w:szCs w:val="12"/>
                <w:color w:val="auto"/>
              </w:rPr>
            </w:pPr>
          </w:p>
        </w:tc>
        <w:tc>
          <w:tcPr>
            <w:tcW w:w="6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6"/>
        </w:trPr>
        <w:tc>
          <w:tcPr>
            <w:tcW w:w="800" w:type="dxa"/>
            <w:vAlign w:val="bottom"/>
            <w:tcBorders>
              <w:bottom w:val="single" w:sz="8" w:color="auto"/>
            </w:tcBorders>
            <w:vMerge w:val="continue"/>
          </w:tcPr>
          <w:p>
            <w:pPr>
              <w:spacing w:after="0"/>
              <w:rPr>
                <w:sz w:val="15"/>
                <w:szCs w:val="15"/>
                <w:color w:val="auto"/>
              </w:rPr>
            </w:pPr>
          </w:p>
        </w:tc>
        <w:tc>
          <w:tcPr>
            <w:tcW w:w="440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in TEUs</w:t>
            </w:r>
          </w:p>
        </w:tc>
        <w:tc>
          <w:tcPr>
            <w:tcW w:w="2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(tons)</w:t>
            </w:r>
          </w:p>
        </w:tc>
        <w:tc>
          <w:tcPr>
            <w:tcW w:w="2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Built</w:t>
            </w:r>
          </w:p>
        </w:tc>
        <w:tc>
          <w:tcPr>
            <w:tcW w:w="20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by GSL</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12"/>
                <w:szCs w:val="12"/>
                <w:b w:val="1"/>
                <w:bCs w:val="1"/>
                <w:color w:val="auto"/>
                <w:w w:val="93"/>
              </w:rPr>
              <w:t>(1)</w:t>
            </w:r>
          </w:p>
        </w:tc>
        <w:tc>
          <w:tcPr>
            <w:tcW w:w="2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Expiry Date</w:t>
            </w:r>
          </w:p>
        </w:tc>
        <w:tc>
          <w:tcPr>
            <w:tcW w:w="2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Rate $</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r>
              <w:rPr>
                <w:rFonts w:ascii="Arial" w:cs="Arial" w:eastAsia="Arial" w:hAnsi="Arial"/>
                <w:sz w:val="15"/>
                <w:szCs w:val="15"/>
                <w:color w:val="auto"/>
              </w:rPr>
              <w:t>(2)</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4,113</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15,904</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Dec 2007</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 17, 2015</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Ville d’Aquarius</w:t>
            </w:r>
            <w:r>
              <w:rPr>
                <w:rFonts w:ascii="Arial" w:cs="Arial" w:eastAsia="Arial" w:hAnsi="Arial"/>
                <w:sz w:val="15"/>
                <w:szCs w:val="15"/>
                <w:color w:val="auto"/>
              </w:rPr>
              <w:t>(2)</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4,113</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15,887</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1996</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April 3, 2015</w:t>
            </w:r>
          </w:p>
        </w:tc>
        <w:tc>
          <w:tcPr>
            <w:tcW w:w="540" w:type="dxa"/>
            <w:vAlign w:val="bottom"/>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2,262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11,676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2,262</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11,676</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12,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11,731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2,207</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11,731</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11,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2,207</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11,731</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21, 2017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2,207</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11,731</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14,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18,465</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2,272</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11,742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20, 2019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2,272</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11,742</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2007</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5.0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 7, 2019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15,300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5,089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20,087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6"/>
              </w:rPr>
              <w:t>Jan 2008</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1"/>
              </w:rPr>
              <w:t>Oct 18, 2020</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5,089</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20,100</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Jan 2008</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6.0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 11, 2020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33,750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11,040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38,577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2008</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11.0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Oct 1, 2025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47,200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4,298</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17,272</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2008</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17,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4,045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17,355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Dec 2008</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8.0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Sept 16, 2022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4,045</w:t>
            </w:r>
          </w:p>
        </w:tc>
        <w:tc>
          <w:tcPr>
            <w:tcW w:w="2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17,355</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Dec 2008</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20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Sept 19, 2022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25,350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6,621</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26,776</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Aug 2009</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May 28, 2021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34,000</w:t>
            </w: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OOCL Tianjin</w:t>
            </w:r>
            <w:r>
              <w:rPr>
                <w:rFonts w:ascii="Arial" w:cs="Arial" w:eastAsia="Arial" w:hAnsi="Arial"/>
                <w:sz w:val="15"/>
                <w:szCs w:val="15"/>
                <w:color w:val="auto"/>
              </w:rPr>
              <w:t>(1)</w:t>
            </w:r>
          </w:p>
        </w:tc>
        <w:tc>
          <w:tcPr>
            <w:tcW w:w="540" w:type="dxa"/>
            <w:vAlign w:val="bottom"/>
          </w:tcPr>
          <w:p>
            <w:pPr>
              <w:jc w:val="center"/>
              <w:spacing w:after="0"/>
              <w:rPr>
                <w:sz w:val="20"/>
                <w:szCs w:val="20"/>
                <w:color w:val="auto"/>
              </w:rPr>
            </w:pPr>
            <w:r>
              <w:rPr>
                <w:rFonts w:ascii="Arial" w:cs="Arial" w:eastAsia="Arial" w:hAnsi="Arial"/>
                <w:sz w:val="18"/>
                <w:szCs w:val="18"/>
                <w:color w:val="auto"/>
                <w:w w:val="93"/>
              </w:rPr>
              <w:t>8,063</w:t>
            </w:r>
          </w:p>
        </w:tc>
        <w:tc>
          <w:tcPr>
            <w:tcW w:w="22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34,243</w:t>
            </w:r>
          </w:p>
        </w:tc>
        <w:tc>
          <w:tcPr>
            <w:tcW w:w="200" w:type="dxa"/>
            <w:vAlign w:val="bottom"/>
          </w:tcPr>
          <w:p>
            <w:pPr>
              <w:spacing w:after="0"/>
              <w:rPr>
                <w:sz w:val="20"/>
                <w:szCs w:val="20"/>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Oct 2014</w:t>
            </w:r>
          </w:p>
        </w:tc>
        <w:tc>
          <w:tcPr>
            <w:tcW w:w="86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20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Oct 28, 2017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34,500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20" w:hanging="452"/>
        <w:spacing w:after="0" w:line="256"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As at December 31, 2014. Plus or minus 90 days at charterer’s option, except (i) Ville d’Orion which is between January 17, and July 17, 2015 (ii) Ville d’Aquarius which is between April 3 and June 3, 2015, and (iii) OOCL Tianjin which is between October 28, 2017 and January 28, 2018 at charterer’s option</w:t>
      </w:r>
      <w:r>
        <w:rPr>
          <w:rFonts w:ascii="Arial" w:cs="Arial" w:eastAsia="Arial" w:hAnsi="Arial"/>
          <w:sz w:val="18"/>
          <w:szCs w:val="18"/>
          <w:color w:val="auto"/>
        </w:rPr>
        <w:t>.</w:t>
      </w:r>
    </w:p>
    <w:p>
      <w:pPr>
        <w:ind w:left="460" w:right="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Ville d’Orion and Ville d’Aquarius can be redelivered on 30 days’ notice. If an extension to the charters is not agreed, depending on market conditions, we may seek employment of these vessels with another charterer, lay them up or effect a sale</w:t>
      </w:r>
      <w:r>
        <w:rPr>
          <w:rFonts w:ascii="Arial" w:cs="Arial" w:eastAsia="Arial" w:hAnsi="Arial"/>
          <w:sz w:val="18"/>
          <w:szCs w:val="18"/>
          <w:color w:val="auto"/>
        </w:rPr>
        <w:t>.</w:t>
      </w:r>
    </w:p>
    <w:p>
      <w:pPr>
        <w:ind w:left="460" w:right="14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The table does not include OOCL Qingdao, a 2004 built 8,063 TEU containership which we purchased on March 11, 2015 and immediately chartered back to OOCL at a daily charter rate of $34,500 for a period of between 36 and 39 months</w:t>
      </w:r>
      <w:r>
        <w:rPr>
          <w:rFonts w:ascii="Arial" w:cs="Arial" w:eastAsia="Arial" w:hAnsi="Arial"/>
          <w:sz w:val="18"/>
          <w:szCs w:val="18"/>
          <w:color w:val="auto"/>
        </w:rPr>
        <w: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12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Charters</w:t>
      </w:r>
    </w:p>
    <w:p>
      <w:pPr>
        <w:spacing w:after="0" w:line="11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Each of the vessels in our initial fleet of 17 vessels was or remains subject to a time charter with CMA CGM based on standard industry terms. We have separate subsidiaries to own each vessel in our fleet. We guarantee the obligations of each of our subsidiaries under the charters. Each of our initial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on our initial 17 vessels had terms of five to 17 years (plus or minus 90 days at charterer’s option). We agreed with CMA CGM, with effect from February 1, 2014, to extend by three years the charters on four vessels at a lower on-going daily charter rate. As at December 31, 2014, 15 vessels remained on their initial charters,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charters</w:t>
      </w:r>
    </w:p>
    <w:p>
      <w:pPr>
        <w:spacing w:after="0" w:line="11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The initial charters for two of our vessels, Ville d’Aquarius and Ville d’Orion expired in September 2012. New charters were put in place with CMA CGM until May 23, 2013 plus or minus 22 days at the charterer’s option. Further charters were entered into with effect from May 1, 2013 until April 30, 2014 plus or minus 30 days at the charterer’s option. Ville d’Aquarius was redelivered to us by CMA CGM on April 26, 2014. On May 7, 2014, a new charter to Sea Consortium, doing business as X-Press Feeders came into effect for a period of 180 days plus or minus 30 days at charterer’s option. That charter was extended effective December 3, 2014 for between four and six months, at charterer’s option. Ville d’Orion was redelivered to us by CMA CGM on May 25, 2014. On July 17, 2014, a new charter to Sea Consortium came into effect for a period of between six and 12 months, at charterer’s option. Each of these vessels can be redelivered to us by the charterer on 30 days’ notice. If an extension to the charters is not agreed, depending on market conditions, we may seek employment of these vessels with another charterer, lay them up or effect a sale.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Charters</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On October 28, 2014 we purchased OOCL Tianjin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Excluding the two vessels whose time charters expire in 2015 (representing 4% of operating revenues for the year ended December 31, 2014), the existing time charters had a TEU weighted average remaining charter term of 6.0 years, as at March 11,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Daily Charter Rate</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charterers’ request. Our initial charters with CMA CGM provide for an increase in charter rate when we incur unavoidable capital expenditure above a specified threshold to comply, for example, with regulatory requirements introduced after the charters were agreed.</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11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As owner,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to sub-contract the day-to-day technical management of our vessels.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Pursuant to the terms of the time charters with CMA CGM, CMA CGM has a right of first refusal to purchase the vessel at matching terms to any offer of any third party if we decide to sell the vessel during, or at the end of, the charter period. Should CMA CGM decline to exercise its right of first refusal in case of a sale during the charter period, we will be entitled to sell the vessel, subject to CMA CGM’s prior approval, which shall not be unreasonably withheld. CMA CGM has the right to reject a sale of a vessel to owners whose business or shareholding is determined to be detrimental or contrary to its interest.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including:</w:t>
      </w:r>
    </w:p>
    <w:p>
      <w:pPr>
        <w:spacing w:after="0" w:line="92" w:lineRule="exact"/>
        <w:rPr>
          <w:sz w:val="20"/>
          <w:szCs w:val="20"/>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the charterer’s lost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117" w:lineRule="exact"/>
        <w:rPr>
          <w:sz w:val="20"/>
          <w:szCs w:val="20"/>
          <w:color w:val="auto"/>
        </w:rPr>
      </w:pPr>
    </w:p>
    <w:p>
      <w:pPr>
        <w:ind w:right="120" w:firstLine="913"/>
        <w:spacing w:after="0" w:line="297" w:lineRule="auto"/>
        <w:rPr>
          <w:sz w:val="20"/>
          <w:szCs w:val="20"/>
          <w:color w:val="auto"/>
        </w:rPr>
      </w:pPr>
      <w:r>
        <w:rPr>
          <w:rFonts w:ascii="Arial" w:cs="Arial" w:eastAsia="Arial" w:hAnsi="Arial"/>
          <w:sz w:val="16"/>
          <w:szCs w:val="16"/>
          <w:color w:val="auto"/>
        </w:rPr>
        <w:t>Generally, if a vessel is off-hire for more than a specified number of consecutive days, for example 90 in the case of the initial charters with CMA CGM, then the charterer may cancel the charter without any further consequential claims provided the vessel is free of cargo. Some of our charters provide that we can in some circumstances provide a substitute a vessel during an anticipated extended period of off-hire.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may suspend the performance of our obligations under the charter if the charterer defaults on its payment obligations under the charter.</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CMA Ships, a subsidiary of CMA CGM, provides day-to-day technical ship management services on all of our vessels other than the two vessels on charter to OOCL, where the service is provided by a third party ship manager based in Hong Kong. Such services include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CMA Ships pursuant to its ship management agreements.</w:t>
      </w:r>
    </w:p>
    <w:p>
      <w:pPr>
        <w:spacing w:after="0" w:line="18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pay CMA Ships an annual management fee of $123,000 (up to and including 2013, $114,000) per vessel it manages. The annual fee payable to the manager of the OOCL vessels is not materially different.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reimburse the ship manager for costs it incurs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government and other regulations, and compliance with class certifications.</w:t>
      </w:r>
    </w:p>
    <w:p>
      <w:pPr>
        <w:spacing w:after="0" w:line="17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 ship managers are required to use their best endeavors to provide the services specified in the ship management agreements. Pursuant to the terms of the ship management agreements, we indemnify the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CMA Ships, its employees, agents and sub-contractors.</w:t>
      </w:r>
    </w:p>
    <w:p>
      <w:pPr>
        <w:spacing w:after="0" w:line="18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manager is generally not permitted to sub-contract its obligations under the ship management agreements without our consent, which we will not unreasonably withhold. With our consent, CMA Ships has sub-contracted all of its management services under its ship management agreements to its UK subsidiary, CMA Ships UK. Furthermore, with our agreement, manning has been subcontracted to CMA Ships UK’s affiliate based in Singapore. The ship management agreements may generally be terminated by either party on two months written notice, often after a specified minimum period of time.</w:t>
      </w:r>
    </w:p>
    <w:p>
      <w:pPr>
        <w:spacing w:after="0" w:line="154"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Under our ship management agreements with CMA Ships, we have agreed to reimburse CMA Ships for ship operating expenses incurred by it on our behalf in the operation of our vessels. Pursuant to the global expense agreement that we entered into with CMA Ships and CMA CGM, this reimbursement was subject to a quarterly cap, fixed for the first three years that the relevant vessel was managed by CMA Ships. Since all of the relevant vessels have been managed by CMA Ships for at least three years, the fixed cap arrangements have lapsed in accordance with the terms of the global expense agreement.</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After the first three years, CMA CGM has agreed to compensate us, for any vessel in our fleet which remains on its initial charter, by the amount (not to exceed $500 per day per vessel) by which actual operating costs per day (excluding any exceptional repair costs, drydock costs and insurance premiums) are greater than $500 over a specified amount, which specified amount is reset annually at a predetermined and increasing amount as set out in the global expense agreement, provided more than 50% of such increase is attributable to crew and lubricating oil costs. This arrangement is designed to provide some protection from unexpected and significant increases in operating costs, particularly for crew and lubricating oil costs, which are driven mainly by global markets over which we have no control.</w:t>
      </w:r>
    </w:p>
    <w:p>
      <w:pPr>
        <w:spacing w:after="0" w:line="193"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Once our ship management agreements with CMA Ships and the global expense agreement expire or are terminated, we may not be able to negotiate similar terms in replacement agreements.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8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18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76" w:lineRule="exact"/>
        <w:rPr>
          <w:sz w:val="20"/>
          <w:szCs w:val="20"/>
          <w:color w:val="auto"/>
        </w:rPr>
      </w:pPr>
    </w:p>
    <w:p>
      <w:pPr>
        <w:ind w:left="1460" w:right="4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where applicable for special equipment classed.</w:t>
      </w:r>
    </w:p>
    <w:p>
      <w:pPr>
        <w:spacing w:after="0" w:line="75" w:lineRule="exact"/>
        <w:rPr>
          <w:rFonts w:ascii="Arial" w:cs="Arial" w:eastAsia="Arial" w:hAnsi="Arial"/>
          <w:sz w:val="18"/>
          <w:szCs w:val="18"/>
          <w:color w:val="auto"/>
        </w:rPr>
      </w:pPr>
    </w:p>
    <w:p>
      <w:pPr>
        <w:ind w:left="1460" w:right="100" w:hanging="547"/>
        <w:spacing w:after="0" w:line="255"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Intermediate Surveys</w:t>
      </w:r>
      <w:r>
        <w:rPr>
          <w:rFonts w:ascii="Arial" w:cs="Arial" w:eastAsia="Arial" w:hAnsi="Arial"/>
          <w:sz w:val="18"/>
          <w:szCs w:val="18"/>
          <w:color w:val="auto"/>
        </w:rPr>
        <w:t>. Also referred to as extended annual surveys, intermediate surveys are typically conducted two and one-half years</w:t>
      </w:r>
      <w:r>
        <w:rPr>
          <w:rFonts w:ascii="Arial" w:cs="Arial" w:eastAsia="Arial" w:hAnsi="Arial"/>
          <w:sz w:val="18"/>
          <w:szCs w:val="18"/>
          <w:i w:val="1"/>
          <w:iCs w:val="1"/>
          <w:color w:val="auto"/>
        </w:rPr>
        <w:t xml:space="preserve"> </w:t>
      </w:r>
      <w:r>
        <w:rPr>
          <w:rFonts w:ascii="Arial" w:cs="Arial" w:eastAsia="Arial" w:hAnsi="Arial"/>
          <w:sz w:val="18"/>
          <w:szCs w:val="18"/>
          <w:color w:val="auto"/>
        </w:rPr>
        <w:t>after (a)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80" w:right="180"/>
        <w:spacing w:after="0" w:line="264" w:lineRule="auto"/>
        <w:rPr>
          <w:sz w:val="20"/>
          <w:szCs w:val="20"/>
          <w:color w:val="auto"/>
        </w:rPr>
      </w:pPr>
      <w:r>
        <w:rPr>
          <w:rFonts w:ascii="Arial" w:cs="Arial" w:eastAsia="Arial" w:hAnsi="Arial"/>
          <w:sz w:val="18"/>
          <w:szCs w:val="18"/>
          <w:color w:val="auto"/>
        </w:rPr>
        <w:t>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us.</w:t>
      </w:r>
    </w:p>
    <w:p>
      <w:pPr>
        <w:spacing w:after="0" w:line="87" w:lineRule="exact"/>
        <w:rPr>
          <w:sz w:val="20"/>
          <w:szCs w:val="20"/>
          <w:color w:val="auto"/>
        </w:rPr>
      </w:pPr>
    </w:p>
    <w:p>
      <w:pPr>
        <w:ind w:left="1460" w:hanging="547"/>
        <w:spacing w:after="0" w:line="269" w:lineRule="auto"/>
        <w:tabs>
          <w:tab w:leader="none" w:pos="14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Class Renewal Surveys</w:t>
      </w:r>
      <w:r>
        <w:rPr>
          <w:rFonts w:ascii="Arial" w:cs="Arial" w:eastAsia="Arial" w:hAnsi="Arial"/>
          <w:sz w:val="17"/>
          <w:szCs w:val="17"/>
          <w:color w:val="auto"/>
        </w:rPr>
        <w:t>. Class renewal surveys, also known as special surveys, are carried out typically every five years on the ship’s hull,</w:t>
      </w:r>
      <w:r>
        <w:rPr>
          <w:rFonts w:ascii="Arial" w:cs="Arial" w:eastAsia="Arial" w:hAnsi="Arial"/>
          <w:sz w:val="17"/>
          <w:szCs w:val="17"/>
          <w:i w:val="1"/>
          <w:iCs w:val="1"/>
          <w:color w:val="auto"/>
        </w:rPr>
        <w:t xml:space="preserve"> </w:t>
      </w:r>
      <w:r>
        <w:rPr>
          <w:rFonts w:ascii="Arial" w:cs="Arial" w:eastAsia="Arial" w:hAnsi="Arial"/>
          <w:sz w:val="17"/>
          <w:szCs w:val="17"/>
          <w:color w:val="auto"/>
        </w:rPr>
        <w:t>machinery, including the electrical plant, and any special equipment classed, at the intervals indicated by the character of classification for the hull. Vessels are normally required to be inspected in a drydock as part of the special survey. However, with the classification society’s approval, the vessel can be subject to an underwater inspection, in lieu of a drydocking.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or underwater inspection is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8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As a condition for obtaining insurance coverage, each of our vessels needs to be certified “in class” by a member of the International Association of Classification Societies (“IACS”). Generally, if recommendations are not sufficiently corrected as determined by a member of IACS, then the vessel may not remain “in class.” If a vessel is not “in class,” it may not be covered by insurance, and may not be available for charter.</w:t>
      </w:r>
    </w:p>
    <w:p>
      <w:pPr>
        <w:spacing w:after="0" w:line="166"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The following table shows the classification societies for our vessels and lists the month by which they need to have completed their next drydocking, taking into account the drydocking of OOCL Tianjin completed in January 2015:</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Vessel Name</w:t>
            </w:r>
          </w:p>
        </w:tc>
        <w:tc>
          <w:tcPr>
            <w:tcW w:w="3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Classification</w:t>
            </w:r>
          </w:p>
        </w:tc>
        <w:tc>
          <w:tcPr>
            <w:tcW w:w="2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Drydocking Month</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85"/>
        </w:trPr>
        <w:tc>
          <w:tcPr>
            <w:tcW w:w="3580" w:type="dxa"/>
            <w:vAlign w:val="bottom"/>
            <w:gridSpan w:val="2"/>
            <w:vMerge w:val="continue"/>
          </w:tcPr>
          <w:p>
            <w:pPr>
              <w:spacing w:after="0"/>
              <w:rPr>
                <w:sz w:val="16"/>
                <w:szCs w:val="16"/>
                <w:color w:val="auto"/>
              </w:rPr>
            </w:pPr>
          </w:p>
        </w:tc>
        <w:tc>
          <w:tcPr>
            <w:tcW w:w="3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Society</w:t>
            </w:r>
          </w:p>
        </w:tc>
        <w:tc>
          <w:tcPr>
            <w:tcW w:w="2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Ville d’Orion</w:t>
            </w:r>
          </w:p>
        </w:tc>
        <w:tc>
          <w:tcPr>
            <w:tcW w:w="220" w:type="dxa"/>
            <w:vAlign w:val="bottom"/>
          </w:tcPr>
          <w:p>
            <w:pPr>
              <w:spacing w:after="0"/>
              <w:rPr>
                <w:sz w:val="16"/>
                <w:szCs w:val="16"/>
                <w:color w:val="auto"/>
              </w:rPr>
            </w:pPr>
          </w:p>
        </w:tc>
        <w:tc>
          <w:tcPr>
            <w:tcW w:w="2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Bureau Veritas</w:t>
            </w:r>
          </w:p>
        </w:tc>
        <w:tc>
          <w:tcPr>
            <w:tcW w:w="20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January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December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Matisse</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November 2019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Delmas Keta</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March 2018</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January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La Tour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7"/>
              </w:rPr>
              <w:t>June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9"/>
              </w:rPr>
              <w:t>October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Kumasi</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March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Alcazar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2"/>
              </w:rPr>
              <w:t>November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Château d’If</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 xml:space="preserve">CMA CGM Thalassa </w:t>
            </w:r>
            <w:r>
              <w:rPr>
                <w:rFonts w:ascii="Arial" w:cs="Arial" w:eastAsia="Arial" w:hAnsi="Arial"/>
                <w:sz w:val="15"/>
                <w:szCs w:val="15"/>
                <w:color w:val="auto"/>
              </w:rPr>
              <w:t>(2)</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December 2017</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DNV-GL</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September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Sambhar</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Lloyd’s Register</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Lloyd’s Register</w:t>
            </w:r>
          </w:p>
        </w:tc>
        <w:tc>
          <w:tcPr>
            <w:tcW w:w="2860" w:type="dxa"/>
            <w:vAlign w:val="bottom"/>
          </w:tcPr>
          <w:p>
            <w:pPr>
              <w:jc w:val="center"/>
              <w:spacing w:after="0"/>
              <w:rPr>
                <w:sz w:val="20"/>
                <w:szCs w:val="20"/>
                <w:color w:val="auto"/>
              </w:rPr>
            </w:pPr>
            <w:r>
              <w:rPr>
                <w:rFonts w:ascii="Arial" w:cs="Arial" w:eastAsia="Arial" w:hAnsi="Arial"/>
                <w:sz w:val="18"/>
                <w:szCs w:val="18"/>
                <w:color w:val="auto"/>
                <w:w w:val="88"/>
              </w:rPr>
              <w:t>September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CMA CGM Berlioz</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Bureau Veritas</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July 2016</w:t>
            </w: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American Bureau of Shipping</w:t>
            </w:r>
          </w:p>
        </w:tc>
        <w:tc>
          <w:tcPr>
            <w:tcW w:w="2860" w:type="dxa"/>
            <w:vAlign w:val="bottom"/>
          </w:tcPr>
          <w:p>
            <w:pPr>
              <w:jc w:val="center"/>
              <w:spacing w:after="0"/>
              <w:rPr>
                <w:sz w:val="20"/>
                <w:szCs w:val="20"/>
                <w:color w:val="auto"/>
              </w:rPr>
            </w:pPr>
            <w:r>
              <w:rPr>
                <w:rFonts w:ascii="Arial" w:cs="Arial" w:eastAsia="Arial" w:hAnsi="Arial"/>
                <w:sz w:val="18"/>
                <w:szCs w:val="18"/>
                <w:color w:val="auto"/>
                <w:w w:val="90"/>
              </w:rPr>
              <w:t>March 2020</w:t>
            </w: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OOCL Qingdao</w:t>
            </w:r>
          </w:p>
        </w:tc>
        <w:tc>
          <w:tcPr>
            <w:tcW w:w="31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American Bureau of Shipping</w:t>
            </w:r>
          </w:p>
        </w:tc>
        <w:tc>
          <w:tcPr>
            <w:tcW w:w="2860" w:type="dxa"/>
            <w:vAlign w:val="bottom"/>
          </w:tcPr>
          <w:p>
            <w:pPr>
              <w:jc w:val="center"/>
              <w:spacing w:after="0"/>
              <w:rPr>
                <w:sz w:val="20"/>
                <w:szCs w:val="20"/>
                <w:color w:val="auto"/>
              </w:rPr>
            </w:pPr>
            <w:r>
              <w:rPr>
                <w:rFonts w:ascii="Arial" w:cs="Arial" w:eastAsia="Arial" w:hAnsi="Arial"/>
                <w:sz w:val="18"/>
                <w:szCs w:val="18"/>
                <w:color w:val="auto"/>
                <w:w w:val="96"/>
              </w:rPr>
              <w:t>April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qualify for in-water inspections at the intermediate survey.</w:t>
      </w:r>
    </w:p>
    <w:p>
      <w:pPr>
        <w:spacing w:after="0" w:line="23" w:lineRule="exact"/>
        <w:rPr>
          <w:rFonts w:ascii="Arial" w:cs="Arial" w:eastAsia="Arial" w:hAnsi="Arial"/>
          <w:sz w:val="18"/>
          <w:szCs w:val="18"/>
          <w:color w:val="auto"/>
        </w:rPr>
      </w:pPr>
    </w:p>
    <w:p>
      <w:pPr>
        <w:ind w:left="460" w:right="20" w:hanging="452"/>
        <w:spacing w:after="0" w:line="295"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CMA CGM Thalassa underwent its first special survey in November 2013 whilst afloat including an underwater inspection in lieu of a drydocking. As a result, the next required inspection in a drydock has been postponed from December 2013 until December 2017 at the latest. The vessel was drydocked in December 2014, principally to modify the bulbous bow to allow for more efficient fuel consumption at slower speeds. In addition, regular drydock work was undertaken, including repainting the underwater parts, and current regulatory deadline of December 2017 may be extended.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table does not take account of discretionary drydockings which might be planned to effect upgrades, such as the bulbous bow on CMA CGM Thalassa, or in response to proposed or actual regulatory changes such as for ballast water treatment.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including CMA CGM and its subsidiaries, to, among other things, purchase newbuildings and secondhand vessels to grow our fleet.</w:t>
      </w:r>
    </w:p>
    <w:p>
      <w:pPr>
        <w:spacing w:after="0" w:line="187" w:lineRule="exact"/>
        <w:rPr>
          <w:sz w:val="20"/>
          <w:szCs w:val="20"/>
          <w:color w:val="auto"/>
        </w:rPr>
      </w:pPr>
    </w:p>
    <w:p>
      <w:pPr>
        <w:ind w:right="260" w:firstLine="913"/>
        <w:spacing w:after="0" w:line="293" w:lineRule="auto"/>
        <w:rPr>
          <w:sz w:val="20"/>
          <w:szCs w:val="20"/>
          <w:color w:val="auto"/>
        </w:rPr>
      </w:pPr>
      <w:r>
        <w:rPr>
          <w:rFonts w:ascii="Arial" w:cs="Arial" w:eastAsia="Arial" w:hAnsi="Arial"/>
          <w:sz w:val="16"/>
          <w:szCs w:val="16"/>
          <w:color w:val="auto"/>
        </w:rPr>
        <w:t>We expect substantial competition in obtaining new containership charters from a number of experienced and substantial companies. Many of these competitors may have greater financial resources than us, and may also operate larger fleets and may be able to offer better charter rates. Due to the recent industry downturn, there have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or to obtain new charterers on a profitable basis, if at all, which would have a material adverse effect on our business, results of operations and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121" w:lineRule="exact"/>
        <w:rPr>
          <w:sz w:val="20"/>
          <w:szCs w:val="20"/>
          <w:color w:val="auto"/>
        </w:rPr>
      </w:pPr>
    </w:p>
    <w:p>
      <w:pPr>
        <w:ind w:right="180" w:firstLine="913"/>
        <w:spacing w:after="0" w:line="297" w:lineRule="auto"/>
        <w:rPr>
          <w:sz w:val="20"/>
          <w:szCs w:val="20"/>
          <w:color w:val="auto"/>
        </w:rPr>
      </w:pPr>
      <w:r>
        <w:rPr>
          <w:rFonts w:ascii="Arial" w:cs="Arial" w:eastAsia="Arial" w:hAnsi="Arial"/>
          <w:sz w:val="16"/>
          <w:szCs w:val="16"/>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the Delmas Keta, Julie Delmas, Kumasi and Marie Delmas have not been certified to comply with all U.S., Canadian and Panama Canal regulations, as CMA CGM does not intend to operate them in these waters.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121" w:lineRule="exact"/>
        <w:rPr>
          <w:sz w:val="20"/>
          <w:szCs w:val="20"/>
          <w:color w:val="auto"/>
        </w:rPr>
      </w:pPr>
    </w:p>
    <w:p>
      <w:pPr>
        <w:ind w:right="160" w:firstLine="913"/>
        <w:spacing w:after="0" w:line="276" w:lineRule="auto"/>
        <w:rPr>
          <w:sz w:val="20"/>
          <w:szCs w:val="20"/>
          <w:color w:val="auto"/>
        </w:rPr>
      </w:pPr>
      <w:r>
        <w:rPr>
          <w:rFonts w:ascii="Arial" w:cs="Arial" w:eastAsia="Arial" w:hAnsi="Arial"/>
          <w:sz w:val="17"/>
          <w:szCs w:val="17"/>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ballast water management and security. Compliance with these laws, regulations and other requirements entails significant expense, including vessel modifications and implementation of certain operating procedures, and are subject to frequent change.</w:t>
      </w:r>
    </w:p>
    <w:p>
      <w:pPr>
        <w:spacing w:after="0" w:line="173" w:lineRule="exact"/>
        <w:rPr>
          <w:sz w:val="20"/>
          <w:szCs w:val="20"/>
          <w:color w:val="auto"/>
        </w:rPr>
      </w:pPr>
    </w:p>
    <w:p>
      <w:pPr>
        <w:jc w:val="both"/>
        <w:ind w:right="20" w:firstLine="913"/>
        <w:spacing w:after="0" w:line="302" w:lineRule="auto"/>
        <w:rPr>
          <w:sz w:val="20"/>
          <w:szCs w:val="20"/>
          <w:color w:val="auto"/>
        </w:rPr>
      </w:pPr>
      <w:r>
        <w:rPr>
          <w:rFonts w:ascii="Arial" w:cs="Arial" w:eastAsia="Arial" w:hAnsi="Arial"/>
          <w:sz w:val="16"/>
          <w:szCs w:val="16"/>
          <w:color w:val="auto"/>
        </w:rPr>
        <w:t>A variety of governmental and private entities subject our vessels to both scheduled and unscheduled inspections. These entities include the local port authorities, U.S.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154" w:lineRule="exact"/>
        <w:rPr>
          <w:sz w:val="20"/>
          <w:szCs w:val="20"/>
          <w:color w:val="auto"/>
        </w:rPr>
      </w:pPr>
    </w:p>
    <w:p>
      <w:pPr>
        <w:jc w:val="both"/>
        <w:ind w:right="40" w:firstLine="913"/>
        <w:spacing w:after="0" w:line="34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124"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Increasing environmental concerns have created a demand for vessels that conform to the stricter environmental standards. We will be required to maintain operating standards for all of our vessels that emphasize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operational safety, quality maintenance, continuous training of our officers and crews and compliance with U.S.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effect on our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vessels are subject to standards imposed by the International Maritime Organization, (“IMO”), the United Nations agency for maritime safety and the prevention of pollution by ships. The IMO has negotiated various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187"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sulphur oxide, nitrogen oxide, carbon dioxide and particulate matter emissions from ship exhausts and prohibits deliberate emissions of ozone depleting substances, such as chlorofluorocarbons. Annex VI also includes a global cap on the sulphur content of fuel oil and allows for the creation of Emission Control Areas, or ECAs. Already established ECAs include the Baltic Sea, the North Sea, including the English Channel, the North American area and the U.S. Caribbean Sea area. Additional geographical areas may be designated as ECAs in the future. Annex VI calls for incremental reductions in sulphur in fuel between 2012 and 2020 (or 2015 in the case of ECAs), with the global sulphur cap reduced initially to 3.50% (from 4.50%), effective from January 1, 2012, then progressively to 0.50%, effective from January 1, 2020, subject to a feasibility review to be completed no later than 2018. Annex VI also calls for the use of advanced technology engines designed to reduce emissions of nitrogen oxide, with a “Tier II” emission limit for engines installed on or after January 1, 2011 and a more stringent “Tier III” emission limit for engines installed on or after 2016 operating in nitrogen oxide ECAs.</w:t>
      </w:r>
    </w:p>
    <w:p>
      <w:pPr>
        <w:spacing w:after="0" w:line="173"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We have registered the vessels in our fleet in flag states that have ratified Annex VI, which require that we obtain International Air Pollution Prevention Certificates, or IAPP Certificates, for the vessels in our fleet, from those flag states. As of December 31, 2014, all of the vessels in our fleet had IAPP Certificates.</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New regulations aimed at improving the energy efficiency of international shipping entered into force on January 1, 2013, following amendments to the International Convention for the Prevention of Pollution from Ships (MARPOL) which were adopted in July 2011. These amendments add new Chapter 4 Regulations on energy efficiency for ships to MARPOL Annex VI, to make mandatory an Energy Efficiency Design Index (EEDI), for new ships built after January 1, 2013 and a Ship Energy Efficiency Management Plan (SEEMP) for all ships. Ships in service need to submit a SEEMP and obtain certification of compliance from their classification society by the first annual survey after January 1, 2013.</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The EEDI is a non-prescriptive, performance-based mechanism that leaves the choice of technologies to use in a specific ship design to the industry. As long as the required energy-efficiency level is attained, ship designers and builders would be free to use the most cost-efficient solutions for the ship to comply with the regulations.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SEEMP establishes a mechanism for operators to improve the energy efficiency of ships. Owners are required to prepare and vessels are required to keep on board, a ship specific SEEMP. As at December 31, 2014 all of our vessels had prepared and submitted a SEEMP and had been issued with an International Energy Efficiency Certificate (IEEC).</w:t>
      </w:r>
    </w:p>
    <w:p>
      <w:pPr>
        <w:spacing w:after="0" w:line="181"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adopt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 the provision of the ISM Code and corrective action; procedures to prepare guidelines and respond to emergency situation; and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at December 31, 2014,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69" w:lineRule="exact"/>
        <w:rPr>
          <w:sz w:val="20"/>
          <w:szCs w:val="20"/>
          <w:color w:val="auto"/>
        </w:rPr>
      </w:pPr>
    </w:p>
    <w:p>
      <w:pPr>
        <w:ind w:right="180" w:firstLine="913"/>
        <w:spacing w:after="0" w:line="270" w:lineRule="auto"/>
        <w:rPr>
          <w:sz w:val="20"/>
          <w:szCs w:val="20"/>
          <w:color w:val="auto"/>
        </w:rPr>
      </w:pPr>
      <w:r>
        <w:rPr>
          <w:rFonts w:ascii="Arial" w:cs="Arial" w:eastAsia="Arial" w:hAnsi="Arial"/>
          <w:sz w:val="17"/>
          <w:szCs w:val="17"/>
          <w:color w:val="auto"/>
        </w:rPr>
        <w:t>In 2004, the IMO adopted an International Convention for the Control and Management of Ships’ Ballast Water and Sediments, or BWM Convention. The BWM Convention’s implementing regulations call for the installation of ballast water treatment systems on newbuilding vessels for which the keel is laid after January 1, 2012 and for existing vessels prior to their first intermediate or renewal survey after January 1, 2016. However, a 2013 IMO Resolution, provides that for ships constructed before the BWM Convention enters into force, compliance with the ballast water performance standard will not be required until their first renewal survey after entry into force. The BWM Convention will not enter into force, on a retroactive basis, until 12 months after it has been adopted by at least 30 IMO Member States, the combined merchant fleets of which represent not less than 35% of the gross tonnage of the world’s merchant shipping. As of March 10, 2015, the BWM Convention has been ratified by 44 states but those states constitute only 32.86% of gross tonnage and therefore the Convention has not yet come into force. See “—Ballast Water Management,” below, for a discussion of possible impacts of increased ballast water management regulation.</w:t>
      </w:r>
    </w:p>
    <w:p>
      <w:pPr>
        <w:spacing w:after="0" w:line="182"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89"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will establish a mechanism to prevent the potential future use of other harmful substances in anti-fouling systems. Our vessels are required to obtain certification of compliance. As at December 31, 2014 each of our vessels was in possession of a Statement of Compliance issued by the Classification Society.</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Labour Organization</w:t>
      </w:r>
    </w:p>
    <w:p>
      <w:pPr>
        <w:spacing w:after="0" w:line="117"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The Maritime Labour Convention, 2006 (MLC 2006) came into force on August 20, 2013 following ratification by 30 nations representing 33% of the world’s shipping gross tonnage. MLC 2006 establishes minimum requirements for seafarer’s employment conditions such as hours of work and rest, training/certification, health protection, medical care/certification, welfare and social security protection, as well as, for new ships, accommodation and recreational facilities. Each ship is required to obtain proof of compliance in the form of a Maritime Labour Certificate from the flag state and by preparing a Declaration of Maritime Labour Compliance, which should minimize compliance inspections. Each of our vessels is compliant.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United States Oil Pollution Act of 1990</w:t>
      </w:r>
    </w:p>
    <w:p>
      <w:pPr>
        <w:spacing w:after="0" w:line="11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U.S., including its territories and possessions, or whose vessels operate in U.S. waters, which includes the U.S.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73"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71" w:lineRule="exact"/>
        <w:rPr>
          <w:sz w:val="20"/>
          <w:szCs w:val="20"/>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130"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On July 1, 2009 the U.S. Coast Guard (the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24"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OPA requires owners and operators of vessels to obtain a certificate of financial responsibility by establishing and maintaining with the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U.S. against liabilities located anywhere in the world, that exceeds the applicable amount of financial responsibility. For our vessels that are likely to enter U.S. waters, we intend to comply with the U.S. Coast Guard regulations by providing a certificate of responsibility from third party entities that are acceptable to the U.S. Coast Guard evidencing sufficient insurance.</w:t>
      </w:r>
    </w:p>
    <w:p>
      <w:pPr>
        <w:spacing w:after="0" w:line="192"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The U.S.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79"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addition, Title VII of the Coast Guard and Maritime Transportation Act of 2004, or CGMTA, amended OPA to require the U.S. Coast Guard to issue regulations to require the owner or operator of any non-tank vessel of 400 gross tons or more that carries oil of any kind as a fuel for main propulsion, to prepare and submit a response plan for each vessel. The U.S. Coast Guard issued a Nontank Vessel Response Plan Final Rule on September, 30, 2013 effective October 30, 2013 and implemented on January 30, 2014 under which vessel owners or operators must submit a new oil spill Vessel Response Plan to meet the new requirements of Title 33, Code of Federal Regulations (Part 155, subpart J) to replace the present Vessel Response Plans given changes in the regulations.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were extended to non-tank vessels. GIUE are paid for by the ship owner. We comply with the requirements of the CGMTA and OPA. Our vessels that call at U.S. ports have appropriate vessel response plans filed with the U.S. Coast Guard and copies are available onboard.</w:t>
      </w:r>
    </w:p>
    <w:p>
      <w:pPr>
        <w:spacing w:after="0" w:line="17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Environmental Response, Compensation, and Liability Act</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w:t>
      </w:r>
    </w:p>
    <w:p>
      <w:pPr>
        <w:spacing w:after="0" w:line="117" w:lineRule="exact"/>
        <w:rPr>
          <w:sz w:val="20"/>
          <w:szCs w:val="20"/>
          <w:color w:val="auto"/>
        </w:rPr>
      </w:pPr>
    </w:p>
    <w:p>
      <w:pPr>
        <w:jc w:val="both"/>
        <w:ind w:right="120" w:firstLine="913"/>
        <w:spacing w:after="0" w:line="257"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U.S. ports through ballast water taken on by ships in foreign ports. Under NISA, the Coast Guard required mandatory ballast water management practices for all vessels equipped with ballast water tanks bound for U.S. ports or entering U.S.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88"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The US Coast Guard Final Rule, Standard for Living Organisms in Ships’ Ballast Water Discharged in US Waters (superseding the previous) came into effect on June 21, 2012 and sets out allowable organism concentrations consistent with the IMO BWM Convention. The Final Rule also set outs general non-indigenous species reduction practices including hull, tank and pipe cleaning. The Final Rule introduces a requirement for a Ballast Water Management System (BWMS) for vessels with a ballast water capacity between 1500 and 5000 cubic meters by the first scheduled drydocking after January 1, 2014 and for those with smaller or larger capacity by the first such drydocking after January 1, 2016. All of our vessels have ballast water capacities in excess of 5,000 cubic meters. Before then as alternatives, ballast water may be exchanged 200 nautical miles from any shore or an Alternative Management System may be installed that is approved by a foreign administration under the BWM Convention, meets a minimum effective determination by the Coast Guard and receives full approval within five years of the compliance date for the vessel. The BWMS must meet stringent maximum allowable organism concentrations depending on their size and hazard to health, as well as other design criteria. BWM records must be retained on board for two years and information notified at least 24 hours prior to arrival. The Coast Guard has by Policy letter advised it will consider individual requests for extensions in case of real difficulty in implementing BWM discharge standards due to availability of appropriate BWMS, though it has also issued an updated list of approved BWMS.</w:t>
      </w:r>
    </w:p>
    <w:p>
      <w:pPr>
        <w:spacing w:after="0" w:line="180"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U.S. navigable waters without a permit and imposes strict liability in the form of penalties for any unauthorized discharges. Current Environmental Protection Agency, or EPA, regulations exempt ships in U.S. navigable waters from the requirement to obtain CWA permits for discharges of ballast water and other substances incidental to the normal operation of vessels. However, a U.S. District Court ruled in 2006 that EPA lacks the authority to exclude discharges of vessel ballast water from permitting requirements under the CWA, invalidating the blanket exemption in EPA regulations for all discharges incidental to the normal operation of a vessel as at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 The new 2013 VGP replaced the 2008 VGP on 19 December 2013 and provides for more stringent numerical ballast water discharge limits for most vessels, more stringent effluent limits for oil to sea interfaces and for exhaust gas scrubber wash water and an annual report in place of the current one-time report.</w:t>
      </w:r>
    </w:p>
    <w:p>
      <w:pPr>
        <w:spacing w:after="0" w:line="169" w:lineRule="exact"/>
        <w:rPr>
          <w:sz w:val="20"/>
          <w:szCs w:val="20"/>
          <w:color w:val="auto"/>
        </w:rPr>
      </w:pPr>
    </w:p>
    <w:p>
      <w:pPr>
        <w:jc w:val="both"/>
        <w:ind w:right="280" w:firstLine="913"/>
        <w:spacing w:after="0" w:line="286" w:lineRule="auto"/>
        <w:rPr>
          <w:sz w:val="20"/>
          <w:szCs w:val="20"/>
          <w:color w:val="auto"/>
        </w:rPr>
      </w:pPr>
      <w:r>
        <w:rPr>
          <w:rFonts w:ascii="Arial" w:cs="Arial" w:eastAsia="Arial" w:hAnsi="Arial"/>
          <w:sz w:val="17"/>
          <w:szCs w:val="17"/>
          <w:color w:val="auto"/>
        </w:rPr>
        <w:t>There remains a patchwork of partly inconsistent ballast water management and hull cleaning regulations across the various U.S. states, some containing requirements more stringent than IMO, such as California, which requires vessels exceeding 300 gross tons operating in its waters to perform, record and report regular hull cleaning and limits the number of living organisms of different categories that may be discharged.</w:t>
      </w:r>
    </w:p>
    <w:p>
      <w:pPr>
        <w:spacing w:after="0" w:line="166"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Changes in ballast water management rules and regulations, either in the U.S. or internationally (See “—International Maritime Organization” above), could increase the cost of compliance for ocean carriers, including requiring installation of equipment of ballast water treatment systems on vessels at substantial cost.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Clean Air Act</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Federal Clean Air Act of 1970, as amended by the Clean Air Act Amendments of 1977 and 1990, or the CAA, requires the EPA to promulgate standards applicable to emissions of volatile organic compounds and other air contaminants. Our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In December 2009, the EPA issued more stringent emission standards for new Category 3 marine engines. The standards are consistent with the amendments to Annex VI of MARPOL discussed above. Certain emission standards took effect early as 2011. We may incur costs to install equipment in these vessels to comply.</w:t>
      </w:r>
    </w:p>
    <w:p>
      <w:pPr>
        <w:spacing w:after="0" w:line="178"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88" w:lineRule="exact"/>
        <w:rPr>
          <w:sz w:val="20"/>
          <w:szCs w:val="20"/>
          <w:color w:val="auto"/>
        </w:rPr>
      </w:pPr>
    </w:p>
    <w:p>
      <w:pPr>
        <w:ind w:right="160" w:firstLine="913"/>
        <w:spacing w:after="0" w:line="272" w:lineRule="auto"/>
        <w:rPr>
          <w:sz w:val="20"/>
          <w:szCs w:val="20"/>
          <w:color w:val="auto"/>
        </w:rPr>
      </w:pPr>
      <w:r>
        <w:rPr>
          <w:rFonts w:ascii="Arial" w:cs="Arial" w:eastAsia="Arial" w:hAnsi="Arial"/>
          <w:sz w:val="17"/>
          <w:szCs w:val="17"/>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nautical miles of the California coast and require operators to use low sulphur fuels. The Office of Administrative Law approved the rulemaking and filed it with the Secretary of State on May 29, 2009. The regulation became effective on June 28, 2009. The implementation date for the second phase of the program, which further reduced permissible levels of sulphur in fuel was January 1, 2014, when ocean going vessels would be limited to using distillate fuels containing no more than 0.1% of sulphur, aligning California’s requirements more closely with the Federal standards and allowing vessel operators more flexibility to acquire compliant fuels.</w:t>
      </w:r>
    </w:p>
    <w:p>
      <w:pPr>
        <w:spacing w:after="0" w:line="178"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Fleet operators were required to submit or update their plans and reduction of at berth emissions by half on average has been required since January 1, 2014. These requirements may increase operating costs while in California ports.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In waters of the European Union, or the EU, our vessels are subject to regulation EU-level Directives implemented by the various nations through laws and regulations of these requirements and EU Regulations that have direct effect in EU member states. These laws and regulations prescribe measures to prevent pollution, protect the environment, and support maritime safety and set out criminal penalties which are being progressively incorporated into domestic legislation.</w:t>
      </w:r>
    </w:p>
    <w:p>
      <w:pPr>
        <w:spacing w:after="0" w:line="187" w:lineRule="exact"/>
        <w:rPr>
          <w:sz w:val="20"/>
          <w:szCs w:val="20"/>
          <w:color w:val="auto"/>
        </w:rPr>
      </w:pPr>
    </w:p>
    <w:p>
      <w:pPr>
        <w:ind w:right="300" w:firstLine="913"/>
        <w:spacing w:after="0" w:line="276" w:lineRule="auto"/>
        <w:rPr>
          <w:sz w:val="20"/>
          <w:szCs w:val="20"/>
          <w:color w:val="auto"/>
        </w:rPr>
      </w:pPr>
      <w:r>
        <w:rPr>
          <w:rFonts w:ascii="Arial" w:cs="Arial" w:eastAsia="Arial" w:hAnsi="Arial"/>
          <w:sz w:val="17"/>
          <w:szCs w:val="17"/>
          <w:color w:val="auto"/>
        </w:rPr>
        <w:t>On Port State Control, for instance, the EU has adopted directives (1999/35/EC &amp; 2009/16/EC)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73"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EU Directive 2009/16/EC introduced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Our vessels are also required to be inspected by an appropriate classification society. Classification societies typically establish and maintain standards for the construction and classification of vessels, supervise that construction is according to these standards, and carry out regular surveys of ships in service to ensure compliance with the standards as well as flag state regulations.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6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The EU’s directive on the sulphur content of fuels restricts the maximum sulphur content of marine fuels used in vessels operating in EU member states’ territorial seas, exclusive economic zones and pollution control zones. The directive provides for more stringent rules on maximum sulphur content of marine fuels applicable in specific Sulphur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sulphur fuel content limits in the marine fuel our vessels use in order to avoid delays or other obstructions to their operations, as well as for any enforcement measures which may be imposed by the relevant member states for non-compliance with the provisions of the directive. We also may need to make other expenditures (such as expenditures related to treating exhaust gases) to comply with relevant limitations on sulphur oxide emissions levels. Another more recent, directive of the European Parliament and the European Council has entered into force, which amends the previous directive to bring the above requirements in line with Annex VI of MARPOL. It also makes certain of these requirements more stringent. These and other related requirements may require additional capital expenditures and increase our operating costs.</w:t>
      </w:r>
    </w:p>
    <w:p>
      <w:pPr>
        <w:spacing w:after="0" w:line="169"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Another EU directive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w:t>
      </w:r>
    </w:p>
    <w:p>
      <w:pPr>
        <w:spacing w:after="0" w:line="181" w:lineRule="exact"/>
        <w:rPr>
          <w:sz w:val="20"/>
          <w:szCs w:val="20"/>
          <w:color w:val="auto"/>
        </w:rPr>
      </w:pPr>
    </w:p>
    <w:p>
      <w:pPr>
        <w:jc w:val="both"/>
        <w:ind w:right="260" w:firstLine="913"/>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181"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The EU is currently considering other proposals to further regulate vessel operations. The EU has adopted an Integrated Maritime Policy for the purposes of achieving a more coherent approach to maritime issues. The EU Commission’s proposals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w:t>
      </w:r>
    </w:p>
    <w:p>
      <w:pPr>
        <w:spacing w:after="0" w:line="171"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8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18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The European Commission is particularly interested in a solution to ensure sound ship dismantling in non-OECD countries. It is thought that any new regulations would incorporate elements of the Hong Kong International Convention on the Safe and Environmentally Sound Recycling of Ships, appropriate for the global approach to ship dismantling and elements of</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Basel Convention to the in situ treatment of materials from dismantling. On November 15, 2013 an EU Regulation on Ship Recycling was adopted requiring vessels to carry an inventory of hazardous materials within seven years for existing ships. Further regulations are expected to promote the use of shore-side electricity by ships at berth in EU ports to reduce air emissions, and other options for EU legislation to reduce greenhouse gas emissions from maritime transport.</w:t>
      </w:r>
    </w:p>
    <w:p>
      <w:pPr>
        <w:spacing w:after="0" w:line="18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Ballast Water Management in Europe</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From October 1, 2012, a voluntary ballast water management regime has been operating in the Mediterranean Sea, NE Atlantic &amp; Baltic, and in-between. The regime, which effectively urges ships to undertake ballast water exchange before entering those areas, is to remain in place until the BWM Convention comes into force.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117" w:lineRule="exact"/>
        <w:rPr>
          <w:sz w:val="20"/>
          <w:szCs w:val="20"/>
          <w:color w:val="auto"/>
        </w:rPr>
      </w:pPr>
    </w:p>
    <w:p>
      <w:pPr>
        <w:ind w:right="200" w:firstLine="913"/>
        <w:spacing w:after="0" w:line="293"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U.S.. The People’s Republic of China introduced its own regime along similar lines in 2010 which, in some instances requires ship operators to re-contract with an approved Chinese Ship Pollution Response organization.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our costs to operate our fleet. These requirements, however, would apply to the industry as a whole and would also affect our competitors.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Greenhouse Gas Legislation</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The recent UN Climate change Conference resulted in the creation of a second Kyoto protocol commitment period from 2013 and a decision by governments to negotiate a new agreement with legal force including commitments from energy economies for implementation in 2020.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may have to contribute to the Green Climate Fund agreed at the latter as it has been recognized by the UN and G20 that shipping is a potential major source of funds. The G20 has suggested a contribution as high as US$25 billion per year.</w:t>
      </w:r>
    </w:p>
    <w:p>
      <w:pPr>
        <w:spacing w:after="0" w:line="182"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In the U.S.,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In July 2011, parties to MARPOL Annex VI adopted mandatory measures to reduce emissions of greenhouse gases from international shipping. The amendments will make the Energy Efficiency Design Index (EEDI) mandatory for new ships and the Ship Energy</w:t>
      </w:r>
    </w:p>
    <w:p>
      <w:pPr>
        <w:spacing w:after="0" w:line="170"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Efficiency Management Plan (SEEMP) mandatory for all ships. With regard to greenhouse gas emissions, there have been discussions in the IMO for the adoption of a market-based mechanism for the reduction of carbon emissions from vessels, such as an emissions trading system or an international greenhouse gas contribution fund, with contributions being based on bunker fuel purchases.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 Security Regulations</w:t>
      </w:r>
    </w:p>
    <w:p>
      <w:pPr>
        <w:spacing w:after="0" w:line="117"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U.S. Coast Guard in July 2003 issued regulations requiring the implementation of certain security requirements aboard vessels operating in waters subject to the jurisdiction of the U.S..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70" w:lineRule="exact"/>
        <w:rPr>
          <w:sz w:val="20"/>
          <w:szCs w:val="20"/>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22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U.S. Coast Guard regulations are intended to align with international maritime security standards and they exempt non-U.S. vessels from MTSA vessel security measures provided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187"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The cost of vessel security measures has also been affected by the escalation in recent years in the frequency and seriousness of acts of piracy against ships, notably off the coast of Somalia, including the Gulf of Aden and Arabian Sea area. Attacks of this kind have commonly resulted in vessels and their crews being detained for several months, and being released only on payment of large ransoms. Substantial loss of revenue and other costs may be incurred as a result of such detention. The risk remains of uninsured losses which could significantly affect our business. Costs are incurred in taking additional security measures in accordance with Best Management Practices to Deter Piracy, notably those contained in the BMP4 industry standard.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Anti-Corruption Laws</w:t>
      </w:r>
    </w:p>
    <w:p>
      <w:pPr>
        <w:spacing w:after="0" w:line="117"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U.S. Foreign Corrupt Practices Act (the “FCPA”), the UK Bribery Act 2010 (the “Bribery Act”), and the anti-corruption laws of any jurisdiction applicable to us.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FCPA, passed in 1977, prohibits providing, offering, promising, or authorizing the offer, promise or payment, directly or indirectly, anything of value to government officials, political parties, or political candidates for the purposes of obtaining or retaining business. The Bribery Act 2010, which came into force in July 2011, created four main offenses of (i) making bribes, (ii) receiving bribes, (iii) bribing foreign public officials, and (iv) failing as a commercial organization to prevent bribery when an ‘associated person’ bribes another on its behalf absent adequate procedures to prevent. The Bribery Act extends beyond bribery of government officials and applies to both offenses committed in the United Kingdom and overseas where the offense is committed by a person with a close connection to the United Kingdom, and fines are potentially unlimited. In addition, the U.K. Serious Fraud Office has identified the shipping industry as one of the most high risk industries likely to be affected by the Bribery Act.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260" w:firstLine="913"/>
        <w:spacing w:after="0" w:line="255"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U.S., has made liability insurance more expensive for ship owners and operators trading in the U.S. market.</w:t>
      </w:r>
    </w:p>
    <w:p>
      <w:pPr>
        <w:spacing w:after="0" w:line="193"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 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117" w:lineRule="exact"/>
        <w:rPr>
          <w:sz w:val="20"/>
          <w:szCs w:val="20"/>
          <w:color w:val="auto"/>
        </w:rPr>
      </w:pPr>
    </w:p>
    <w:p>
      <w:pPr>
        <w:ind w:right="60" w:firstLine="913"/>
        <w:spacing w:after="0" w:line="273" w:lineRule="auto"/>
        <w:rPr>
          <w:sz w:val="20"/>
          <w:szCs w:val="20"/>
          <w:color w:val="auto"/>
        </w:rPr>
      </w:pPr>
      <w:r>
        <w:rPr>
          <w:rFonts w:ascii="Arial" w:cs="Arial" w:eastAsia="Arial" w:hAnsi="Arial"/>
          <w:sz w:val="17"/>
          <w:szCs w:val="17"/>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As required by the terms of our revolving credit facility and the notes, we have assigned certain of our insurance policies to our lenders under the revolving credit facility and the holders of the notes and will be subject to restrictions on our use of any proceeds therefrom.</w:t>
      </w:r>
    </w:p>
    <w:p>
      <w:pPr>
        <w:spacing w:after="0" w:line="17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We have not so far obtained loss-of-hire insurance covering the loss of revenue during extended off-hire periods. We evaluate obtaining such coverage on an ongoing basis, taking into account insurance market conditions and the employment of our vessels.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Protection and indemnity insurance is mutual indemnity insurance provided by mutual protection and indemnity associations, or P&amp;I Associations, which insure third-party and crew liabilities in connection with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 As required by the terms of our revolving credit facility and the notes, we have assigned certain of our insurance policies to our lenders under the revolving credit facility and the holders of the notes and will be subject to restrictions on our use of any proceeds therefrom.</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13 P&amp;I Associations comprise The International Group, which insures approximately 90% of the world’s commercial blue-water tonnage and has entered into a pooling agreement with each of its members to reinsure each association’s liabilities. We intend to remain members of P&amp;I Associations that are members of the International Group, and as such, we will be subject to calls payable to the International Group based on other P&amp;I Associations claim records as well as the claim records of all other members of our own P&amp;I Associations.</w:t>
      </w:r>
    </w:p>
    <w:p>
      <w:pPr>
        <w:spacing w:after="0" w:line="331" w:lineRule="exact"/>
        <w:rPr>
          <w:sz w:val="20"/>
          <w:szCs w:val="20"/>
          <w:color w:val="auto"/>
        </w:rPr>
      </w:pPr>
    </w:p>
    <w:p>
      <w:pPr>
        <w:ind w:left="1480" w:hanging="567"/>
        <w:spacing w:after="0"/>
        <w:tabs>
          <w:tab w:leader="none" w:pos="14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12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Our holding company, Global Ship Lease, Inc., is a Marshall Islands corporation. Each vessel is owned by a directly held separate wholly owned subsidiary. Sixteen vessels are owned by companies incorporated in Cyprus, two by companies incorporated in Hong Kong and one is held by a further Marshall Islands company. In addition, Global Ship Lease Services Limited, a company incorporated in England and Wales and which is directly wholly owned by the holding company, provides administrative services to the group.</w:t>
      </w:r>
    </w:p>
    <w:p>
      <w:pPr>
        <w:spacing w:after="0" w:line="331" w:lineRule="exact"/>
        <w:rPr>
          <w:sz w:val="20"/>
          <w:szCs w:val="20"/>
          <w:color w:val="auto"/>
        </w:rPr>
      </w:pPr>
    </w:p>
    <w:p>
      <w:pPr>
        <w:ind w:left="1480" w:hanging="567"/>
        <w:spacing w:after="0"/>
        <w:tabs>
          <w:tab w:leader="none" w:pos="148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only material properties are the vessels in our fleet, which are described in Item 4.B. “Information on the Company—Business Overview”.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Operating and Financial Review and Prospects</w:t>
      </w:r>
    </w:p>
    <w:p>
      <w:pPr>
        <w:spacing w:after="0" w:line="131" w:lineRule="exact"/>
        <w:rPr>
          <w:sz w:val="20"/>
          <w:szCs w:val="20"/>
          <w:color w:val="auto"/>
        </w:rPr>
      </w:pPr>
    </w:p>
    <w:p>
      <w:pPr>
        <w:ind w:left="1480" w:hanging="567"/>
        <w:spacing w:after="0"/>
        <w:tabs>
          <w:tab w:leader="none" w:pos="14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Part I. “Special Note Regarding Forward-Looking Statements.”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We are a containership charter owner, incorporated in the Marshall Islands. We commenced operations in December 2007 with a business of owning and chartering out containerships under long-term, fixed rate charters to container liner companies.</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At December 31, 2014 we owned 18 vessels with a total capacity of 74,412 TEU with an average age, weighted by TEU capacity, of 10.7 years. All of the vessels are fixed on charters, mainly long term, with an average remaining term of 5.5 years, or 6.4 years on a weighted by capacity basis, excluding two vessels which are fixed in the short term charter market.</w:t>
      </w:r>
    </w:p>
    <w:p>
      <w:pPr>
        <w:spacing w:after="0" w:line="18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10,737,004 common shares held by Marathon’s initial stockholders were registered for sale under Form F-3 filed with the Securities and Exchange Commission on July 28, 2014. The registration and availability of such a significant number of securities for trading in the public market may have an adverse effect on the market price of our Class A common shares.</w:t>
      </w:r>
    </w:p>
    <w:p>
      <w:pPr>
        <w:spacing w:after="0" w:line="181"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On October 28, 2014 we purchased OOCL Tianjin from OOCL and immediately chartered the vessel back to OOCL for a period of 36 to 39 months, at charterer’s option with 60 days’ notice of re-delivery.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170"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We have entered into ship management agreements with third party ship managers for the day-to-day technical management of our current fleet of vessels. See Item 4.B. “Information on the Company—Business Overview—Ship Management Agreements” for a more detailed description of our ship management agreements.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financial results are largely driven by the following factors:</w:t>
      </w:r>
    </w:p>
    <w:p>
      <w:pPr>
        <w:spacing w:after="0" w:line="131" w:lineRule="exact"/>
        <w:rPr>
          <w:sz w:val="20"/>
          <w:szCs w:val="20"/>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terms under which we will recharter our vessels once the existing time charters have expired, including the two vessels whose existing charters can expire on 30 days’ notice;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30" w:lineRule="exact"/>
        <w:rPr>
          <w:rFonts w:ascii="Arial" w:cs="Arial" w:eastAsia="Arial" w:hAnsi="Arial"/>
          <w:sz w:val="18"/>
          <w:szCs w:val="18"/>
          <w:color w:val="auto"/>
        </w:rPr>
      </w:pPr>
    </w:p>
    <w:p>
      <w:pPr>
        <w:ind w:left="1460" w:right="200" w:hanging="547"/>
        <w:spacing w:after="0" w:line="264" w:lineRule="auto"/>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market value of any interest rate derivatives;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access to, and the pricing and other terms of, our revolving credit facility.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entered into mainly long-term fixed rate time charters for all of our vessels. We expect that our base revenue will be largely fixed until</w:t>
      </w:r>
    </w:p>
    <w:p>
      <w:pPr>
        <w:spacing w:after="0" w:line="46" w:lineRule="exact"/>
        <w:rPr>
          <w:sz w:val="20"/>
          <w:szCs w:val="20"/>
          <w:color w:val="auto"/>
        </w:rPr>
      </w:pPr>
    </w:p>
    <w:p>
      <w:pPr>
        <w:ind w:right="80" w:firstLine="8"/>
        <w:spacing w:after="0" w:line="253"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of our charters expire or otherwise terminate when we will need to seek a renewal or recharter, at possibly a significantly different rate depending on market conditions at the time, or (b) we acquire additional vessels. Our time charter agreements on two vessels are on 30 days’ notice and expire at the latest by June 3, 2015 and July 17, 2015. The charter rate that we would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9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CMA CGM is our main customer and charter payments from CMA CGM are our principal source of operating cash flow. At any given time in the future, the cash resources of CMA CGM may be diminished or exhausted, and we cannot assure you that CMA CGM will be able to make charter payments to us. The container shipping industry suffered a cyclical downturn in 2011 and many container shipping companies reported substantial losses. Financial performance of container shipping companies improved in 2012 however, the industry remains under pressure due to oversupply of container ship capacity. Whilst charter payments have been received on a timely basis in the past few months, we have experienced, from time to time, delays in receiving charterhire payments from CMA CGM. For example, in the year ended December 31, 2013, between one and three instalments were outstanding at any one time, which under the charter contracts are due to be paid on the 1</w:t>
      </w:r>
      <w:r>
        <w:rPr>
          <w:rFonts w:ascii="Arial" w:cs="Arial" w:eastAsia="Arial" w:hAnsi="Arial"/>
          <w:sz w:val="14"/>
          <w:szCs w:val="14"/>
          <w:color w:val="auto"/>
        </w:rPr>
        <w:t>st</w:t>
      </w:r>
      <w:r>
        <w:rPr>
          <w:rFonts w:ascii="Arial" w:cs="Arial" w:eastAsia="Arial" w:hAnsi="Arial"/>
          <w:sz w:val="17"/>
          <w:szCs w:val="17"/>
          <w:color w:val="auto"/>
        </w:rPr>
        <w:t xml:space="preserve"> and 16</w:t>
      </w:r>
      <w:r>
        <w:rPr>
          <w:rFonts w:ascii="Arial" w:cs="Arial" w:eastAsia="Arial" w:hAnsi="Arial"/>
          <w:sz w:val="14"/>
          <w:szCs w:val="14"/>
          <w:color w:val="auto"/>
        </w:rPr>
        <w:t>th</w:t>
      </w:r>
      <w:r>
        <w:rPr>
          <w:rFonts w:ascii="Arial" w:cs="Arial" w:eastAsia="Arial" w:hAnsi="Arial"/>
          <w:sz w:val="17"/>
          <w:szCs w:val="17"/>
          <w:color w:val="auto"/>
        </w:rPr>
        <w:t xml:space="preserve"> of each month, in advance. As at December 31, 2014, charterhire was up-to-date. If CMA CGM is unable to make charter payments to us, our results of operations and financial condition will be materially adversely affected. If our existing charters with CMA CGM were terminated and we were required to recharter at lower rates or if we were unable to find new charters due to market conditions, our results of operations and financial condition would be materially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On March 11, 2015 we purchased OOCL Qingdao from OOCL and immediately chartered the vessel back to OOCL for a period of 36 to 39 months, at charterer’s option with 60 days’ notice of re-delivery.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which expired in September 2013. CMA CGM received consideration consisting of 6,778,650 Class A common shares, 3,934,050 Class B common shares, 12,375,000 Class C common shares (which converted into Class A common shares in accordance with their terms on January 1, 2009), 1,000 Series A preferred shares with $48,000,000 of aggregate liquidation preference, warrants to acquire 3,131,900 Class A common shares at an exercise price of $9.25 which expired in September 2013, and $18,570,135 in cash.</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principal accounting policies, some of which involve a high degree of judgment, and the methods of their application.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a further description of our material accounting policies, please see note 3 to the consolidated financial statements included at Item 18.</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Our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lease and similar transactions</w:t>
      </w:r>
    </w:p>
    <w:p>
      <w:pPr>
        <w:spacing w:after="0" w:line="117" w:lineRule="exact"/>
        <w:rPr>
          <w:sz w:val="20"/>
          <w:szCs w:val="20"/>
          <w:color w:val="auto"/>
        </w:rPr>
      </w:pPr>
    </w:p>
    <w:p>
      <w:pPr>
        <w:jc w:val="both"/>
        <w:ind w:right="260" w:firstLine="913"/>
        <w:spacing w:after="0" w:line="286" w:lineRule="auto"/>
        <w:rPr>
          <w:sz w:val="20"/>
          <w:szCs w:val="20"/>
          <w:color w:val="auto"/>
        </w:rPr>
      </w:pPr>
      <w:r>
        <w:rPr>
          <w:rFonts w:ascii="Arial" w:cs="Arial" w:eastAsia="Arial" w:hAnsi="Arial"/>
          <w:sz w:val="17"/>
          <w:szCs w:val="17"/>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Vessels</w:t>
      </w:r>
    </w:p>
    <w:p>
      <w:pPr>
        <w:spacing w:after="0" w:line="117"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Vessels represent our most significant tangible assets. Up to the date of the Merger, vessels were recorded in the financial statements at their purchase price, with an amount allocated to a drydock component and less accumulated depreciation. Vessels owned at the date of the Merger were subsequently recorded at their fair value at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date of the Merger, with an amount allocated to a drydock component, less a proportion of the negative goodwill arising at the time of the Merger allocated to these vessels and less accumulated depreciation. Vessels purchased subsequent to the Merger are stated at purchase price, which consists of the contract price and any material expenses incurred upon acquisition (including initial repairs, improvements and delivery expenses, interest and on-site supervision costs incurred during the construction periods and drydock component, where relevant). Expenditures for conversions and major improvements are also capitalized when they appreciably extend the life, increase the earning capacity or improve the efficiency or safety of the vessels.</w:t>
      </w:r>
    </w:p>
    <w:p>
      <w:pPr>
        <w:spacing w:after="0" w:line="158"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depreciate our vessels based on a straight line basis over the expected useful life of each vessel, which are reviewed on an ongoing basis to ensure they reflect current technology, service potential and vessel structure. The useful lives are estimated to be 30 years from first delivery from the shipyard which we believe is within industry standards for containership owners and represents the most reasonable useful life for each of our vessels. Depreciation is based on the cost (or fair value, where relevant) of the vessel less its estimated residual value. Subsequent expenditures for major improvements and upgrading are capitalized, provided they appreciably extend the life, increase the earning capacity or improve the efficiency or safety of the vessels.</w:t>
      </w:r>
    </w:p>
    <w:p>
      <w:pPr>
        <w:spacing w:after="0" w:line="193"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Borrowing costs incurred during the construction of vessels or as part of the prefinancing of the acquisition of vessels are capitalized. Other borrowing costs are expensed as incurred.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Prepayments and costs directly related to the future acquisition of vessels are presented in the consolidated balance sheet as vessel deposits.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Drydocking</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Our vessels are drydocked approximately every five years for their special survey and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which are typically at five year intervals. Other expenditures relating to maintenance and repairs are expensed when incurred.</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70"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Costs capitalized as part of the drydock include costs directly associated with the special survey of the ship, its hull and its machinery and for the defouling and repainting of the hull. Any cost of repair to hull or machinery that extends useful life is capitalized. Other repair costs are expensed. Two drydockings were completed for regulatory reasons in 2014. In addition, CMA CGM Thalassa was drydocked in December 2014, principally to modify the bulbous bow to allow for more efficient fuel consumption at lower speeds. Regular drydocking work was also undertaken, including repainting the underwater parts. The total cost of these three drydockings, excluding the effect of offhire and the work to modify the bulbous bow, was $4.1 million. There were two drydockings in 2013 for a total cost of $2.1 million, six dry dockings in 2012 for a total cost of $7.1 million, six in 2011 for a total cost of $7.9 million and none in 2010.</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accordance with ASC Topic 360, “Accounting for the Impairment or Disposal of Long-Lived Assets” our long-lived assets are regularly reviewed for impairment. We perform the impairment test at the individual vessel level pursuant to paragraph 10 of ASC Topic 360 when events or changes in circumstances indicate that their carrying amounts may not be recoverable.</w:t>
      </w:r>
    </w:p>
    <w:p>
      <w:pPr>
        <w:spacing w:after="0" w:line="181"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Vessels are reviewed individually for impairment.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present value of future cash flows discounted by an appropriate discount rate.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Due to continuing poor industry conditions, impairment tests have been carried out on a vessel by vessel basis a number of times in recent years.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 impairment was identified. A further impairment test on a vessel by vessel basis was performed as at December 31, 2014. No impairment was identified.</w:t>
      </w:r>
    </w:p>
    <w:p>
      <w:pPr>
        <w:spacing w:after="0" w:line="234"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assumptions used involve a considerable degree of estimation on the part of our management.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w:t>
      </w:r>
    </w:p>
    <w:p>
      <w:pPr>
        <w:spacing w:after="0" w:line="87" w:lineRule="exact"/>
        <w:rPr>
          <w:sz w:val="20"/>
          <w:szCs w:val="20"/>
          <w:color w:val="auto"/>
        </w:rPr>
      </w:pPr>
    </w:p>
    <w:p>
      <w:pPr>
        <w:ind w:left="1460" w:right="120" w:hanging="547"/>
        <w:spacing w:after="0" w:line="277" w:lineRule="auto"/>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charter rates on expiry of existing charters, which are based on a reversion to the historical mean for each category of vessel, adjusted to reflect current and expected market conditions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off-hire days, which are based on actual off-hire statistics for our fleet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costs, based on current levels escalated over time based on long term trends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dry docking frequency, duration and cost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estimated useful life which is assessed as a total of 30 years from first delivery from the shipyard.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the case of an indication of impairment, the results of a recoverability test would also be sensitive to the discount rate applied.</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70"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 flows. An impairment loss will be recognized if the book value of the vessel exceeds the sum of the discounted cash flows expected to result from the use and eventual disposition of the vessel.</w:t>
      </w:r>
    </w:p>
    <w:p>
      <w:pPr>
        <w:spacing w:after="0" w:line="173"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Based on the assumptions made, the expected undiscounted future cash flows exceeded each of the vessel’s carrying amounts at each of the test dates disclosed above and accordingly no impairment has been recognized.</w:t>
      </w:r>
    </w:p>
    <w:p>
      <w:pPr>
        <w:spacing w:after="0" w:line="170"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Although we currently intend to continue to hold and operate all of our vessels, the following table presents information with respect to the carrying value of our vessels and indicates whether their estimated market values based on charter attached valuations as at April 10, 2015 prepared by an independent ship broking firm are below their carrying values as at December 31, 2014. The carrying value of each of the vessels does not necessarily represent its fair market value or the amount that could be obtained if the vessel were sold. We would not record an impairment for any of the vessels for which the market value based on charter attached valuations is below its carrying value unless and until we either determine to sell the vessel for a loss or determine that the vessel’s carrying amount is not recoverable. We believe that the undiscounted cash flows over the estimated remaining useful lives for those vessels that show estimated market values below their carrying values, exceed such vessels’ carrying values as at December 31, 2014, and accordingly have not recorded an impairment charge.</w:t>
      </w:r>
    </w:p>
    <w:p>
      <w:pPr>
        <w:spacing w:after="0" w:line="179"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Capacity in</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Purchase Price</w:t>
            </w:r>
            <w:r>
              <w:rPr>
                <w:rFonts w:ascii="Arial" w:cs="Arial" w:eastAsia="Arial" w:hAnsi="Arial"/>
                <w:sz w:val="12"/>
                <w:szCs w:val="12"/>
                <w:b w:val="1"/>
                <w:bCs w:val="1"/>
                <w:color w:val="auto"/>
                <w:w w:val="91"/>
              </w:rPr>
              <w:t>(1)</w:t>
            </w:r>
          </w:p>
        </w:tc>
        <w:tc>
          <w:tcPr>
            <w:tcW w:w="280" w:type="dxa"/>
            <w:vAlign w:val="bottom"/>
          </w:tcPr>
          <w:p>
            <w:pPr>
              <w:spacing w:after="0"/>
              <w:rPr>
                <w:sz w:val="14"/>
                <w:szCs w:val="1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Carrying Value</w:t>
            </w:r>
            <w:r>
              <w:rPr>
                <w:rFonts w:ascii="Arial" w:cs="Arial" w:eastAsia="Arial" w:hAnsi="Arial"/>
                <w:sz w:val="12"/>
                <w:szCs w:val="12"/>
                <w:b w:val="1"/>
                <w:bCs w:val="1"/>
                <w:color w:val="auto"/>
                <w:w w:val="95"/>
              </w:rPr>
              <w:t>(2)</w:t>
            </w:r>
          </w:p>
        </w:tc>
        <w:tc>
          <w:tcPr>
            <w:tcW w:w="0" w:type="dxa"/>
            <w:vAlign w:val="bottom"/>
          </w:tcPr>
          <w:p>
            <w:pPr>
              <w:spacing w:after="0"/>
              <w:rPr>
                <w:sz w:val="1"/>
                <w:szCs w:val="1"/>
                <w:color w:val="auto"/>
              </w:rPr>
            </w:pPr>
          </w:p>
        </w:tc>
      </w:tr>
      <w:tr>
        <w:trPr>
          <w:trHeight w:val="149"/>
        </w:trPr>
        <w:tc>
          <w:tcPr>
            <w:tcW w:w="61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Vessel Name</w:t>
            </w:r>
          </w:p>
        </w:tc>
        <w:tc>
          <w:tcPr>
            <w:tcW w:w="126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Year Built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 millions of</w:t>
            </w:r>
          </w:p>
        </w:tc>
        <w:tc>
          <w:tcPr>
            <w:tcW w:w="0" w:type="dxa"/>
            <w:vAlign w:val="bottom"/>
          </w:tcPr>
          <w:p>
            <w:pPr>
              <w:spacing w:after="0"/>
              <w:rPr>
                <w:sz w:val="1"/>
                <w:szCs w:val="1"/>
                <w:color w:val="auto"/>
              </w:rPr>
            </w:pPr>
          </w:p>
        </w:tc>
      </w:tr>
      <w:tr>
        <w:trPr>
          <w:trHeight w:val="171"/>
        </w:trPr>
        <w:tc>
          <w:tcPr>
            <w:tcW w:w="6160" w:type="dxa"/>
            <w:vAlign w:val="bottom"/>
            <w:gridSpan w:val="4"/>
            <w:vMerge w:val="continue"/>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TEU</w:t>
            </w:r>
          </w:p>
        </w:tc>
        <w:tc>
          <w:tcPr>
            <w:tcW w:w="9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U.S. dollars)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U.S. dollars)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0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Ville d’Orion*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560" w:type="dxa"/>
            <w:vAlign w:val="bottom"/>
            <w:vMerge w:val="continue"/>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Ville d’Aquarius*</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4,113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1996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Matisse(G)*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2,262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Utrillo(G)*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2,262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Delmas Keta(G)*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Julie Delmas(G*)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Kumasi(G)*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Marie Delmas(G)*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2,207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La Tour(G)*</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2,272</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Manet(G)*</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2,272</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5,089</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Château d’If*</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5,089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94.0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11,040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Jamaica*</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4,298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CMA CGM America*</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4,045</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67.0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6,621</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rPr>
              <w:t>OOCL Tianjin</w:t>
            </w: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8,083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price includes an element allocated to a drydock component</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at December 31, 2014, including unamortized drydocking costs</w:t>
      </w:r>
    </w:p>
    <w:p>
      <w:pPr>
        <w:spacing w:after="0" w:line="9"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Indicates geared vessel</w:t>
      </w:r>
    </w:p>
    <w:p>
      <w:pPr>
        <w:spacing w:after="0" w:line="9" w:lineRule="exact"/>
        <w:rPr>
          <w:sz w:val="20"/>
          <w:szCs w:val="20"/>
          <w:color w:val="auto"/>
        </w:rPr>
      </w:pPr>
    </w:p>
    <w:p>
      <w:pPr>
        <w:ind w:left="460" w:right="200" w:hanging="452"/>
        <w:spacing w:after="0" w:line="255"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Indicates vessels for which we believe the market value based on charter attached valuations was lower than the vessel’s carrying value as at December 31, 2014. We believe that the aggregate carrying value of these vessels at December 31, 2014 exceeded their aggregate market value based on charter attached valuations as at April 10, 2015 by approximately $145.5 million.</w:t>
      </w:r>
    </w:p>
    <w:p>
      <w:pPr>
        <w:spacing w:after="0" w:line="19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color w:val="auto"/>
        </w:rPr>
        <w:t>Purchase price consists of the contract price and any material expenses incurred upon acquisition, initial repairs, improvements and delivery expenses, interest and on-site supervision costs incurred during the construction periods, where relevant. An element of the purchase price is allocated to a drydock component.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In connection with our Previous Credit Facility and as part of overall risk management, we entered into interest rate swap agreements to reduce our exposure to cash flow risks from floating interest rates. The swaps were not accounted for as hedging instruments as they had not been designated as such and were not effective in mitigating the risks of changes in interest rates under U.S. GAAP. As such swaps were not accounted for as hedging instruments, we recognized them on our balance sheet at fair value with the non-cash changes in the fair value of these derivative instruments (mark to market adjustment) recognized in the statement of income. The swap agreements were terminated as part of the repayment of the Previous Credit Facility on March 19, 2014. We will not hold or issue derivative financial instruments for trading or other speculative purposes.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Based Compensation</w:t>
      </w:r>
    </w:p>
    <w:p>
      <w:pPr>
        <w:spacing w:after="0" w:line="117"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have awarded restricted stock units to certain of our employees which vest, based on service conditions only, over a period of time up to three years from the award date. In addition, a portion of the base compensation paid to the directors up to 2013 was in the form of restricted stock units which vested,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expected vesting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which if currently adopted, would have a material impact on our consolidated financial statements.</w:t>
      </w:r>
    </w:p>
    <w:p>
      <w:pPr>
        <w:spacing w:after="0" w:line="170"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In May 2014, the Financial Accounting Standards Board (“FASB”) issued an accounting standards update in respect of revenue from contracts with customers (Topic 606). The update is effective for annual periods beginning after December 15, 2016 and early application is not permitted. We are currently assessing the impact of adopting this update on our financial statements.</w:t>
      </w:r>
    </w:p>
    <w:p>
      <w:pPr>
        <w:spacing w:after="0" w:line="181"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In June 2014, FASB issued an update in respect of Stock Compensation (Topic 718). The amendment requires that a performance target that affects vesting and that could be achieved after the requisite service period be treated as a performance condition. The performance condition should not be reflected in estimating the grant-date fair value of the award and the compensation cost should be recognized in the period in which it becomes probable that the performance target will be achieved and should represent the compensation cost attributable to the periods for which the requisite service has already been rendered. The amendment is effective for annual periods beginning after December 15, 2015 and early adoption is permitted. The adoption of this amendment is not expected to lead to any changes to our financial statements.</w:t>
      </w:r>
    </w:p>
    <w:p>
      <w:pPr>
        <w:sectPr>
          <w:pgSz w:w="11900" w:h="16838" w:orient="portrait"/>
          <w:cols w:equalWidth="0" w:num="1">
            <w:col w:w="11420"/>
          </w:cols>
          <w:pgMar w:left="240" w:top="459" w:right="239" w:bottom="838"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838"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5"/>
          </w:tcPr>
          <w:p>
            <w:pPr>
              <w:jc w:val="right"/>
              <w:ind w:right="91"/>
              <w:spacing w:after="0" w:line="142" w:lineRule="exact"/>
              <w:rPr>
                <w:sz w:val="20"/>
                <w:szCs w:val="20"/>
                <w:color w:val="auto"/>
              </w:rPr>
            </w:pPr>
            <w:r>
              <w:rPr>
                <w:rFonts w:ascii="Arial" w:cs="Arial" w:eastAsia="Arial" w:hAnsi="Arial"/>
                <w:sz w:val="14"/>
                <w:szCs w:val="14"/>
                <w:b w:val="1"/>
                <w:bCs w:val="1"/>
                <w:color w:val="auto"/>
                <w:w w:val="93"/>
              </w:rPr>
              <w:t>(in millions of U.S. dollars)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Time charter 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138.6</w:t>
            </w:r>
          </w:p>
        </w:tc>
        <w:tc>
          <w:tcPr>
            <w:tcW w:w="3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48.8</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on interest rate derivatives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Earnings allocated to Series B preferred shares</w:t>
            </w: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1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Revenue</w:t>
      </w:r>
    </w:p>
    <w:p>
      <w:pPr>
        <w:spacing w:after="0" w:line="11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Operating revenue reflects income under fixed rate time charters in effect and was $138.6 million in the year ended December 31, 2014, down $4.6 million on revenue of $143.2 million for 2013. The decrease in revenue is due to lower daily rates on four vessels following the extension of their charters by three years effective February 1, 2014, a total of 64 days idle time for the two 4,113 TEU vessels pending re-deployment on new charters, a reduced daily rate on Julie Delmas for 155 days during a period of reduced capability due to a damaged crane and increased offhire, offset by the contribution from OOCL Tianjin from October 28, 2014. There were 6,270 ownership days in the year ended December 31, 2014 with 60 days offhire (including 48 days for drydockings) and 64 idle days giving utilization of 98.0%. In 2013, there were 6,205 ownership days, 28 days offhire (including 21 days for drydockings) representing utilization of 99.5%.</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Operating expenses totaled $96.3 million for the year ended December 31, 2014 (or 69% of operating revenue) compared to $92.1 million for the year ended December 31, 2013 (or 64% of operating revenue).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1460" w:right="20" w:hanging="547"/>
        <w:spacing w:after="0" w:line="302" w:lineRule="auto"/>
        <w:tabs>
          <w:tab w:leader="none" w:pos="14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$48.8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2014 (or 35% of operating revenue) compared to $46.0 million for 2013 (or 32% of operating revenue). The average cost per ownership day was $7,778, up $357 or 4.8% from $7,421 for 2013. A large portion of the increase is for the cost of bunkers consumed when the two 4,113 TEU vessels were idle, between charters, and for repositioning for the commencement of the new charters.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320" w:hanging="547"/>
        <w:spacing w:after="0" w:line="308" w:lineRule="auto"/>
        <w:tabs>
          <w:tab w:leader="none" w:pos="14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 xml:space="preserve">Depreciation: </w:t>
      </w:r>
      <w:r>
        <w:rPr>
          <w:rFonts w:ascii="Arial" w:cs="Arial" w:eastAsia="Arial" w:hAnsi="Arial"/>
          <w:sz w:val="17"/>
          <w:szCs w:val="17"/>
          <w:color w:val="auto"/>
        </w:rPr>
        <w:t>Depreciation was $41.1 million (or 30% of operating revenue) for the year ended December 31, 2014, up slightly from</w:t>
      </w:r>
      <w:r>
        <w:rPr>
          <w:rFonts w:ascii="Arial" w:cs="Arial" w:eastAsia="Arial" w:hAnsi="Arial"/>
          <w:sz w:val="17"/>
          <w:szCs w:val="17"/>
          <w:i w:val="1"/>
          <w:iCs w:val="1"/>
          <w:color w:val="auto"/>
        </w:rPr>
        <w:t xml:space="preserve"> </w:t>
      </w:r>
      <w:r>
        <w:rPr>
          <w:rFonts w:ascii="Arial" w:cs="Arial" w:eastAsia="Arial" w:hAnsi="Arial"/>
          <w:sz w:val="17"/>
          <w:szCs w:val="17"/>
          <w:color w:val="auto"/>
        </w:rPr>
        <w:t>$40.4 million (or 28% of operating revenue) in 2013 in part for the additional of OOCL Tianjin on October 28, 2014.</w:t>
      </w:r>
    </w:p>
    <w:p>
      <w:pPr>
        <w:spacing w:after="0" w:line="51" w:lineRule="exact"/>
        <w:rPr>
          <w:rFonts w:ascii="Arial" w:cs="Arial" w:eastAsia="Arial" w:hAnsi="Arial"/>
          <w:sz w:val="17"/>
          <w:szCs w:val="17"/>
          <w:color w:val="auto"/>
        </w:rPr>
      </w:pPr>
    </w:p>
    <w:p>
      <w:pPr>
        <w:jc w:val="both"/>
        <w:ind w:left="1460" w:right="80" w:hanging="547"/>
        <w:spacing w:after="0" w:line="264" w:lineRule="auto"/>
        <w:tabs>
          <w:tab w:leader="none" w:pos="14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costs incurred were $7.0 million (or 5% of operating revenue)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2014, compared to $6.0 million (or 4% of operating revenue) for 2013. The increase is mainly for additional professional fees associated with increased activity levels.</w:t>
      </w:r>
    </w:p>
    <w:p>
      <w:pPr>
        <w:spacing w:after="0" w:line="86" w:lineRule="exact"/>
        <w:rPr>
          <w:rFonts w:ascii="Arial" w:cs="Arial" w:eastAsia="Arial" w:hAnsi="Arial"/>
          <w:sz w:val="18"/>
          <w:szCs w:val="18"/>
          <w:color w:val="auto"/>
        </w:rPr>
      </w:pPr>
    </w:p>
    <w:p>
      <w:pPr>
        <w:ind w:left="1460" w:right="260" w:hanging="547"/>
        <w:spacing w:after="0" w:line="342" w:lineRule="auto"/>
        <w:tabs>
          <w:tab w:leader="none" w:pos="146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income represents miscellaneous revenue mainly from carrying passengers and</w:t>
      </w:r>
      <w:r>
        <w:rPr>
          <w:rFonts w:ascii="Arial" w:cs="Arial" w:eastAsia="Arial" w:hAnsi="Arial"/>
          <w:sz w:val="16"/>
          <w:szCs w:val="16"/>
          <w:i w:val="1"/>
          <w:iCs w:val="1"/>
          <w:color w:val="auto"/>
        </w:rPr>
        <w:t xml:space="preserve"> </w:t>
      </w:r>
      <w:r>
        <w:rPr>
          <w:rFonts w:ascii="Arial" w:cs="Arial" w:eastAsia="Arial" w:hAnsi="Arial"/>
          <w:sz w:val="16"/>
          <w:szCs w:val="16"/>
          <w:color w:val="auto"/>
        </w:rPr>
        <w:t>sundry recharges under the time charters. In the year ended December 31, 2014 it was $0.5 million, compared to $0.4 million in 2013.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As a consequence of all preceding items, operating income was $42.3 million (or 31% of operating revenue) for the year ended December 31, 2014 compared to $51.2 million (or 36% of operating revenue) in 2013.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income on cash held by us for the year ended December 31, 2014 was $64,000 compared to $44,000 for 2013.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excluding the effect of interest rate derivatives which do not qualify for hedge accounting, for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2014 was $43.9 million (or 32% of operating revenue). Total average borrowings during the year, including the Previous Credit Facility until it was repaid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March 19, 2014, the notes from their date of issuance on March 19, 2014 and the Series A preferred shares until their redemption on August 22, 2014,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$437.4 million. Interest expense for 2013 was $18.8 million (or 13% of operating revenue) on average borrowings, including the Series A preferred shares,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$450.1 million. The increase in interest cost in 2014 is due mainly to a higher rate of interest of 10.0% on the notes compared to approximately 4.0% 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Previous Credit Facility and the Series A Preferred Shares.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Redemption of Series A Preferred Shares</w:t>
      </w:r>
    </w:p>
    <w:p>
      <w:pPr>
        <w:spacing w:after="0" w:line="117"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The Series A preferred shares, which had a liquidation value at maturity of $45.0 million, were redeemed at a discount pursuant to a Share Repurchase Agreement for $36.4 million on August 22, 2014, using the proceeds received from the issuance of the Series B preferred shares, the balance of the restricted cash and cash on hand. The transaction resulted in a non-cash gain of $8.6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 on Derivatives</w:t>
      </w:r>
    </w:p>
    <w:p>
      <w:pPr>
        <w:spacing w:after="0" w:line="1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A total of $277.0 million of interest rate derivatives at a weighted average rate of 3.82% was outstanding from January 1, 2014 to March 19, 2014, when they were terminated concurrently with the repayment and termination of the Previous Credit Facility The derivative hedging instruments gave a realized loss of $2.8 million (or 2% of operating revenue) in the year ended December 31, 2014 for settlements in the period, as current USD LIBOR rates were lower than the average fixed rate. This compares to a realized loss of $14.0 million (or 10% of operating revenue) in the year ended December 31, 2013. These interest rate derivatives did not qualify for hedge accounting under U.S. GAAP, and were marked to market at each period end with any change in the fair value being booked to the income and expenditure account. There was a $1.9 million unrealized gain in the year ended December 31, 2014 for revaluation of the balance sheet position given current USD LIBOR and movements in the forward curve for interest rates. This compares to an unrealized gain of $14.3 million in the comparative period.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Taxation for the year ended December 31, 2014 and the year ended December 31, 2013 was not material as the vessel owning subsidiaries were subject to taxation based on tonnage rather than accounting profits.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Net income for the year ended December 31, 2014 was $6.1 million including the $8.6 million gain on redemption of the Series A preferred shares and $1.9 million non-cash interest rate derivative mark-to-market gain. For the year ended December 31, 2013 net income was $32.5 million, including $14.3 million non-cash interest rate derivative mark-to-market gain. The decline in net income is due mainly to lower revenue as a result of the extensions to the four charters and idle time for the two 4,113 TEU vessels together with lower unrealized gains on interest rate derivatives, partly offset by the gain on redemption of the Series A preferred shares and lower realized losses on interest rate derivatives.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Allocated to Series B Preferred Shares</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dividends payable on the $35.0 million Series B preferred shares issued on August 20, 2014 of $1.1 million are presented as a reduction of Net Income, as and when declared by the Board of Directors.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Available to Common Shareholders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Net income available to common shareholders was $5.0 million for the year ended December 31, 2014 compared to $32.5 million for 2013.</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Year ended December 31,</w:t>
            </w: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00" w:type="dxa"/>
            <w:vAlign w:val="bottom"/>
            <w:gridSpan w:val="4"/>
          </w:tcPr>
          <w:p>
            <w:pPr>
              <w:jc w:val="center"/>
              <w:ind w:left="335"/>
              <w:spacing w:after="0" w:line="119" w:lineRule="exact"/>
              <w:rPr>
                <w:sz w:val="20"/>
                <w:szCs w:val="20"/>
                <w:color w:val="auto"/>
              </w:rPr>
            </w:pPr>
            <w:r>
              <w:rPr>
                <w:rFonts w:ascii="Arial" w:cs="Arial" w:eastAsia="Arial" w:hAnsi="Arial"/>
                <w:sz w:val="13"/>
                <w:szCs w:val="13"/>
                <w:b w:val="1"/>
                <w:bCs w:val="1"/>
                <w:color w:val="auto"/>
              </w:rPr>
              <w:t>(unaudited)</w:t>
            </w: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2"/>
              </w:rPr>
              <w:t>(in millions of U.S. dollars)</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Time charter revenue</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143.2</w:t>
            </w:r>
          </w:p>
        </w:tc>
        <w:tc>
          <w:tcPr>
            <w:tcW w:w="3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8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w:t>
            </w:r>
          </w:p>
        </w:tc>
        <w:tc>
          <w:tcPr>
            <w:tcW w:w="3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18"/>
                <w:szCs w:val="18"/>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(18.8)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interest rate derivatives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w:t>
            </w: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Unrealized gain on interest rate derivatives</w:t>
            </w:r>
          </w:p>
        </w:tc>
        <w:tc>
          <w:tcPr>
            <w:tcW w:w="17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r>
              <w:rPr>
                <w:rFonts w:ascii="Arial" w:cs="Arial" w:eastAsia="Arial" w:hAnsi="Arial"/>
                <w:sz w:val="18"/>
                <w:szCs w:val="18"/>
                <w:u w:val="single" w:color="auto"/>
                <w:color w:val="auto"/>
              </w:rPr>
              <w:t>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r>
              <w:rPr>
                <w:rFonts w:ascii="Arial" w:cs="Arial" w:eastAsia="Arial" w:hAnsi="Arial"/>
                <w:sz w:val="18"/>
                <w:szCs w:val="18"/>
                <w:u w:val="single" w:color="auto"/>
                <w:color w:val="auto"/>
              </w:rPr>
              <w:t>9</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Operating Revenue</w:t>
      </w:r>
    </w:p>
    <w:p>
      <w:pPr>
        <w:spacing w:after="0" w:line="117" w:lineRule="exact"/>
        <w:rPr>
          <w:sz w:val="20"/>
          <w:szCs w:val="20"/>
          <w:color w:val="auto"/>
        </w:rPr>
      </w:pPr>
    </w:p>
    <w:p>
      <w:pPr>
        <w:jc w:val="both"/>
        <w:ind w:right="200" w:firstLine="913"/>
        <w:spacing w:after="0" w:line="312" w:lineRule="auto"/>
        <w:rPr>
          <w:sz w:val="20"/>
          <w:szCs w:val="20"/>
          <w:color w:val="auto"/>
        </w:rPr>
      </w:pPr>
      <w:r>
        <w:rPr>
          <w:rFonts w:ascii="Arial" w:cs="Arial" w:eastAsia="Arial" w:hAnsi="Arial"/>
          <w:sz w:val="16"/>
          <w:szCs w:val="16"/>
          <w:color w:val="auto"/>
        </w:rPr>
        <w:t>Operating revenue reflects income under fixed rate time charters in effect and was $143.2 million in the year ended December 31, 2013, down $10.0 million on revenue of $153.2 million for the comparative period in 2012. The decrease in revenue is due to reduced revenue from two charters which were renewed in September 2012 and May 2013 at successively lower rates and an aggregate of 17 fewer ownership days as 2012 was a leap year,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color w:val="auto"/>
        </w:rPr>
        <w:t>offset by lower offhire. There were 6,205 ownership days in the year ended December 31, 2013 with 28 days offhire (including 21 days for planned drydockings) giving utilization of 99.5%. In the comparative period of 2012, there were 98 days offhire (including 82 days for planned drydockings) representing utilization of 98.4%.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Operating expenses totaled $92.1 million for the year ended December 31, 2013 (or 64% of operating revenue) compared to $91.4 million for the year ended December 31, 2012 (or 60% of operating revenue).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Operating expenses can be analyzed as follows:</w:t>
      </w:r>
    </w:p>
    <w:p>
      <w:pPr>
        <w:spacing w:after="0" w:line="131" w:lineRule="exact"/>
        <w:rPr>
          <w:sz w:val="20"/>
          <w:szCs w:val="20"/>
          <w:color w:val="auto"/>
        </w:rPr>
      </w:pPr>
    </w:p>
    <w:p>
      <w:pPr>
        <w:ind w:left="1460" w:right="240" w:hanging="547"/>
        <w:spacing w:after="0" w:line="312" w:lineRule="auto"/>
        <w:tabs>
          <w:tab w:leader="none" w:pos="1460"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Vessel expenses</w:t>
      </w:r>
      <w:r>
        <w:rPr>
          <w:rFonts w:ascii="Arial" w:cs="Arial" w:eastAsia="Arial" w:hAnsi="Arial"/>
          <w:sz w:val="16"/>
          <w:szCs w:val="16"/>
          <w:color w:val="auto"/>
        </w:rPr>
        <w:t>: Vessel expenses, which relate to the operation of the vessels themselves, were $46.0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2013 (or 32% of operating revenue) compared to $45.6 million for the comparative period in 2012 (or 30% of operating revenue). The average cost per ownership day was $7,421, up $94 or 1.2% from $7,327 for the comparative period in 2012.</w:t>
      </w:r>
    </w:p>
    <w:p>
      <w:pPr>
        <w:spacing w:after="0" w:line="173" w:lineRule="exact"/>
        <w:rPr>
          <w:rFonts w:ascii="Arial" w:cs="Arial" w:eastAsia="Arial" w:hAnsi="Arial"/>
          <w:sz w:val="16"/>
          <w:szCs w:val="16"/>
          <w:color w:val="auto"/>
        </w:rPr>
      </w:pPr>
    </w:p>
    <w:p>
      <w:pPr>
        <w:ind w:left="1460" w:right="34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Depreciation</w:t>
      </w:r>
      <w:r>
        <w:rPr>
          <w:rFonts w:ascii="Arial" w:cs="Arial" w:eastAsia="Arial" w:hAnsi="Arial"/>
          <w:sz w:val="18"/>
          <w:szCs w:val="18"/>
          <w:color w:val="auto"/>
        </w:rPr>
        <w:t>: Depreciation was $40.4 million (or 28% of operating revenue) for the year ended December 31, 2013, slightly up from</w:t>
      </w:r>
      <w:r>
        <w:rPr>
          <w:rFonts w:ascii="Arial" w:cs="Arial" w:eastAsia="Arial" w:hAnsi="Arial"/>
          <w:sz w:val="18"/>
          <w:szCs w:val="18"/>
          <w:i w:val="1"/>
          <w:iCs w:val="1"/>
          <w:color w:val="auto"/>
        </w:rPr>
        <w:t xml:space="preserve"> </w:t>
      </w:r>
      <w:r>
        <w:rPr>
          <w:rFonts w:ascii="Arial" w:cs="Arial" w:eastAsia="Arial" w:hAnsi="Arial"/>
          <w:sz w:val="18"/>
          <w:szCs w:val="18"/>
          <w:color w:val="auto"/>
        </w:rPr>
        <w:t>$40.3 million in the comparative period (or 26% of operating revenue) in 2012.</w:t>
      </w:r>
    </w:p>
    <w:p>
      <w:pPr>
        <w:spacing w:after="0" w:line="197"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costs incurred were $6.0 million (or 4% of operating revenue)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compared to $5.8 million (or 4% of operating revenue) in the comparative period in 2012.</w:t>
      </w:r>
    </w:p>
    <w:p>
      <w:pPr>
        <w:spacing w:after="0" w:line="197" w:lineRule="exact"/>
        <w:rPr>
          <w:rFonts w:ascii="Arial" w:cs="Arial" w:eastAsia="Arial" w:hAnsi="Arial"/>
          <w:sz w:val="18"/>
          <w:szCs w:val="18"/>
          <w:color w:val="auto"/>
        </w:rPr>
      </w:pPr>
    </w:p>
    <w:p>
      <w:pPr>
        <w:jc w:val="both"/>
        <w:ind w:left="1460" w:right="460" w:hanging="547"/>
        <w:spacing w:after="0" w:line="264" w:lineRule="auto"/>
        <w:tabs>
          <w:tab w:leader="none" w:pos="14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Other operating (income) expense</w:t>
      </w:r>
      <w:r>
        <w:rPr>
          <w:rFonts w:ascii="Arial" w:cs="Arial" w:eastAsia="Arial" w:hAnsi="Arial"/>
          <w:sz w:val="18"/>
          <w:szCs w:val="18"/>
          <w:color w:val="auto"/>
        </w:rPr>
        <w:t>: Other operating income represents miscellaneous revenue mainly from carrying passengers and</w:t>
      </w:r>
      <w:r>
        <w:rPr>
          <w:rFonts w:ascii="Arial" w:cs="Arial" w:eastAsia="Arial" w:hAnsi="Arial"/>
          <w:sz w:val="18"/>
          <w:szCs w:val="18"/>
          <w:i w:val="1"/>
          <w:iCs w:val="1"/>
          <w:color w:val="auto"/>
        </w:rPr>
        <w:t xml:space="preserve"> </w:t>
      </w:r>
      <w:r>
        <w:rPr>
          <w:rFonts w:ascii="Arial" w:cs="Arial" w:eastAsia="Arial" w:hAnsi="Arial"/>
          <w:sz w:val="18"/>
          <w:szCs w:val="18"/>
          <w:color w:val="auto"/>
        </w:rPr>
        <w:t>sundry recharges under the time charters. In the year ended December 31, 2013 it was $0.4 million, compared to $0.3 million in the comparative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As a consequence of all preceding items, operating income was $51.2 million (or 36% of operating revenue) for the year ended December 31, 2013 compared to $61.8 million (or 40% of operating revenue) in the comparative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Interest income on cash held by us for the year ended December 31, 2014 was $44,000 compared to $79,000 for the previous year.</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for the year ended December 31, 2013 was $18.8 million (or 13% of operating revenue). Total average borrowings, including the Series A preferred shares, through the year ended December 31, 2013 was $450.1 million. Interest expense in the comparative period in 2012 was $21.2 million (or 14% of operating revenue) on average borrowings, including the preferred shares, of $509.6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Realized and Unrealized Gain on Derivatives</w:t>
      </w:r>
    </w:p>
    <w:p>
      <w:pPr>
        <w:spacing w:after="0" w:line="117" w:lineRule="exact"/>
        <w:rPr>
          <w:sz w:val="20"/>
          <w:szCs w:val="20"/>
          <w:color w:val="auto"/>
        </w:rPr>
      </w:pPr>
    </w:p>
    <w:p>
      <w:pPr>
        <w:ind w:right="260" w:firstLine="913"/>
        <w:spacing w:after="0" w:line="302" w:lineRule="auto"/>
        <w:rPr>
          <w:sz w:val="20"/>
          <w:szCs w:val="20"/>
          <w:color w:val="auto"/>
        </w:rPr>
      </w:pPr>
      <w:r>
        <w:rPr>
          <w:rFonts w:ascii="Arial" w:cs="Arial" w:eastAsia="Arial" w:hAnsi="Arial"/>
          <w:sz w:val="16"/>
          <w:szCs w:val="16"/>
          <w:color w:val="auto"/>
        </w:rPr>
        <w:t>A total of $580.0 million of interest rate derivatives at a weighted average rate of 3.59% was outstanding from January 1, 2013 to March 17, 2013, when $253.0 million of interest rate derivatives expired. The remaining $327 million of interest rate derivatives were at a weighted average rate of 3.74%. A further $50 million of interest rate derivatives expired on November 29, 2013. The remaining $277 million of interest rate derivatives were at an average rate of 3.82%. Our interest rate derivatives were terminated as part of the repayment of the Previous Credit Facility on March 19, 2014.</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derivative hedging instruments gave a realized loss of $14.0 million (or 10% of operating revenue) in the year ended December 31, 2013 for settlements in the period, as current USD LIBOR rates were lower than the average fixed rate. This compares to a realized loss of $18.4 million (or 12% of operating revenue) in the year ended December 31, 2012. The reduction in realized loss is due mainly to the expiration of $253.0 million of cover in March 2013. These interest rate derivatives did not qualify for hedge accounting under U.S. GAAP, and were marked to market at each period end with any change in the fair value being booked to the income and expenditure account. There was a $14.3 million unrealized gain in the year ended December 31, 2013 for revaluation of the balance sheet position given current USD LIBOR and movements in the forward curve for interest rates. This compares to an unrealized gain of $9.7 million in the comparative period.</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Unrealized mark-to-market adjustments had no impact on operating performance or cash generation in the period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Taxation for the year ended December 31, 2013 and the year ended December 31, 2012 was not material.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17" w:lineRule="exact"/>
        <w:rPr>
          <w:sz w:val="20"/>
          <w:szCs w:val="20"/>
          <w:color w:val="auto"/>
        </w:rPr>
      </w:pPr>
    </w:p>
    <w:p>
      <w:pPr>
        <w:ind w:right="140" w:firstLine="913"/>
        <w:spacing w:after="0" w:line="302" w:lineRule="auto"/>
        <w:rPr>
          <w:sz w:val="20"/>
          <w:szCs w:val="20"/>
          <w:color w:val="auto"/>
        </w:rPr>
      </w:pPr>
      <w:r>
        <w:rPr>
          <w:rFonts w:ascii="Arial" w:cs="Arial" w:eastAsia="Arial" w:hAnsi="Arial"/>
          <w:sz w:val="16"/>
          <w:szCs w:val="16"/>
          <w:color w:val="auto"/>
        </w:rPr>
        <w:t>Net income for the year ended December 31, 2013 was $32.5 million including $14.3 million non-cash interest rate derivative mark-to-market gain. For the year ended December 31, 2012 net income was $31.9 million, including $9.7 million non-cash interest rate derivative mark-to-market gain. Reduced interest charges in 2013 on lower average outstanding debt, together with lower realized losses on interest rate derivatives as the outstanding cover was reduced and increased unrealized gains on interest rate derivatives largely offset reduced revenue from revised charter arrangements on two vessels.</w:t>
      </w:r>
    </w:p>
    <w:p>
      <w:pPr>
        <w:spacing w:after="0" w:line="299"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Capital Resources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Liquidity, working capital and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general and administrative expenses, interest and other financing costs including where appropriate the settlement of interest rate derivatives. In addition, each of our vessels is subject to a drydock every five years. The average cost of the 18 drydockings completed between April 2011 and January 2015 was $1.3 million with an average loss of revenue of $0.3 million whilst the relevant vessel was offhire. Two vessels completed their scheduled drydockings in 2014. In addition, CMA CGM Thalassa was dry-docked on a discretionary basis mainly to modify the bulbous bow to improve fuel efficiency at slow speeds. The OOCL Tianjin was dry-docked in January 2015; no further regulatory drydockings are scheduled in 2015. We have included a schedule of the next anticipated drydocking date for each of our vessels in “Business—Inspection by Classification Societies.”</w:t>
      </w:r>
    </w:p>
    <w:p>
      <w:pPr>
        <w:spacing w:after="0" w:line="166" w:lineRule="exact"/>
        <w:rPr>
          <w:sz w:val="20"/>
          <w:szCs w:val="20"/>
          <w:color w:val="auto"/>
        </w:rPr>
      </w:pPr>
    </w:p>
    <w:p>
      <w:pPr>
        <w:ind w:right="80" w:firstLine="913"/>
        <w:spacing w:after="0" w:line="253" w:lineRule="auto"/>
        <w:rPr>
          <w:sz w:val="20"/>
          <w:szCs w:val="20"/>
          <w:color w:val="auto"/>
        </w:rPr>
      </w:pPr>
      <w:r>
        <w:rPr>
          <w:rFonts w:ascii="Arial" w:cs="Arial" w:eastAsia="Arial" w:hAnsi="Arial"/>
          <w:sz w:val="18"/>
          <w:szCs w:val="18"/>
          <w:color w:val="auto"/>
        </w:rPr>
        <w:t>The main factor affecting operating cashflow in a period is the timing of the receipt of charterhire, which is due to be paid in advance, on the 1st and 16th of each month for vessels on charter to CMA CGM and every two weeks based on the start date of the charter in the case of our other charterers. From January 1, 2012 through December 31, 2013, all of our cash in excess of $20 million measured at the end of the month prior to each quarter end, was been swept at the quarter end to repay drawings under the Previous Credit Facility. As a consequence, cash and cash equivalents on hand at the end of each quarter up to that date did not vary significantly. After that date the main factors affecting quarter end cash are the timing of the payment of interest on the notes, which is due to be paid semi-annually on April 1 and October 1 each year, commencing October 1, 2014 and the result of the Excess Cash Flow offer, up to a maximum of $20 million per annum commencing in 2015, which we are required to make within 120 days of the year end. Beginning on March 11, 2015, we are required to make interest payments under the revolving credit facility. Assuming LIBOR to be 0.5%, quarterly interest on the fully drawn revolving</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credit facility of $40.0 million would amount to approximately $0.4 million. In addition, we intend to declare and make quarterly dividend payments amounting to approximately $0.8 million per quarter on our Series B preferred shares.</w:t>
      </w:r>
    </w:p>
    <w:p>
      <w:pPr>
        <w:spacing w:after="0" w:line="17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Other than costs for drydocking, there were no other material current commitments for capital expenditures or other known and reasonably likely material cash requirements other than in respect of our growth strategy. Changes to the regulatory environment may lead to additional capital expenditure. For example, compliance with environmental regulations regarding ballast water management may require us to fit ballast water management systems to our vessels, although not before the first scheduled drydocking after January 1, 2016. See Item 4.B. “Information on the Company—Business Overview— Environmental and Other Regulations—Ballast Water Management.”</w:t>
      </w:r>
    </w:p>
    <w:p>
      <w:pPr>
        <w:spacing w:after="0" w:line="188" w:lineRule="exact"/>
        <w:rPr>
          <w:sz w:val="20"/>
          <w:szCs w:val="20"/>
          <w:color w:val="auto"/>
        </w:rPr>
      </w:pPr>
    </w:p>
    <w:p>
      <w:pPr>
        <w:ind w:right="640" w:firstLine="913"/>
        <w:spacing w:after="0" w:line="277" w:lineRule="auto"/>
        <w:rPr>
          <w:sz w:val="20"/>
          <w:szCs w:val="20"/>
          <w:color w:val="auto"/>
        </w:rPr>
      </w:pPr>
      <w:r>
        <w:rPr>
          <w:rFonts w:ascii="Arial" w:cs="Arial" w:eastAsia="Arial" w:hAnsi="Arial"/>
          <w:sz w:val="18"/>
          <w:szCs w:val="18"/>
          <w:color w:val="auto"/>
        </w:rPr>
        <w:t>We have policies in place to control treasury activities within the group. For example, all new funding must be approved by our Board of Directors and cash deposits can only be made with institutions meeting certain credit metrics.</w:t>
      </w:r>
    </w:p>
    <w:p>
      <w:pPr>
        <w:spacing w:after="0" w:line="170"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Previous Credit Facility required us to hedge at least 50% of our floating rate debt. This was achieved by entering into interest rate derivatives. The $277.0 million of swaps outstanding were terminated on March 19, 2014 when the Previous Credit Facility itself was repaid and terminated. We do not enter into derivatives for speculative purposes.</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only floating rate debt was $45.0 million of Series A preferred shares until they were redeemed on August 20, 2014. At December 31, 2014 there were no drawings under our floating rate $40.0 million revolving credit facility. The revolving credit facility was fully drawn to partly finance the purchase of OOCL Qingdao on March 11, 2015. We may enter into hedging instruments, including new interest rate swap agreements, in future to hedge our cash flows.</w:t>
      </w:r>
    </w:p>
    <w:p>
      <w:pPr>
        <w:spacing w:after="0" w:line="18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All our revenues are denominated in U.S. dollars and a portion of our expenses are denominated in currencies other than U.S. dollars. Our cash and cash equivalents are mainly held in U.S. dollars, with relatively small amounts of UK pounds sterling and Euros.</w:t>
      </w:r>
    </w:p>
    <w:p>
      <w:pPr>
        <w:spacing w:after="0" w:line="170"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Our liquidity and sources of cash changed significantly as a result of the issuance of the notes, repayment of the Previous Credit Facility and termination of the associated interest rate derivatives all in March 2014, the issue of the Series B preferred shares in August 2014 and the redemption of the Series A preferred shares, mainly from the net proceeds therefrom.</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table below shows our consolidated cash flows for each of the three years ended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2"/>
              </w:rPr>
              <w:t>Year ended</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0" w:type="dxa"/>
            <w:vAlign w:val="bottom"/>
            <w:gridSpan w:val="4"/>
          </w:tcPr>
          <w:p>
            <w:pPr>
              <w:spacing w:after="0"/>
              <w:rPr>
                <w:sz w:val="20"/>
                <w:szCs w:val="20"/>
                <w:color w:val="auto"/>
              </w:rPr>
            </w:pPr>
            <w:r>
              <w:rPr>
                <w:rFonts w:ascii="Arial" w:cs="Arial" w:eastAsia="Arial" w:hAnsi="Arial"/>
                <w:sz w:val="14"/>
                <w:szCs w:val="14"/>
                <w:b w:val="1"/>
                <w:bCs w:val="1"/>
                <w:color w:val="auto"/>
              </w:rPr>
              <w:t>December 31, 2014</w:t>
            </w:r>
          </w:p>
        </w:tc>
        <w:tc>
          <w:tcPr>
            <w:tcW w:w="560" w:type="dxa"/>
            <w:vAlign w:val="bottom"/>
          </w:tcPr>
          <w:p>
            <w:pPr>
              <w:spacing w:after="0"/>
              <w:rPr>
                <w:sz w:val="14"/>
                <w:szCs w:val="14"/>
                <w:color w:val="auto"/>
              </w:rPr>
            </w:pPr>
          </w:p>
        </w:tc>
        <w:tc>
          <w:tcPr>
            <w:tcW w:w="174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1"/>
              </w:rPr>
              <w:t>December 31, 2013</w:t>
            </w:r>
          </w:p>
        </w:tc>
        <w:tc>
          <w:tcPr>
            <w:tcW w:w="34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300" w:type="dxa"/>
            <w:vAlign w:val="bottom"/>
            <w:tcBorders>
              <w:top w:val="single" w:sz="8" w:color="auto"/>
            </w:tcBorders>
            <w:gridSpan w:val="4"/>
          </w:tcPr>
          <w:p>
            <w:pPr>
              <w:jc w:val="center"/>
              <w:ind w:right="40"/>
              <w:spacing w:after="0" w:line="142" w:lineRule="exact"/>
              <w:rPr>
                <w:sz w:val="20"/>
                <w:szCs w:val="20"/>
                <w:color w:val="auto"/>
              </w:rPr>
            </w:pPr>
            <w:r>
              <w:rPr>
                <w:rFonts w:ascii="Arial" w:cs="Arial" w:eastAsia="Arial" w:hAnsi="Arial"/>
                <w:sz w:val="14"/>
                <w:szCs w:val="14"/>
                <w:b w:val="1"/>
                <w:bCs w:val="1"/>
                <w:color w:val="auto"/>
                <w:w w:val="93"/>
              </w:rPr>
              <w:t>(in millions of U.S. dollars)</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340" w:type="dxa"/>
            <w:vAlign w:val="bottom"/>
          </w:tcPr>
          <w:p>
            <w:pPr>
              <w:spacing w:after="0"/>
              <w:rPr>
                <w:sz w:val="18"/>
                <w:szCs w:val="18"/>
                <w:color w:val="auto"/>
              </w:rPr>
            </w:pPr>
          </w:p>
        </w:tc>
        <w:tc>
          <w:tcPr>
            <w:tcW w:w="7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32.5</w:t>
            </w:r>
          </w:p>
        </w:tc>
        <w:tc>
          <w:tcPr>
            <w:tcW w:w="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Adjustments to Reconcile Net Income to Net Cash Provided by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Depreciation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40.4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Amortization of original issue discount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(2.1)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Settlements of derivative instruments which do not qualify for hedge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accounting</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14.0</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(8.6)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Movement in working capital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vessels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(55.2)</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80" w:type="dxa"/>
            <w:vAlign w:val="bottom"/>
          </w:tcPr>
          <w:p>
            <w:pPr>
              <w:spacing w:after="0" w:line="201" w:lineRule="exact"/>
              <w:rPr>
                <w:sz w:val="20"/>
                <w:szCs w:val="20"/>
                <w:color w:val="auto"/>
              </w:rPr>
            </w:pPr>
            <w:r>
              <w:rPr>
                <w:rFonts w:ascii="Arial" w:cs="Arial" w:eastAsia="Arial" w:hAnsi="Arial"/>
                <w:sz w:val="18"/>
                <w:szCs w:val="18"/>
                <w:color w:val="auto"/>
              </w:rPr>
              <w:t>Settlements and termination of derivative instruments which do not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80" w:type="dxa"/>
            <w:vAlign w:val="bottom"/>
          </w:tcPr>
          <w:p>
            <w:pPr>
              <w:ind w:left="160"/>
              <w:spacing w:after="0"/>
              <w:rPr>
                <w:sz w:val="20"/>
                <w:szCs w:val="20"/>
                <w:color w:val="auto"/>
              </w:rPr>
            </w:pPr>
            <w:r>
              <w:rPr>
                <w:rFonts w:ascii="Arial" w:cs="Arial" w:eastAsia="Arial" w:hAnsi="Arial"/>
                <w:sz w:val="18"/>
                <w:szCs w:val="18"/>
                <w:color w:val="auto"/>
              </w:rPr>
              <w:t>qualify for hedge accounting</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(22.1)</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(80.1)</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Repayment of credit facility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(366.4)</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(59.3)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413.7</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Deferred financing costs incurred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(15.8)</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Series B preferred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A preferred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Series B preferred shares – dividends paid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676" w:gutter="0" w:footer="0" w:header="0"/>
        </w:sect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459" w:right="239" w:bottom="676"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Net cash provided by operating activities was $60.9 million for the year ended December 31, 2014 reflecting mainly net income of $6.1 million, adjusted for depreciation of $41.1 million, amortization of deferred charges and original issue discount of $6.8 million, settlement of hedges which do not qualify for hedge accounting of $2.8 million, share based compensation of $0.2 million and movements in working capital of $16.6 million less change in fair value of derivatives of $1.9 million, amortization of intangible liabilities of $2.1 million and gain on redemption of Series A preferred shares $8.6 million.</w:t>
      </w:r>
    </w:p>
    <w:p>
      <w:pPr>
        <w:spacing w:after="0" w:line="15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Net cash provided by operating activities for the year ended December 31, 2014 at $60.9 million was $13.4 million lower than in 2013 mainly due to lower operating income, down $8.9 million, from reduced revenue from the four amended and extended charters and from idle time on the two 4,113 TEU vessels, and increased interest costs following the issuance of the notes on March 19, 2014, partially offset by reduced settlement of interest rate derivatives and improved working capital as charter hire has been paid more promptly.</w:t>
      </w:r>
    </w:p>
    <w:p>
      <w:pPr>
        <w:spacing w:after="0" w:line="18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Cash flows used in investing activities for the year ended December 31, 2014 included $55.2 million for the purchase of OOCL Tianjin (nil in 2013), $22.1 million for the settlement and termination of interest rate derivatives ($14.0 million in 2013) and $2.8 million on drydocking costs ($2.6 million in 2013).</w:t>
      </w:r>
    </w:p>
    <w:p>
      <w:pPr>
        <w:spacing w:after="0" w:line="18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Cash flows from financing activities for the year ended December 31, 2014 included $413.7 million proceeds from the issuance of the notes and $33.9 million net proceeds from the issuance of the Series B preferred shares less $366.4 million repayment and termination of the Credit Facility, $36.4 million redemption of the Series A preferred shares, $15.8 million costs associated with the issuance of the notes and $1.1 million dividend paid on the Series B preferred shares. The only cashflow from financing activities in 2013 was $59.3 million repayment of the Previous Credit Facility.</w:t>
      </w:r>
    </w:p>
    <w:p>
      <w:pPr>
        <w:spacing w:after="0" w:line="154"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Overall, there was a net increase in cash and cash equivalents of $8.8 million in the year ended December 31, 2014, resulting in closing cash of $33.3 million compared to closing cash of $24.5 million at December 31,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2013 Compared to Year ended December 31, 2012</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Net cash provided by operating activities was $74.3 million for the year ended December 31, 2013 reflecting mainly net income of $32.5 million, adjusted for depreciation of $40.4 million, amortization of deferred charges of $1.4 million, settlement of hedges which do not qualify for hedge accounting of $14.0 million, share based compensation of $0.4 million and movements in working capital of $2.1 million less change in fair value of derivatives of $14.3 million and amortization of intangible liabilities of $2.1 million.</w:t>
      </w:r>
    </w:p>
    <w:p>
      <w:pPr>
        <w:spacing w:after="0" w:line="18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Net cash provided by operating activities for the year ended December 31, 2013 at $74.3 million was $9.4 million lower than in 2012 mainly as a result of lower operating income, down $10.7 million, from reduced revenues as the initial charters on the two 4,113 TEU vessels were renewed late 2012 at lower rates.</w:t>
      </w:r>
    </w:p>
    <w:p>
      <w:pPr>
        <w:spacing w:after="0" w:line="181" w:lineRule="exact"/>
        <w:rPr>
          <w:sz w:val="20"/>
          <w:szCs w:val="20"/>
          <w:color w:val="auto"/>
        </w:rPr>
      </w:pPr>
    </w:p>
    <w:p>
      <w:pPr>
        <w:ind w:right="820" w:firstLine="913"/>
        <w:spacing w:after="0" w:line="277" w:lineRule="auto"/>
        <w:rPr>
          <w:sz w:val="20"/>
          <w:szCs w:val="20"/>
          <w:color w:val="auto"/>
        </w:rPr>
      </w:pPr>
      <w:r>
        <w:rPr>
          <w:rFonts w:ascii="Arial" w:cs="Arial" w:eastAsia="Arial" w:hAnsi="Arial"/>
          <w:sz w:val="18"/>
          <w:szCs w:val="18"/>
          <w:color w:val="auto"/>
        </w:rPr>
        <w:t>Cash flows from investing activities comprised cash settlement of interest rate derivatives $14.0 million and $2.6 million expended on drydocking expenses for 2013, in aggregate $7.7 million lower than for the equivalent items in 2012.</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 debt repayments of $59.3 million were made in the year ended December 31, 2013.</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There was a net reduction in cash and cash equivalents of $1.6 million in the year ended December 31, 2013, resulting in closing cash of $24.5 million compared to closing cash of $26.1 million at December 31, 2012. There was little variability in yearend cash due to the required cash sweep under the Previous Credit Facility as described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 and the Indenture</w:t>
      </w:r>
    </w:p>
    <w:p>
      <w:pPr>
        <w:spacing w:after="0" w:line="11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notes were issued under an indenture, dated as of March 19, 2014, among the Company, the guarantors party thereto and Deutsche Bank Trust Company Americas, as trustee and as security agent.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Maturity</w:t>
      </w:r>
    </w:p>
    <w:p>
      <w:pPr>
        <w:spacing w:after="0" w:line="11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The notes bear interest at 10.000% per annum and mature on April 1, 2019. Interest is payable semi-annually on April 1 and October 1 of each year, beginning on October 1, 2014, to holders of record at the close of business on March 15 or September 15, as the case may be, immediately preceding each such interest payment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w:t>
      </w:r>
    </w:p>
    <w:p>
      <w:pPr>
        <w:spacing w:after="0" w:line="117"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color w:val="auto"/>
        </w:rPr>
        <w:t>The notes are secured by first priority ship mortgages on 18 vessels owned by certain subsidiaries (the “Mortgaged Vessels”) including OOCL Qingdao and certain other associated property, contract rights and bank accounts, as well as share pledges over the subsidiaries that own the Mortgaged Vessels (together with the Mortgaged Vessels, the “Initial Collateral”). In addition, the notes are guaranteed by all of the vessel owning subsidiaries. In the future, vessels, shipping containers and container shipping-related assets and certain other associated property and contract rights may be pledged in addition to or in substitution for Initial Collateral. As used herein, “Collateral” refers to the Initial Collateral and any such additional or substitute collateral.</w:t>
      </w:r>
    </w:p>
    <w:p>
      <w:pPr>
        <w:spacing w:after="0" w:line="158"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Collateral also secures on a first priority basis up to $40.0 million of indebtedness which may be incurred under the revolving credit facility, which is described below.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117"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The notes are fully and unconditionally guaranteed, jointly and severally, on a senior basis, by Global Ship Lease Services Limited (“GSL Limited”) and all of our restricted subsidiaries. The notes will be guaranteed by our future restricted subsidiaries in the circumstances provided in the indenture governing the notes.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Optional Redemption</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may redeem the notes in whole or in part, at our option, at any time before April 1, 2016, at a redemption price equal to 100% of the principal amount plus a make-whole premium as provided in the indenture governing the notes. We may redeem the notes in whole or in part, at our option, at any time on or after April 1, 2016, at the redemption prices (expressed as percentages of principal amount) set forth below plus accrued and unpaid interest, if any, on the notes redeemed, to the applicable redemption date, if redeemed during the twelve-month period beginning on April 1 of the years indicated below, subject to the rights of holders of notes on the relevant record date to receive interest on the relevant interest payment date:</w:t>
      </w:r>
    </w:p>
    <w:p>
      <w:pPr>
        <w:spacing w:after="0" w:line="191" w:lineRule="exact"/>
        <w:rPr>
          <w:sz w:val="20"/>
          <w:szCs w:val="20"/>
          <w:color w:val="auto"/>
        </w:rPr>
      </w:pPr>
    </w:p>
    <w:tbl>
      <w:tblPr>
        <w:tblLayout w:type="fixed"/>
        <w:tblInd w:w="2860" w:type="dxa"/>
        <w:tblCellMar>
          <w:top w:w="0" w:type="dxa"/>
          <w:left w:w="0" w:type="dxa"/>
          <w:bottom w:w="0" w:type="dxa"/>
          <w:right w:w="0" w:type="dxa"/>
        </w:tblCellMar>
      </w:tblPr>
      <w:tr>
        <w:trPr>
          <w:trHeight w:val="185"/>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3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vMerge w:val="restart"/>
            <w:shd w:val="clear" w:color="auto" w:fill="CCEEFF"/>
          </w:tcPr>
          <w:p>
            <w:pPr>
              <w:spacing w:after="0" w:line="20" w:lineRule="exact"/>
              <w:rPr>
                <w:sz w:val="1"/>
                <w:szCs w:val="1"/>
                <w:color w:val="auto"/>
              </w:rPr>
            </w:pPr>
          </w:p>
        </w:tc>
        <w:tc>
          <w:tcPr>
            <w:tcW w:w="2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w w:val="72"/>
              </w:rPr>
              <w:t>2016</w:t>
            </w:r>
          </w:p>
        </w:tc>
        <w:tc>
          <w:tcPr>
            <w:tcW w:w="2300" w:type="dxa"/>
            <w:vAlign w:val="bottom"/>
            <w:vMerge w:val="continue"/>
            <w:shd w:val="clear" w:color="auto" w:fill="CCEEFF"/>
          </w:tcPr>
          <w:p>
            <w:pPr>
              <w:spacing w:after="0"/>
              <w:rPr>
                <w:sz w:val="18"/>
                <w:szCs w:val="18"/>
                <w:color w:val="auto"/>
              </w:rPr>
            </w:pPr>
          </w:p>
        </w:tc>
        <w:tc>
          <w:tcPr>
            <w:tcW w:w="222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2017</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102.500%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3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In addition, at any time before April 1, 2016, we may redeem up to 35% of the aggregate principal amount of the notes with the net proceeds of an equity offering at 110.000% of the principal amount of the notes, plus accrued and unpaid interest, if any, so long as at least 65% of the originally issued aggregate principal amount of the notes remains outstanding after such redemption.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Amounts and Redemption for Changes in Withholding Taxes</w:t>
      </w:r>
    </w:p>
    <w:p>
      <w:pPr>
        <w:spacing w:after="0" w:line="117"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Except as required by law, we will make payments on the notes free of withholding or deduction for taxes. If withholding or deduction is required, we will, subject to certain customary exceptions, be required to pay additional amounts so that the net amounts holders of the notes receive will equal the amount holders of the notes would have received if withholding or deduction had not been imposed. If, as a result of a change in law, we are required to pay such additional amounts, we may redeem the notes in whole but not in part, at any time at 100% of their principal amount, plus accrued and unpaid interest, if any, to the redemption 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Upon the occurrence of certain change of control events, holders of the notes will have the right to require us to repurchase some or all of their notes at 101% of their face amount, plus accrued and unpaid interest to the repurchase date.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Proceeds of Asset Sales and Events of Loss</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will be obligated in certain instances to make offers to purchase outstanding notes with the net proceeds of certain sales or other dispositions of assets or upon the occurrence of an event of loss with respect to Collateral. The purchase price of the notes will be 102% of their principal amount plus accrued and unpaid interest, if 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Cash Flow</w:t>
      </w:r>
    </w:p>
    <w:p>
      <w:pPr>
        <w:spacing w:after="0" w:line="117" w:lineRule="exact"/>
        <w:rPr>
          <w:sz w:val="20"/>
          <w:szCs w:val="20"/>
          <w:color w:val="auto"/>
        </w:rPr>
      </w:pPr>
    </w:p>
    <w:p>
      <w:pPr>
        <w:ind w:right="200" w:firstLine="913"/>
        <w:spacing w:after="0" w:line="302" w:lineRule="auto"/>
        <w:rPr>
          <w:sz w:val="20"/>
          <w:szCs w:val="20"/>
          <w:color w:val="auto"/>
        </w:rPr>
      </w:pPr>
      <w:r>
        <w:rPr>
          <w:rFonts w:ascii="Arial" w:cs="Arial" w:eastAsia="Arial" w:hAnsi="Arial"/>
          <w:sz w:val="16"/>
          <w:szCs w:val="16"/>
          <w:color w:val="auto"/>
        </w:rPr>
        <w:t>If we have at least $1.0 million of Excess Cash Flow (as defined in the indenture governing the notes) for each fiscal year, commencing in respect of the year ended December 31, 2014, we will be required to make an offer to repurchase a maximum principal amount of notes per annum equal to the lesser of (a) the Excess Cash Flow for such fiscal year and (b) $20.0 million, at a price equal to 102% of the aggregate principal amount of notes repurchased plus accrued and unpaid interest, if any, on the notes. For fiscal year 2014, the Excess Cash Flow offer amounts to $20.0 million.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indenture governing the notes contains covenants that, among other things, limit our ability and the ability of our restricted subsidiaries to:</w:t>
      </w:r>
    </w:p>
    <w:p>
      <w:pPr>
        <w:spacing w:after="0" w:line="154" w:lineRule="exact"/>
        <w:rPr>
          <w:sz w:val="20"/>
          <w:szCs w:val="20"/>
          <w:color w:val="auto"/>
        </w:rPr>
      </w:pPr>
    </w:p>
    <w:p>
      <w:pPr>
        <w:ind w:left="5620" w:right="5500" w:hanging="4707"/>
        <w:spacing w:after="0" w:line="536" w:lineRule="auto"/>
        <w:tabs>
          <w:tab w:leader="none" w:pos="1463"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incur additional indebtedness or issue certain preferred stock; 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covenants are subject to important exceptions and qualifications, which are provided in the indenture governing the notes.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117"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connection with the private placement of notes, we and GSL Limited, as initial borrowers, and together with each of our 17 subsidiaries that owned Mortgaged Vessels, as initial guarantors, entered into a new credit agreement dated as of March 19, 2014, with Citibank, N.A., London Branch, as original lender, lead arranger and book-runner, Citibank International plc, as facility agent and Deutsche Bank Trust Company Americas, as security agent, together with security and other agreements, which provide for our revolving credit facility.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revolving credit facility provides for aggregate commitments of $40.0 million, which shall be reduced to $25.0 million if on any testing date, our debt service coverage ratio in respect of the preceding six months is less than 1:1. Debt service coverage will be tested on December 31, 2016, June 30, 2017 and December 31, 2017. Subject to customary conditions precedent, certain of our subsidiaries may borrow under the revolving credit facility to finance (or refinance) the acquisition of vessels and may also borrow amounts not to exceed, at any time, $5.0 million for general corporate purposes. To the extent that borrowings under the revolving credit facility are applied towards all or part of the acquisition cost (or the refinancing thereof) of a vessel, we will be required to pledge, on a first-priority basis, such vessel, together with certain other associated property, contract rights and bank accounts, and the capital stock of the applicable vessel-owning subsidiary, as additional Collateral securing the obligations under the revolving credit facility and the notes and the vessel owning company will become a joint and several guarantor under the notes and the revolving credit facility. The revolving credit facility was fully drawn to finance the purchase of OOCL Qingdao on March 11, 2015.</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Fees and Maturity</w:t>
      </w:r>
    </w:p>
    <w:p>
      <w:pPr>
        <w:spacing w:after="0" w:line="117" w:lineRule="exact"/>
        <w:rPr>
          <w:sz w:val="20"/>
          <w:szCs w:val="20"/>
          <w:color w:val="auto"/>
        </w:rPr>
      </w:pPr>
    </w:p>
    <w:p>
      <w:pPr>
        <w:jc w:val="both"/>
        <w:ind w:right="120" w:firstLine="913"/>
        <w:spacing w:after="0" w:line="277" w:lineRule="auto"/>
        <w:rPr>
          <w:sz w:val="20"/>
          <w:szCs w:val="20"/>
          <w:color w:val="auto"/>
        </w:rPr>
      </w:pPr>
      <w:r>
        <w:rPr>
          <w:rFonts w:ascii="Arial" w:cs="Arial" w:eastAsia="Arial" w:hAnsi="Arial"/>
          <w:sz w:val="18"/>
          <w:szCs w:val="18"/>
          <w:color w:val="auto"/>
        </w:rPr>
        <w:t>Borrowings under the revolving credit facility bear interest at LIBOR plus a margin of 3.25% per annum, payable at least quarterly in arrears or at the end of certain other interest payment periods.</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In addition to paying interest on outstanding principal under the revolving credit facility, we are required to pay a quarterly commitment fee of 1.30% per annum to the lenders under the revolving credit facility in respect of the unutilized commitments thereunder. We also pay certain other customary fees.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final maturity date of the revolving credit facility is October 1, 2018.</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Prepayments</w:t>
      </w:r>
    </w:p>
    <w:p>
      <w:pPr>
        <w:spacing w:after="0" w:line="117" w:lineRule="exact"/>
        <w:rPr>
          <w:sz w:val="20"/>
          <w:szCs w:val="20"/>
          <w:color w:val="auto"/>
        </w:rPr>
      </w:pPr>
    </w:p>
    <w:p>
      <w:pPr>
        <w:ind w:right="100" w:firstLine="913"/>
        <w:spacing w:after="0" w:line="308" w:lineRule="auto"/>
        <w:rPr>
          <w:sz w:val="20"/>
          <w:szCs w:val="20"/>
          <w:color w:val="auto"/>
        </w:rPr>
      </w:pPr>
      <w:r>
        <w:rPr>
          <w:rFonts w:ascii="Arial" w:cs="Arial" w:eastAsia="Arial" w:hAnsi="Arial"/>
          <w:sz w:val="17"/>
          <w:szCs w:val="17"/>
          <w:color w:val="auto"/>
        </w:rPr>
        <w:t>The revolving credit facility will require us to prepay outstanding loans, subject to certain exceptions, with the net cash proceeds of certain sales or other dispositions of Collateral or upon the occurrence of an event of loss with respect to Collateral and upon a change of control.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Voluntary Prepayments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We will be able to voluntarily prepay outstanding loans under the revolving credit facility at any time, subject to certain notice requirements.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 and Security</w:t>
      </w:r>
    </w:p>
    <w:p>
      <w:pPr>
        <w:spacing w:after="0" w:line="117"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Guarantees will be jointly and severally provided by us and the same subsidiaries guaranteeing the notes. In addition, any subsidiaries who become borrowers under the revolving credit facility will also provide a guarantee. Our obligations under the revolving credit facility will be secured by first-priority security interests (subject to certain permitted liens) over the Collateral that will rank equal with the security interest of the notes, subject to the right of the finance parties under the revolving credit facility to receive the net proceeds of any foreclosure on the Collateral before the holders of the notes.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We will be required to maintain minimum cash and cash equivalents in an amount ranging from $15.0 million to $20.0 million, as provided in the credit agreement governing our revolving credit facility.</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In addition, the revolving credit facility contains negative covenants that, among other things and subject to certain significant exceptions, limit our ability and the ability of our restricted subsidiaries to:</w:t>
      </w:r>
    </w:p>
    <w:p>
      <w:pPr>
        <w:spacing w:after="0" w:line="76" w:lineRule="exact"/>
        <w:rPr>
          <w:sz w:val="20"/>
          <w:szCs w:val="20"/>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incur additional indebtedness or issue certain preferred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pay dividends on, redeem or repurchase capital stock or make other restricted payments and investments;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certain liens;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transfer or sell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merge, consolidate or sell all or substantially all of our properties and assets;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create or designate unrestricted subsidiaries;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impair the security interests.</w:t>
      </w:r>
    </w:p>
    <w:p>
      <w:pPr>
        <w:spacing w:after="0" w:line="225"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The credit agreement governing our revolving credit facility also contains certain customary representations and warranties, affirmative covenants and events of default. If an event of default occurs, the lenders under the revolving credit facility will be entitled to take various actions, including the acceleration of amounts due under the revolving credit facility and actions customarily permitted to be taken by a secured creditor. Amendments and waivers of the covenants described above or any other provisions which affect solely the revolving credit facility will require the consent of lenders holding all or the majority of the commitments and loans under the revolving credit facility.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Previous Credit Facility</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Our Previous Credit Facility with ABN AMRO Bank N.V. (also the “Agent”) and the other parties thereto from time to time was entered into in 2007 and was originally an $800.0 million revolving facility, non-amortizing for five years and with a term of eight years. All of our then vessel owning subsidiaries and GSL Limited were borrowers and guarantors jointly and severally guaranteeing our obligations under the Previous Credit Facility. As described above, we used a portion of the net proceeds of the private placement of notes to repay all outstanding borrowings under, and terminate, our Previous Credit Facility on March 19,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As at December 31, 2014, we had $420.0 million of secured indebtedness under the notes and availability of $40.0 million under our revolving credit facility. The revolving credit facility was fully drawn in March 2015 to finance the purchase of the OOCL Qingdao.</w:t>
      </w:r>
    </w:p>
    <w:p>
      <w:pPr>
        <w:spacing w:after="0" w:line="170"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Our liquidity requirements are significant, primarily due to debt service requirements. Based on the $420.0 million principal amount of the notes and based on their fixed interest rate our cash interest expense in a year is $42.0 million. In addition, we have an obligation to make an Excess Cash Flow tender offer of up to $20 million annually. Further, the dividend on the $35.0 million Series B preferred shares amounts to $3.1 million each year. Finally, the revolving credit facility of $40.0 million was drawn in full to partly fund the purchase of OOCL Qingdao on March 11, 2015. Assuming a LIBOR of 0.5%, the annual interest cost associated with the revolving credit facility would be $1.5 million.</w:t>
      </w:r>
    </w:p>
    <w:p>
      <w:pPr>
        <w:spacing w:after="0" w:line="173"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We believe that funds generated by the business and retained, will be sufficient to meet our operating needs for the next twelve months, including working capital requirements, debt repayment obligations and to purchase additional vessels.</w:t>
      </w:r>
    </w:p>
    <w:p>
      <w:pPr>
        <w:spacing w:after="0" w:line="17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As market conditions warrant, we may from time to time, depending upon market conditions, seek to repurchase debt securities that we have issued or loans that we have borrowed, including the notes and borrowings under our revolving credit facility, in privately negotiated or open market transactions, by tender offer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 and dividends</w:t>
      </w:r>
    </w:p>
    <w:p>
      <w:pPr>
        <w:spacing w:after="0" w:line="117"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Our net cash flows from operating activities corresponds directly with the number of vessels under charter, days on-hire, vessel charter rates, operating expenses, drydock costs, interest and other financing costs and general and administrative expenses. Pursuant to our ship management agreements, we have agreed to pay our ship managers an annual management fee per vessel and to reimburse it for operating costs it incurs on our behalf (up to a cap pursuant to the global expense agreement for vessels managed by CMA Ships). Charterhire is payable by our charterers 15 days in advance and estimated ship management costs are payable monthly in advance. Although we can provide no assurances (see Item 3.D. “Key Information—Risk Factors—Risks Related to our Business—We are highly dependent on charter payments from CMA CGM”), we expect that our cash flow from our chartering arrangements will be sufficient to cover our ship management costs and fees, interest payments under the notes and our revolving credit facility, other financing costs under our revolving credit facility, insurance premiums, vessel taxes, general and administrative expenses, dividends on our Series B preferred shares and other costs and any other working capital requirements for the short and medium term and planned drydocking expenses.</w:t>
      </w:r>
    </w:p>
    <w:p>
      <w:pPr>
        <w:spacing w:after="0" w:line="167"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We estimate that the average cost of the 18 drydockings completed between April 2011 and January 2015 was approximately $1.3 million, with an average loss of revenue of $0.3 million from offhire. We have included a schedule of the next anticipated drydocking date for each of our vessels in the section of this Annual Report entitled Item 4.B. “Information on the Company—Business Overview—Inspection by Classification Societies.”</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other liquidity requirements include an annual Excess Cash Flow offer of up to $20.0 million on our notes and repaying the remaining principal balance of the notes at the stated maturity date on April 1, 2019, if they have not been repaid earlier. Further, the maturity date of the revolving credit facility is October 1, 2018.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notes.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hanging="567"/>
        <w:spacing w:after="0"/>
        <w:tabs>
          <w:tab w:leader="none" w:pos="148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Container shipping is a cyclical industry, with the demand for container shipping services and therefore the demand for container ships, driven by global trade. Between 1997 and 2007 containerized trade exhibited compound annual growth of approximately 10%, with a period of super-cyclical growth from 2002 to mid-2008 fuelled partly by exports from China. The global financial crisis, from late 2008, contributed to a contraction of demand for the first time in the history of containerization, with 2009 volumes falling by 9%. In 2010 demand rebounded, with volume growth of almost 13%. During 2011, macroeconomic sentiment softened and containerized trade growth slowed to approximately 7.0%. In 2012, 2013 and 2014 containerized trade is estimated to have grown, year-on-year, by 3.0%, 4.9% and 6.0%, respectively.</w:t>
      </w:r>
    </w:p>
    <w:p>
      <w:pPr>
        <w:spacing w:after="0" w:line="19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period of super-cyclical growth, combined with operators seeking economies of scale achievable with ever larger vessels, led to a significant orderbook of new containerships. In December, 2008 the orderbook was estimated to represent over 60% of existing global capacity measured in TEU. This inflated orderbook has largely been absorbed into the global containership fleet. The global financial crisis and poor industry conditions have led to a much reduced level of ordering of new vessels and as at April, 2015, the orderbook-to-fleet ratio stood at just over 19%. Furthermore, scrapping activity accelerated, reaching record levels of over 450,000 TEU (more than 200 ships) in 2013. Scrapings in 2014 continued at high levels – just under 400,000 TEU.</w:t>
      </w:r>
    </w:p>
    <w:p>
      <w:pPr>
        <w:spacing w:after="0" w:line="15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Vessel newbuilding prices, second hand values and charter rates have tended to be closely correlated and are all strongly influenced by the dynamics of supply and demand. From 2005 through 2014, the average newbuilding price for a theoretical 3,500 – 3,600 TEU containership was around $49 million, with average prices ranging between $36 million (2009) and $67 million (2008). During the same period, secondhand values for a 10 year old vessel of similar size averaged $29 million and ranged between $10 million (2014) and $52 million (2005). Meantime, spot market charter rates for such tonnage averaged about $17,800 per day and ranged between $5,500 (2009) and $44,000 (2005). As at April, 2015 prevailing spot market charter rates were around $10,250 per day, with newbuilding prices at approximately $41 million and second hand values at about $11.5 million.</w:t>
      </w:r>
    </w:p>
    <w:p>
      <w:pPr>
        <w:spacing w:after="0" w:line="17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Liner operator companies’ results are also highly sensitive to the dynamics of supply and demand. Results were adversely affected in 2009, recovered significantly in 2010 and declined again in 2011. Commencing March, 2012 operators successfully implemented a series of General Rate Increases (“GRI”s) in a number of trades in order to improve financial performance. GRI initiatives continued to be implemented through 2013 and 2014 to positive, but generally short-lived, effect. Freight rates have remained volatile on most tradelanes.</w:t>
      </w:r>
    </w:p>
    <w:p>
      <w:pPr>
        <w:spacing w:after="0" w:line="187" w:lineRule="exact"/>
        <w:rPr>
          <w:sz w:val="20"/>
          <w:szCs w:val="20"/>
          <w:color w:val="auto"/>
        </w:rPr>
      </w:pPr>
    </w:p>
    <w:p>
      <w:pPr>
        <w:ind w:right="440" w:firstLine="913"/>
        <w:spacing w:after="0" w:line="308" w:lineRule="auto"/>
        <w:rPr>
          <w:sz w:val="20"/>
          <w:szCs w:val="20"/>
          <w:color w:val="auto"/>
        </w:rPr>
      </w:pPr>
      <w:r>
        <w:rPr>
          <w:rFonts w:ascii="Arial" w:cs="Arial" w:eastAsia="Arial" w:hAnsi="Arial"/>
          <w:sz w:val="17"/>
          <w:szCs w:val="17"/>
          <w:color w:val="auto"/>
        </w:rPr>
        <w:t>The comparatively modest orderbook-to-fleet ratio, low idle containership fleet capacity (1.5% as at April, 2015), and firming trade growth suggest that industry fundamentals may be beginning to improve. However, the macroeconomic backdrop remains fragile and uncertain.</w:t>
      </w:r>
    </w:p>
    <w:p>
      <w:pPr>
        <w:spacing w:after="0" w:line="291"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Except as described under “—Contractual Obligations” and Item 11. “Quantitative and Qualitative Disclosure About Market Risk”, we do not have any other transactions, obligations or relationships that could be considered material off-balance sheet arrangements.</w:t>
      </w:r>
    </w:p>
    <w:p>
      <w:pPr>
        <w:spacing w:after="0" w:line="315" w:lineRule="exact"/>
        <w:rPr>
          <w:sz w:val="20"/>
          <w:szCs w:val="20"/>
          <w:color w:val="auto"/>
        </w:rPr>
      </w:pPr>
    </w:p>
    <w:p>
      <w:pPr>
        <w:ind w:left="1480" w:hanging="567"/>
        <w:spacing w:after="0"/>
        <w:tabs>
          <w:tab w:leader="none" w:pos="14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100" w:firstLine="913"/>
        <w:spacing w:after="0" w:line="257" w:lineRule="auto"/>
        <w:rPr>
          <w:sz w:val="20"/>
          <w:szCs w:val="20"/>
          <w:color w:val="auto"/>
        </w:rPr>
      </w:pPr>
      <w:r>
        <w:rPr>
          <w:rFonts w:ascii="Arial" w:cs="Arial" w:eastAsia="Arial" w:hAnsi="Arial"/>
          <w:sz w:val="18"/>
          <w:szCs w:val="18"/>
          <w:color w:val="auto"/>
        </w:rPr>
        <w:t>The contractual obligations presented below represent our estimates of future payments under fixed contractual obligations and commitments as at December 31, 2014. These amounts do not include dividends on the Series B preferred shares or amounts in relation to the revolving credit facility which was fully drawn in connection with the purchase of OOCL Qingdao on March 11, 2015. Changes in our business needs or in interest rates, as well as actions by third parties and other factors, may cause these estimates to change. These estimates are necessarily subjective and our actual payments in future periods are likely to vary from those presented in the table.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4"/>
                <w:szCs w:val="14"/>
                <w:color w:val="auto"/>
              </w:rPr>
            </w:pPr>
          </w:p>
        </w:tc>
        <w:tc>
          <w:tcPr>
            <w:tcW w:w="9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8"/>
              </w:rPr>
              <w:t>3-5 years</w:t>
            </w: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5"/>
              </w:rPr>
              <w:t>More than</w:t>
            </w:r>
          </w:p>
        </w:tc>
        <w:tc>
          <w:tcPr>
            <w:tcW w:w="380" w:type="dxa"/>
            <w:vAlign w:val="bottom"/>
          </w:tcPr>
          <w:p>
            <w:pPr>
              <w:spacing w:after="0"/>
              <w:rPr>
                <w:sz w:val="14"/>
                <w:szCs w:val="14"/>
                <w:color w:val="auto"/>
              </w:rPr>
            </w:pPr>
          </w:p>
        </w:tc>
        <w:tc>
          <w:tcPr>
            <w:tcW w:w="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7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auto"/>
              </w:rPr>
              <w:t>5 years</w:t>
            </w:r>
          </w:p>
        </w:tc>
        <w:tc>
          <w:tcPr>
            <w:tcW w:w="3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7"/>
          </w:tcPr>
          <w:p>
            <w:pPr>
              <w:ind w:left="260"/>
              <w:spacing w:after="0" w:line="142" w:lineRule="exact"/>
              <w:rPr>
                <w:sz w:val="20"/>
                <w:szCs w:val="20"/>
                <w:color w:val="auto"/>
              </w:rPr>
            </w:pPr>
            <w:r>
              <w:rPr>
                <w:rFonts w:ascii="Arial" w:cs="Arial" w:eastAsia="Arial" w:hAnsi="Arial"/>
                <w:sz w:val="14"/>
                <w:szCs w:val="14"/>
                <w:b w:val="1"/>
                <w:bCs w:val="1"/>
                <w:color w:val="auto"/>
              </w:rPr>
              <w:t>(in millions of U.S. dollars)</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debt obligations, excluding interest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Interest on long term debt</w:t>
            </w:r>
            <w:r>
              <w:rPr>
                <w:rFonts w:ascii="Arial" w:cs="Arial" w:eastAsia="Arial" w:hAnsi="Arial"/>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42.5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85.0</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Ship management agreements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85.0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$ 472.9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5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340" w:hanging="452"/>
        <w:spacing w:after="0" w:line="258" w:lineRule="auto"/>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Consists of $420.0 million aggregate principal amount of the notes. Does not reflect borrowings under our revolving credit facility, under which we borrowed $40.0 million to purchase OOCL Qingdao on March 11, 2015.</w:t>
      </w:r>
    </w:p>
    <w:p>
      <w:pPr>
        <w:spacing w:after="0" w:line="1" w:lineRule="exact"/>
        <w:rPr>
          <w:rFonts w:ascii="Arial" w:cs="Arial" w:eastAsia="Arial" w:hAnsi="Arial"/>
          <w:sz w:val="18"/>
          <w:szCs w:val="18"/>
          <w:color w:val="auto"/>
        </w:rPr>
      </w:pPr>
    </w:p>
    <w:p>
      <w:pPr>
        <w:jc w:val="both"/>
        <w:ind w:left="460" w:right="160" w:hanging="452"/>
        <w:spacing w:after="0" w:line="265"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Represents aggregate interest payments on the $420.0 million aggregate principal amount of the notes, as well as commitment fees at 130 basis points for our revolving credit facility to its latest final maturity date of October 1, 2018. It does not reflect interest payments in respect of borrowings under that revolving credit facility. Assuming the borrowing of all amounts available under our revolving credit facility (based on an assumed USD LIBOR rate of 0.5% for the periods presented), our annual interest expense would increase by $1.0 million.</w:t>
      </w:r>
    </w:p>
    <w:p>
      <w:pPr>
        <w:ind w:left="460" w:right="20" w:hanging="452"/>
        <w:spacing w:after="0" w:line="273"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the management fee payable for two month notice period required in connection with termination of the ship management contracts with CMA Ships based on the annual management fee of $123,000 per vessel and the minimum term of one year, thereafter a three month notice period, required in connection with the ship management contracts for the OOCL Tianjin, based on the annual management fee of $131,000. These obligations do not include any amount for the reimbursement of daily operating costs incurred by the ship managers on our behalf.</w:t>
      </w:r>
    </w:p>
    <w:p>
      <w:pPr>
        <w:spacing w:after="0" w:line="32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Directors, Senior Management and Employees</w:t>
      </w:r>
    </w:p>
    <w:p>
      <w:pPr>
        <w:spacing w:after="0" w:line="131" w:lineRule="exact"/>
        <w:rPr>
          <w:sz w:val="20"/>
          <w:szCs w:val="20"/>
          <w:color w:val="auto"/>
        </w:rPr>
      </w:pPr>
    </w:p>
    <w:p>
      <w:pPr>
        <w:ind w:left="1480" w:hanging="567"/>
        <w:spacing w:after="0"/>
        <w:tabs>
          <w:tab w:leader="none" w:pos="14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2014 are listed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320" w:type="dxa"/>
            <w:vAlign w:val="bottom"/>
          </w:tcPr>
          <w:p>
            <w:pPr>
              <w:spacing w:after="0"/>
              <w:rPr>
                <w:sz w:val="16"/>
                <w:szCs w:val="16"/>
                <w:color w:val="auto"/>
              </w:rPr>
            </w:pPr>
          </w:p>
        </w:tc>
        <w:tc>
          <w:tcPr>
            <w:tcW w:w="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Age</w:t>
            </w:r>
          </w:p>
        </w:tc>
        <w:tc>
          <w:tcPr>
            <w:tcW w:w="6900" w:type="dxa"/>
            <w:vAlign w:val="bottom"/>
          </w:tcPr>
          <w:p>
            <w:pPr>
              <w:ind w:left="3200"/>
              <w:spacing w:after="0"/>
              <w:rPr>
                <w:sz w:val="20"/>
                <w:szCs w:val="20"/>
                <w:color w:val="auto"/>
              </w:rPr>
            </w:pPr>
            <w:r>
              <w:rPr>
                <w:rFonts w:ascii="Arial" w:cs="Arial" w:eastAsia="Arial" w:hAnsi="Arial"/>
                <w:sz w:val="14"/>
                <w:szCs w:val="14"/>
                <w:b w:val="1"/>
                <w:bCs w:val="1"/>
                <w:color w:val="auto"/>
              </w:rPr>
              <w:t>Position</w:t>
            </w: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S. Gross</w:t>
            </w:r>
          </w:p>
        </w:tc>
        <w:tc>
          <w:tcPr>
            <w:tcW w:w="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53</w:t>
            </w:r>
          </w:p>
        </w:tc>
        <w:tc>
          <w:tcPr>
            <w:tcW w:w="560" w:type="dxa"/>
            <w:vAlign w:val="bottom"/>
            <w:tcBorders>
              <w:top w:val="single" w:sz="8" w:color="CCEEFF"/>
            </w:tcBorders>
            <w:shd w:val="clear" w:color="auto" w:fill="CCEEFF"/>
          </w:tcPr>
          <w:p>
            <w:pPr>
              <w:spacing w:after="0"/>
              <w:rPr>
                <w:sz w:val="17"/>
                <w:szCs w:val="17"/>
                <w:color w:val="auto"/>
              </w:rPr>
            </w:pPr>
          </w:p>
        </w:tc>
        <w:tc>
          <w:tcPr>
            <w:tcW w:w="6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Chairman of the Board</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5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Alain Wils</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5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John van de Merwe</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5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5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Susan J. Cook</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6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Lister</w:t>
            </w: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w:t>
            </w:r>
          </w:p>
        </w:tc>
        <w:tc>
          <w:tcPr>
            <w:tcW w:w="560" w:type="dxa"/>
            <w:vAlign w:val="bottom"/>
            <w:shd w:val="clear" w:color="auto" w:fill="CCEEFF"/>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Chief Commercial Officer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Vivek Puri</w:t>
            </w: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560" w:type="dxa"/>
            <w:vAlign w:val="bottom"/>
          </w:tcPr>
          <w:p>
            <w:pPr>
              <w:spacing w:after="0"/>
              <w:rPr>
                <w:sz w:val="20"/>
                <w:szCs w:val="20"/>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Chief Technical Officer</w:t>
            </w:r>
          </w:p>
        </w:tc>
      </w:tr>
    </w:tbl>
    <w:p>
      <w:pPr>
        <w:spacing w:after="0" w:line="18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Mr. Gross has been a director since inception and was appointed Chairman in September 2008. Since December 2010, Mr., Gross has been</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Chairman of the board of directors, Chief Executive Officer and President of Solar Senior Capital Ltd. Since December 2007, Mr. Gross has served as the Chairman and Chief Executive Officer of Solar Capital Ltd, a finance company focusing on debt and equity investments in leveraged companies. From July 2006 through approximately the first quarter 2009, Mr. Gross was a partner in Magnetar Capital Partners LP, the holding company for Magnetar Financial LLC. Mr. Gross was the Chairman, Chief Executive Officer, and Secretary of Marathon Acquisition Corp. from April 2006 to August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2008. Between February 2004 and February 2006, Mr. Gross was the President and Chief Executive Officer of Apollo Investment Corporation (“AIC”), a publicly traded business development company, and was the managing partner of Apollo Investment Management, L.P. (“AIM”), a leading private equity firm which he founded in 1990 and the investment adviser to AIC. From 1990 to February 2006, Mr. Gross was a senior partner at AIM. Mr. Gross currently serves on the board of directors of Jarden Corporation.</w:t>
      </w:r>
    </w:p>
    <w:p>
      <w:pPr>
        <w:spacing w:after="0" w:line="186" w:lineRule="exact"/>
        <w:rPr>
          <w:sz w:val="20"/>
          <w:szCs w:val="20"/>
          <w:color w:val="auto"/>
        </w:rPr>
      </w:pPr>
    </w:p>
    <w:p>
      <w:pPr>
        <w:ind w:right="600"/>
        <w:spacing w:after="0" w:line="281" w:lineRule="auto"/>
        <w:rPr>
          <w:sz w:val="20"/>
          <w:szCs w:val="20"/>
          <w:color w:val="auto"/>
        </w:rPr>
      </w:pPr>
      <w:r>
        <w:rPr>
          <w:rFonts w:ascii="Arial" w:cs="Arial" w:eastAsia="Arial" w:hAnsi="Arial"/>
          <w:sz w:val="17"/>
          <w:szCs w:val="17"/>
          <w:b w:val="1"/>
          <w:bCs w:val="1"/>
          <w:color w:val="auto"/>
        </w:rPr>
        <w:t xml:space="preserve">Howard Boyd. </w:t>
      </w:r>
      <w:r>
        <w:rPr>
          <w:rFonts w:ascii="Arial" w:cs="Arial" w:eastAsia="Arial" w:hAnsi="Arial"/>
          <w:sz w:val="17"/>
          <w:szCs w:val="17"/>
          <w:color w:val="auto"/>
        </w:rPr>
        <w:t>Mr. Boyd has been a director since August 2008. In 1996, Mr. Boyd was named chief executive officer of Safmarine, a container liner</w:t>
      </w:r>
      <w:r>
        <w:rPr>
          <w:rFonts w:ascii="Arial" w:cs="Arial" w:eastAsia="Arial" w:hAnsi="Arial"/>
          <w:sz w:val="17"/>
          <w:szCs w:val="17"/>
          <w:b w:val="1"/>
          <w:bCs w:val="1"/>
          <w:color w:val="auto"/>
        </w:rPr>
        <w:t xml:space="preserve"> </w:t>
      </w:r>
      <w:r>
        <w:rPr>
          <w:rFonts w:ascii="Arial" w:cs="Arial" w:eastAsia="Arial" w:hAnsi="Arial"/>
          <w:sz w:val="17"/>
          <w:szCs w:val="17"/>
          <w:color w:val="auto"/>
        </w:rPr>
        <w:t>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43"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Mr. Frew has been a director since August 2008. He was appointed Secretary General of BIMCO in October 2013. Previously, Mr. Frew was</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 the UK Chamber of Shipping since July 2009. Mr. Frew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60"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Mr. Morel has been a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6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Alain Wils. </w:t>
      </w:r>
      <w:r>
        <w:rPr>
          <w:rFonts w:ascii="Arial" w:cs="Arial" w:eastAsia="Arial" w:hAnsi="Arial"/>
          <w:sz w:val="16"/>
          <w:szCs w:val="16"/>
          <w:color w:val="auto"/>
        </w:rPr>
        <w:t>Mr. Wils was appointed as a director by the board of directors on May 8, 2014. He is a consultant in the shipping and logistics industries, after</w:t>
      </w:r>
      <w:r>
        <w:rPr>
          <w:rFonts w:ascii="Arial" w:cs="Arial" w:eastAsia="Arial" w:hAnsi="Arial"/>
          <w:sz w:val="16"/>
          <w:szCs w:val="16"/>
          <w:b w:val="1"/>
          <w:bCs w:val="1"/>
          <w:color w:val="auto"/>
        </w:rPr>
        <w:t xml:space="preserve"> </w:t>
      </w:r>
      <w:r>
        <w:rPr>
          <w:rFonts w:ascii="Arial" w:cs="Arial" w:eastAsia="Arial" w:hAnsi="Arial"/>
          <w:sz w:val="16"/>
          <w:szCs w:val="16"/>
          <w:color w:val="auto"/>
        </w:rPr>
        <w:t>more than 40 years of experience in the sector. Mr. Wils joined the CMA CGM group in 1996 as managing director of the previously state 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w:t>
      </w:r>
    </w:p>
    <w:p>
      <w:pPr>
        <w:spacing w:after="0" w:line="2"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Mr. Wils, who is a graduate of HEC Paris and of Paris University, was appointed Chevalier de la Légion d’Honneur in 1995 and chaired the French Shipowners’ Association from 1998 to 2000.</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John J. van de Merwe. </w:t>
      </w:r>
      <w:r>
        <w:rPr>
          <w:rFonts w:ascii="Arial" w:cs="Arial" w:eastAsia="Arial" w:hAnsi="Arial"/>
          <w:sz w:val="17"/>
          <w:szCs w:val="17"/>
          <w:color w:val="auto"/>
        </w:rPr>
        <w:t>Mr. van de Merwe was appointed a director by the board of directors on May 8, 2014. With over 40 years of experience in</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sales, pricing, marketing, geographic management, logistics, general and executive management in the international transportation industry, he is currently an independent consultant based in the Netherlands, providing services on maritime, transportation and logistics related topics, an activity he started in 2006. Mr. van de Merwe joined CMA CGM in 2000 to become President, later President/ CEO of their high growth North American entity, based in Secaucus, New Jersey and later Marseille. He retired in 2006. He started his career in Rotterdam, the Netherlands where he joined Sea-Land Service Inc. (“Sea-Land”) in 1972 in operations. He subsequently spent 28 years with Sea-Land. He held a number of management positions in sales, operations, pricing, becoming General Manager for North Europe in 1988. In 1990 he assumed responsibility for 29 countries, 23 ports and over 1,000 staff as Vice President/General Manager Europe which role included business development in the former Soviet Union. In 1990, Mr. van de Merwe became the first non-American Officer of Sea-Land and in 1997, he was appointed Division Head for the new Asia/Middle East/ Europe Division. He also served on the Senior Management Board and pioneered the concept of a shared service center for Sea-Land in Mumbai. Mr. van de Merwe holds an International Marketing Degree from Netherlands Institute for Marketing.</w:t>
      </w:r>
    </w:p>
    <w:p>
      <w:pPr>
        <w:spacing w:after="0" w:line="1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our Chief Executive Officer. From 1979 to 1996, Mr. Webber worked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Susan J. Cook. </w:t>
      </w:r>
      <w:r>
        <w:rPr>
          <w:rFonts w:ascii="Arial" w:cs="Arial" w:eastAsia="Arial" w:hAnsi="Arial"/>
          <w:sz w:val="16"/>
          <w:szCs w:val="16"/>
          <w:color w:val="auto"/>
        </w:rPr>
        <w:t>Upon the completion of the Merger, Ms. Cook became our Chief Financial Officer. From 1986 to 2006, Ms. Cook worked for The Peninsular</w:t>
      </w:r>
      <w:r>
        <w:rPr>
          <w:rFonts w:ascii="Arial" w:cs="Arial" w:eastAsia="Arial" w:hAnsi="Arial"/>
          <w:sz w:val="16"/>
          <w:szCs w:val="16"/>
          <w:b w:val="1"/>
          <w:bCs w:val="1"/>
          <w:color w:val="auto"/>
        </w:rPr>
        <w:t xml:space="preserve"> </w:t>
      </w:r>
      <w:r>
        <w:rPr>
          <w:rFonts w:ascii="Arial" w:cs="Arial" w:eastAsia="Arial" w:hAnsi="Arial"/>
          <w:sz w:val="16"/>
          <w:szCs w:val="16"/>
          <w:color w:val="auto"/>
        </w:rPr>
        <w:t>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151"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 xml:space="preserve">Thomas A. Lister. </w:t>
      </w:r>
      <w:r>
        <w:rPr>
          <w:rFonts w:ascii="Arial" w:cs="Arial" w:eastAsia="Arial" w:hAnsi="Arial"/>
          <w:sz w:val="18"/>
          <w:szCs w:val="18"/>
          <w:color w:val="auto"/>
        </w:rPr>
        <w:t>Upon the completion of the Merger, Mr. Lister became our Chief Commercial Officer. From 2005 until 2007, Mr. Lister was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at DVB 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U.S. Mr. Lister graduated from Durham University and holds an MBA from INSEAD.</w:t>
      </w:r>
    </w:p>
    <w:p>
      <w:pPr>
        <w:spacing w:after="0" w:line="18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our Chief Technical Officer. Prior to joining us, Mr. Puri was Senior Vice President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303" w:lineRule="exact"/>
        <w:rPr>
          <w:sz w:val="20"/>
          <w:szCs w:val="20"/>
          <w:color w:val="auto"/>
        </w:rPr>
      </w:pPr>
    </w:p>
    <w:p>
      <w:pPr>
        <w:ind w:left="1480" w:hanging="567"/>
        <w:spacing w:after="0"/>
        <w:tabs>
          <w:tab w:leader="none" w:pos="148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11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Global Ship Lease Services Limited, our wholly owned subsidiary, has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£304,668 and is eligible to receive a bonus payment up to an annual maximum of 60% of his salary at the discretion of Global Ship Lease Services Limited.</w:t>
      </w:r>
    </w:p>
    <w:p>
      <w:pPr>
        <w:spacing w:after="0" w:line="187" w:lineRule="exact"/>
        <w:rPr>
          <w:sz w:val="20"/>
          <w:szCs w:val="20"/>
          <w:color w:val="auto"/>
        </w:rPr>
      </w:pPr>
    </w:p>
    <w:p>
      <w:pPr>
        <w:ind w:right="200" w:firstLine="913"/>
        <w:spacing w:after="0" w:line="288"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w:t>
      </w:r>
    </w:p>
    <w:p>
      <w:pPr>
        <w:spacing w:after="0" w:line="255" w:lineRule="auto"/>
        <w:rPr>
          <w:sz w:val="20"/>
          <w:szCs w:val="20"/>
          <w:color w:val="auto"/>
        </w:rPr>
      </w:pPr>
      <w:r>
        <w:rPr>
          <w:rFonts w:ascii="Arial" w:cs="Arial" w:eastAsia="Arial" w:hAnsi="Arial"/>
          <w:sz w:val="18"/>
          <w:szCs w:val="18"/>
          <w:color w:val="auto"/>
        </w:rPr>
        <w:t>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90"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jc w:val="both"/>
        <w:ind w:right="220" w:firstLine="913"/>
        <w:spacing w:after="0" w:line="312" w:lineRule="auto"/>
        <w:rPr>
          <w:sz w:val="20"/>
          <w:szCs w:val="20"/>
          <w:color w:val="auto"/>
        </w:rPr>
      </w:pPr>
      <w:r>
        <w:rPr>
          <w:rFonts w:ascii="Arial" w:cs="Arial" w:eastAsia="Arial" w:hAnsi="Arial"/>
          <w:sz w:val="16"/>
          <w:szCs w:val="16"/>
          <w:color w:val="auto"/>
        </w:rPr>
        <w:t>Global Ship Lease Services Limited has entered into an employment agreement with Ms. Cook and, pursuant to the inter-company agreement, Ms. Cook serves as our Chief Financial Officer. Pursuant to her employment agreement, Ms. Cook receives an annual salary of £173,400 and is eligible to receive a bonus payment up to an annual maximum of 40% of her salary at the discretion of Global Ship Lease Services Limited.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6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Global Ship Lease Services Limited has entered into an employment agreement with Mr. Lister and, pursuant to the inter-company agreement, Mr. Lister serves as our Chief Commercial Officer. Pursuant to his employment agreement, Mr. Lister receives an annual salary of £183,852 and is eligible to receive a bonus payment up to an annual maximum of 40% of his salary at the discretion of Global Ship Lease Services Limited.</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ind w:right="460" w:firstLine="913"/>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81" w:lineRule="exact"/>
        <w:rPr>
          <w:sz w:val="20"/>
          <w:szCs w:val="20"/>
          <w:color w:val="auto"/>
        </w:rPr>
      </w:pPr>
    </w:p>
    <w:p>
      <w:pPr>
        <w:ind w:right="340" w:firstLine="913"/>
        <w:spacing w:after="0" w:line="286" w:lineRule="auto"/>
        <w:rPr>
          <w:sz w:val="20"/>
          <w:szCs w:val="20"/>
          <w:color w:val="auto"/>
        </w:rPr>
      </w:pPr>
      <w:r>
        <w:rPr>
          <w:rFonts w:ascii="Arial" w:cs="Arial" w:eastAsia="Arial" w:hAnsi="Arial"/>
          <w:sz w:val="17"/>
          <w:szCs w:val="17"/>
          <w:color w:val="auto"/>
        </w:rPr>
        <w:t>Global Ship Lease Services Limited has entered into an employment agreement with Mr. Puri and, pursuant to the inter-company agreement, Mr. Puri serves as our Chief Technical Officer. Pursuant to his employment agreement, Mr. Puri receives an annual salary of £136,680 and is eligible to receive a bonus payment up to an annual maximum of 40% of his salary at the discretion of Global Ship Lease Services Limited.</w:t>
      </w:r>
    </w:p>
    <w:p>
      <w:pPr>
        <w:spacing w:after="0" w:line="166"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78"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117"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Chairman of our board of directors receives an annual fee of $157,500. Our other directors receive an annual fee of $105,000.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We adopted the 2008 Equity Incentive Plan (the “Plan”), which entitles our and our subsidiaries’ employees, consultants and directors to receive options, stock appreciation rights, stock grants, stock units and dividend equivalents. The following description of the Plan is a summary of the material terms of the Plan.</w:t>
      </w:r>
    </w:p>
    <w:p>
      <w:pPr>
        <w:spacing w:after="0" w:line="181"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The Plan is administered by our board of directors or a committee of the board of directors. Subject to adjustment as provided below, the maximum aggregate number of Class A common shares that may be delivered pursuant to awards granted under the Plan during the 10-year term of the Plan is 1,500,000. A total of 1,498,123 Class A common shares have been awarded under the Plan.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93"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In the event that we are subject to a change of control, the Plan administrator in its discretion may make such adjustments and other substitutions to the Plan and outstanding awards under the Plan as it deems equitable or desirable in its sole discretion.</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81"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other Class A common shareholders. The Plan administrator may provide a participant who holds stock grants with dividends or dividend equivalents payable in cash, Class A common shares or other property.</w:t>
      </w:r>
    </w:p>
    <w:p>
      <w:pPr>
        <w:spacing w:after="0" w:line="181"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70"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70"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In August 2008, our board of directors granted 375,000 restricted shares to Mr. Webber, 202,500 restricted shares to Ms. Cook and 202,500 restricted shares to Mr. Lister under the Plan, which were expected to vest over a</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three-year period. One third of the award vested over 20 business days commencing mid-September 2009, one third vested over 20 business days commencing mid-September 2010 and one third vested over 20 business days commencing mid-September 2011. In November 2008, Mr. Puri was granted 80,000 restricted shares, half of which vested over 20 business days commencing mid-September 2009 and half vested over 20 business days commencing mid-September 2010. In March 2011, Mr. Puri was granted 15,000 restricted shares which vested over 20 business days commencing mid-September 2011. In September 2011, Mr. Webber was granted 55,000 restricted shares, Ms. Cook 34,000 restricted shares, Mr. Lister 34,000 restricted shares and Mr. Puri 27,000 restricted shares, which were expected to vest over a two-year period. One half of the award was expected to vest over 20 business days commencing mid-September 2012, and one half over 20 business days commencing mid-September 2013. In March 2012, the grants made in September 2011 were amended and restated to provide that vesting would occur only when the individual leaves employment, for whatever reason, provided that this is after September 30, 2012 in respect of half of the grant and September 30, 2013 for the other half of the grant. In March 2012, Mr. Webber was granted 27,500 restricted shares, Ms. Cook 17,000 restricted shares, Mr. Lister 17,000 restricted shares and Mr. Puri 13,500 restricted shares, which are expected to vest when the individual leaves employment provided that this is after September 30, 2014 and is not as a result of resignation or termination for cause. In March 2013, Mr. Webber was granted 27,500 restricted shares, Ms. Cook 17,000 restricted shares, Mr. Lister 17,000 restricted shares and Mr. Puri 13,500 restricted shares, which are expected to vest when the individual leaves employment provided that this is after September 30, 2015 and is not as a result of resignation or termination for cause. Other than the annual awards of restricted stock units as part of the compensation of our board of directors, no other awards have been made.</w:t>
      </w:r>
    </w:p>
    <w:p>
      <w:pPr>
        <w:spacing w:after="0" w:line="316" w:lineRule="exact"/>
        <w:rPr>
          <w:sz w:val="20"/>
          <w:szCs w:val="20"/>
          <w:color w:val="auto"/>
        </w:rPr>
      </w:pPr>
    </w:p>
    <w:p>
      <w:pPr>
        <w:ind w:left="1480" w:hanging="567"/>
        <w:spacing w:after="0"/>
        <w:tabs>
          <w:tab w:leader="none" w:pos="14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12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board of directors is divided into three classes with one class of directors being elected in each year and each class serving a three-year term. The current term of office of the first class of directors consisting of Mr. Morel and Mr. Wils, from his appointment as a director by the board of directors on May 8, 2014 expires at the annual meeting of stockholders to be held in 2015.</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current term of office of the second class of directors, consisting of Mr. Boyd and Mr. Frew, expires at the annual meeting of stockholders to be held in July 2016. The term of office of the third class of directors, consisting of Mr. Gross and Mr. van de Merwe, from his appointment as a director by the board of directors on May 8, 2014, expires at the annual meeting of stockholders to be held in 2017. None of our directors have service contracts with us or any of our subsidiaries providing for benefits upon the termination of their employment.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117"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Our board of directors has determined that all directors are “independent directors” as such term is defined in Rule 10A-3 of the Exchange Act and the rules of the NYSE.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have established an Audit Committee, comprised of three members of our board of directors, who, as directed by our written Audit Committee Charter, are responsible for developing and maintaining our systems of internal accounting and financial controls, preparing our financial statements, recommending to the board of directors the engagement of our independent auditors, and pre-approving audit and audit-related services and fees. Our audit committee consists of Messrs. Boyd, Frew and Morel, each of whom is “independent” as defined in Rule 10A-3 of the Exchange Act and the rules of the NYSE. In addition, our board of directors has determined that Mr. Frew is an “audit committee financial expert” as that term is defined under Item 401 of Regulation S-K of the Securities Exchange Act of 1934, as amended.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117" w:lineRule="exact"/>
        <w:rPr>
          <w:sz w:val="20"/>
          <w:szCs w:val="20"/>
          <w:color w:val="auto"/>
        </w:rPr>
      </w:pPr>
    </w:p>
    <w:p>
      <w:pPr>
        <w:ind w:right="260" w:firstLine="913"/>
        <w:spacing w:after="0" w:line="34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124"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In addition, we have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Frew satisfies the NYSE’s definition of financial sophistication and also qualifies as an “audit committee financial expert,” as defined under rules and regulations of the SEC.</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and Gross.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the members of our board and senior executives. It also assesses the adequacy and effectiveness of our corporate governance guidelines, reviewing and recommending changes to the board whenever necessary.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117"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We have adopted a code of business conduct and ethics (“Code of Ethics”) that applies to our officers, employees and directors. More information on the Code of Ethics and board committee charters is available on our website (www.globalshiplease.com) and in print to any investor upon request.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117"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29" w:lineRule="exact"/>
        <w:rPr>
          <w:sz w:val="20"/>
          <w:szCs w:val="20"/>
          <w:color w:val="auto"/>
        </w:rPr>
      </w:pPr>
    </w:p>
    <w:p>
      <w:pPr>
        <w:ind w:left="1460" w:right="18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lieu of obtaining shareholder approval prior to the adoption of equity compensation plans, the full board of directors approves such adoption.</w:t>
      </w:r>
    </w:p>
    <w:p>
      <w:pPr>
        <w:spacing w:after="0" w:line="315" w:lineRule="exact"/>
        <w:rPr>
          <w:sz w:val="20"/>
          <w:szCs w:val="20"/>
          <w:color w:val="auto"/>
        </w:rPr>
      </w:pPr>
    </w:p>
    <w:p>
      <w:pPr>
        <w:ind w:left="1480" w:hanging="567"/>
        <w:spacing w:after="0"/>
        <w:tabs>
          <w:tab w:leader="none" w:pos="14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 December 31, 2014, we had eight employees.</w:t>
      </w:r>
    </w:p>
    <w:p>
      <w:pPr>
        <w:spacing w:after="0" w:line="370" w:lineRule="exact"/>
        <w:rPr>
          <w:sz w:val="20"/>
          <w:szCs w:val="20"/>
          <w:color w:val="auto"/>
        </w:rPr>
      </w:pPr>
    </w:p>
    <w:p>
      <w:pPr>
        <w:ind w:left="1480" w:hanging="567"/>
        <w:spacing w:after="0"/>
        <w:tabs>
          <w:tab w:leader="none" w:pos="14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See Item 7.A. “Major Shareholders and Related Party Transactions—Major Shareholders” for information regarding beneficial ownership by our directors and executive officers.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131" w:lineRule="exact"/>
        <w:rPr>
          <w:sz w:val="20"/>
          <w:szCs w:val="20"/>
          <w:color w:val="auto"/>
        </w:rPr>
      </w:pPr>
    </w:p>
    <w:p>
      <w:pPr>
        <w:ind w:left="1480" w:hanging="567"/>
        <w:spacing w:after="0"/>
        <w:tabs>
          <w:tab w:leader="none" w:pos="14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2015 by:</w:t>
      </w:r>
    </w:p>
    <w:p>
      <w:pPr>
        <w:spacing w:after="0" w:line="131" w:lineRule="exact"/>
        <w:rPr>
          <w:sz w:val="20"/>
          <w:szCs w:val="20"/>
          <w:color w:val="auto"/>
        </w:rPr>
      </w:pPr>
    </w:p>
    <w:p>
      <w:pPr>
        <w:ind w:left="1460" w:hanging="54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225"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of our common shares shown as beneficially owned, subject to applicable community property laws. As of March 31, 2015, an aggregate of 54,947,440 Class A and Class B common shares were issued and outstanding.</w:t>
      </w:r>
    </w:p>
    <w:p>
      <w:pPr>
        <w:spacing w:after="0" w:line="18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Class A common shares and the Class B common shares each have one vote and vote together as a single class except that any amendment to the articles of incorporation, including those made pursuant to the terms of any merger, consolidation or similar transaction, that would increase or decrease the aggregate number of authorized common shares of a class, increase or decrease the par value of common shares of a class, or alter or change the powers, preferences or rights of the class of common shares so as to affect them adversely, must be approved by the holders of not less than a majority of the votes entitled to be cast by the holders of such class of common shares then outstanding, voting separately as a class.</w:t>
      </w:r>
    </w:p>
    <w:p>
      <w:pPr>
        <w:spacing w:after="0" w:line="191" w:lineRule="exact"/>
        <w:rPr>
          <w:sz w:val="20"/>
          <w:szCs w:val="20"/>
          <w:color w:val="auto"/>
        </w:rPr>
      </w:pPr>
    </w:p>
    <w:tbl>
      <w:tblPr>
        <w:tblLayout w:type="fixed"/>
        <w:tblInd w:w="920" w:type="dxa"/>
        <w:tblCellMar>
          <w:top w:w="0" w:type="dxa"/>
          <w:left w:w="0" w:type="dxa"/>
          <w:bottom w:w="0" w:type="dxa"/>
          <w:right w:w="0" w:type="dxa"/>
        </w:tblCellMar>
      </w:tblPr>
      <w:tr>
        <w:trPr>
          <w:trHeight w:val="185"/>
        </w:trPr>
        <w:tc>
          <w:tcPr>
            <w:tcW w:w="52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23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4"/>
              </w:rPr>
              <w:t>Amount of</w:t>
            </w:r>
          </w:p>
        </w:tc>
        <w:tc>
          <w:tcPr>
            <w:tcW w:w="20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Approximate Percentage of</w:t>
            </w:r>
          </w:p>
        </w:tc>
      </w:tr>
      <w:tr>
        <w:trPr>
          <w:trHeight w:val="149"/>
        </w:trPr>
        <w:tc>
          <w:tcPr>
            <w:tcW w:w="52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Beneficial Owner (1)</w:t>
            </w:r>
          </w:p>
        </w:tc>
        <w:tc>
          <w:tcPr>
            <w:tcW w:w="2360" w:type="dxa"/>
            <w:vAlign w:val="bottom"/>
            <w:gridSpan w:val="2"/>
          </w:tcPr>
          <w:p>
            <w:pPr>
              <w:jc w:val="center"/>
              <w:ind w:right="1040"/>
              <w:spacing w:after="0" w:line="129" w:lineRule="exact"/>
              <w:rPr>
                <w:sz w:val="20"/>
                <w:szCs w:val="20"/>
                <w:color w:val="auto"/>
              </w:rPr>
            </w:pPr>
            <w:r>
              <w:rPr>
                <w:rFonts w:ascii="Arial" w:cs="Arial" w:eastAsia="Arial" w:hAnsi="Arial"/>
                <w:sz w:val="14"/>
                <w:szCs w:val="14"/>
                <w:b w:val="1"/>
                <w:bCs w:val="1"/>
                <w:color w:val="auto"/>
                <w:w w:val="92"/>
              </w:rPr>
              <w:t>Beneficial Ownership</w:t>
            </w:r>
          </w:p>
        </w:tc>
        <w:tc>
          <w:tcPr>
            <w:tcW w:w="20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1"/>
              </w:rPr>
              <w:t>Outstanding Common Shares</w:t>
            </w:r>
          </w:p>
        </w:tc>
      </w:tr>
      <w:tr>
        <w:trPr>
          <w:trHeight w:val="20"/>
        </w:trPr>
        <w:tc>
          <w:tcPr>
            <w:tcW w:w="132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197"/>
        </w:trPr>
        <w:tc>
          <w:tcPr>
            <w:tcW w:w="5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Michael S. Gross</w:t>
            </w:r>
            <w:r>
              <w:rPr>
                <w:rFonts w:ascii="Arial" w:cs="Arial" w:eastAsia="Arial" w:hAnsi="Arial"/>
                <w:sz w:val="15"/>
                <w:szCs w:val="15"/>
                <w:color w:val="auto"/>
              </w:rPr>
              <w:t>(2)(3)</w:t>
            </w:r>
          </w:p>
        </w:tc>
        <w:tc>
          <w:tcPr>
            <w:tcW w:w="1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10,737,004</w:t>
            </w:r>
          </w:p>
        </w:tc>
        <w:tc>
          <w:tcPr>
            <w:tcW w:w="104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19.54%</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Howard Boyd</w:t>
            </w:r>
            <w:r>
              <w:rPr>
                <w:rFonts w:ascii="Arial" w:cs="Arial" w:eastAsia="Arial" w:hAnsi="Arial"/>
                <w:sz w:val="15"/>
                <w:szCs w:val="15"/>
                <w:color w:val="auto"/>
              </w:rPr>
              <w:t>(3)</w:t>
            </w: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59,862</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r>
              <w:rPr>
                <w:rFonts w:ascii="Arial" w:cs="Arial" w:eastAsia="Arial" w:hAnsi="Arial"/>
                <w:sz w:val="15"/>
                <w:szCs w:val="15"/>
                <w:color w:val="auto"/>
              </w:rPr>
              <w:t>(3)</w:t>
            </w:r>
          </w:p>
        </w:tc>
        <w:tc>
          <w:tcPr>
            <w:tcW w:w="23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59,862</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Guy Morel</w:t>
            </w:r>
            <w:r>
              <w:rPr>
                <w:rFonts w:ascii="Arial" w:cs="Arial" w:eastAsia="Arial" w:hAnsi="Arial"/>
                <w:sz w:val="15"/>
                <w:szCs w:val="15"/>
                <w:color w:val="auto"/>
              </w:rPr>
              <w:t>(3)</w:t>
            </w: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59,862</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J. Webber</w:t>
            </w:r>
            <w:r>
              <w:rPr>
                <w:rFonts w:ascii="Arial" w:cs="Arial" w:eastAsia="Arial" w:hAnsi="Arial"/>
                <w:sz w:val="15"/>
                <w:szCs w:val="15"/>
                <w:color w:val="auto"/>
              </w:rPr>
              <w:t>(4)</w:t>
            </w:r>
          </w:p>
        </w:tc>
        <w:tc>
          <w:tcPr>
            <w:tcW w:w="23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204,800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0.37%</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Susan J. Cook</w:t>
            </w:r>
            <w:r>
              <w:rPr>
                <w:rFonts w:ascii="Arial" w:cs="Arial" w:eastAsia="Arial" w:hAnsi="Arial"/>
                <w:sz w:val="15"/>
                <w:szCs w:val="15"/>
                <w:color w:val="auto"/>
              </w:rPr>
              <w:t>(5)</w:t>
            </w: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103,600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Lister</w:t>
            </w:r>
            <w:r>
              <w:rPr>
                <w:rFonts w:ascii="Arial" w:cs="Arial" w:eastAsia="Arial" w:hAnsi="Arial"/>
                <w:sz w:val="15"/>
                <w:szCs w:val="15"/>
                <w:color w:val="auto"/>
              </w:rPr>
              <w:t>(6)</w:t>
            </w:r>
          </w:p>
        </w:tc>
        <w:tc>
          <w:tcPr>
            <w:tcW w:w="23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103,600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Vivek Puri</w:t>
            </w:r>
            <w:r>
              <w:rPr>
                <w:rFonts w:ascii="Arial" w:cs="Arial" w:eastAsia="Arial" w:hAnsi="Arial"/>
                <w:sz w:val="15"/>
                <w:szCs w:val="15"/>
                <w:color w:val="auto"/>
              </w:rPr>
              <w:t>(7)</w:t>
            </w: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49,400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r>
      <w:tr>
        <w:trPr>
          <w:trHeight w:val="202"/>
        </w:trPr>
        <w:tc>
          <w:tcPr>
            <w:tcW w:w="52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and executive officers as a group (8</w:t>
            </w:r>
          </w:p>
        </w:tc>
        <w:tc>
          <w:tcPr>
            <w:tcW w:w="1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2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individuals)</w:t>
            </w:r>
          </w:p>
        </w:tc>
        <w:tc>
          <w:tcPr>
            <w:tcW w:w="23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11,377,990</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20.71%</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CMA CGM S.A.</w:t>
            </w:r>
            <w:r>
              <w:rPr>
                <w:rFonts w:ascii="Arial" w:cs="Arial" w:eastAsia="Arial" w:hAnsi="Arial"/>
                <w:sz w:val="15"/>
                <w:szCs w:val="15"/>
                <w:color w:val="auto"/>
              </w:rPr>
              <w:t>(8)</w:t>
            </w:r>
          </w:p>
        </w:tc>
        <w:tc>
          <w:tcPr>
            <w:tcW w:w="2360" w:type="dxa"/>
            <w:vAlign w:val="bottom"/>
            <w:gridSpan w:val="2"/>
          </w:tcPr>
          <w:p>
            <w:pPr>
              <w:jc w:val="right"/>
              <w:ind w:right="1040"/>
              <w:spacing w:after="0"/>
              <w:rPr>
                <w:sz w:val="20"/>
                <w:szCs w:val="20"/>
                <w:color w:val="auto"/>
              </w:rPr>
            </w:pPr>
            <w:r>
              <w:rPr>
                <w:rFonts w:ascii="Arial" w:cs="Arial" w:eastAsia="Arial" w:hAnsi="Arial"/>
                <w:sz w:val="18"/>
                <w:szCs w:val="18"/>
                <w:color w:val="auto"/>
              </w:rPr>
              <w:t>24,412,700</w:t>
            </w:r>
          </w:p>
        </w:tc>
        <w:tc>
          <w:tcPr>
            <w:tcW w:w="2020" w:type="dxa"/>
            <w:vAlign w:val="bottom"/>
            <w:gridSpan w:val="2"/>
          </w:tcPr>
          <w:p>
            <w:pPr>
              <w:jc w:val="right"/>
              <w:ind w:right="60"/>
              <w:spacing w:after="0"/>
              <w:rPr>
                <w:sz w:val="20"/>
                <w:szCs w:val="20"/>
                <w:color w:val="auto"/>
              </w:rPr>
            </w:pPr>
            <w:r>
              <w:rPr>
                <w:rFonts w:ascii="Arial" w:cs="Arial" w:eastAsia="Arial" w:hAnsi="Arial"/>
                <w:sz w:val="18"/>
                <w:szCs w:val="18"/>
                <w:color w:val="auto"/>
              </w:rPr>
              <w:t>44.43%</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DePrince, Race &amp; Zollo, Inc.</w:t>
            </w:r>
            <w:r>
              <w:rPr>
                <w:rFonts w:ascii="Arial" w:cs="Arial" w:eastAsia="Arial" w:hAnsi="Arial"/>
                <w:sz w:val="15"/>
                <w:szCs w:val="15"/>
                <w:color w:val="auto"/>
              </w:rPr>
              <w:t>(9)</w:t>
            </w:r>
          </w:p>
        </w:tc>
        <w:tc>
          <w:tcPr>
            <w:tcW w:w="23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6,366,069</w:t>
            </w:r>
          </w:p>
        </w:tc>
        <w:tc>
          <w:tcPr>
            <w:tcW w:w="2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the individuals is c/o Portland House, Stag Place, London SW1E 5RS, United Kingdom.</w:t>
      </w:r>
    </w:p>
    <w:p>
      <w:pPr>
        <w:spacing w:after="0" w:line="34"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Marathon Founders, LLC is the record holder of 6,217,712 Class A and Class B common shares. Marathon Founders, LLC is owned and controlled by Mr. Gross. As a result, Mr. Gross may be deemed to beneficially own the shares held by Marathon Founders, LLC. The business address of Mr. Gross is c/o Marathon Founders, LLC, 500 Park Avenue, New York, New York 10022.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80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2015, Mr. Webber held 110,000 restricted stock units scheduled to vest after August 30, 2015 which are not included in the table above.</w:t>
      </w:r>
    </w:p>
    <w:p>
      <w:pPr>
        <w:ind w:left="460" w:right="20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2015, Ms. Cook held 68,000 restricted stock units scheduled to vest after August 30, 2015 which are not included in the table above.</w:t>
      </w:r>
    </w:p>
    <w:p>
      <w:pPr>
        <w:ind w:left="460" w:right="14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2015, Mr. Lister held 68,000 restricted stock units scheduled to vest after August 30, 2015 which are not included in the table above.</w:t>
      </w:r>
    </w:p>
    <w:p>
      <w:pPr>
        <w:ind w:left="460" w:right="18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2015, Mr. Puri held 54,000 restricted stock units scheduled to vest after August 30, 2015 which are not included in the table above.</w:t>
      </w:r>
    </w:p>
    <w:p>
      <w:pPr>
        <w:ind w:left="460" w:right="160" w:hanging="452"/>
        <w:spacing w:after="0" w:line="250"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CMA CGM S.A.is the record holder of 24,412,700 Class A and Class B common shares. The business address of CMA CGM S.A. is 4, quai d’Arenc, 13235 Marseille Cedex 02, France.</w:t>
      </w: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This information is based on the Schedule 13G filed with the SEC on February 6, 2015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As of March 31, 2015, we had 14 shareholders of record, six of which were located in the United States and held an aggregate of 31,231,757 of our Class A and Class B common shares, representing 56.8% of our outstanding common shares. However, one of the U.S. shareholders of record is CEDE &amp; CO., a nominee of The Depository Trust Company, which held 24,818,607 of our common shares as of March 31, 2015. We believe that the shares held by CEDE &amp; CO. include common shares beneficially owned by both holders in the United States and non-U.S. beneficial owners. We are not aware of any arrangements the operation of which may at a subsequent date result in our change of control.</w:t>
      </w:r>
    </w:p>
    <w:p>
      <w:pPr>
        <w:spacing w:after="0" w:line="317" w:lineRule="exact"/>
        <w:rPr>
          <w:sz w:val="20"/>
          <w:szCs w:val="20"/>
          <w:color w:val="auto"/>
        </w:rPr>
      </w:pPr>
    </w:p>
    <w:p>
      <w:pPr>
        <w:ind w:left="1480" w:hanging="567"/>
        <w:spacing w:after="0"/>
        <w:tabs>
          <w:tab w:leader="none" w:pos="148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See Item 4.B. “Information on the Company—Business Overview” for a discussion of our commercial transactions and agreements with CMA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CGM.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60" w:firstLine="913"/>
        <w:spacing w:after="0" w:line="287" w:lineRule="auto"/>
        <w:rPr>
          <w:sz w:val="20"/>
          <w:szCs w:val="20"/>
          <w:color w:val="auto"/>
        </w:rPr>
      </w:pPr>
      <w:r>
        <w:rPr>
          <w:rFonts w:ascii="Arial" w:cs="Arial" w:eastAsia="Arial" w:hAnsi="Arial"/>
          <w:sz w:val="16"/>
          <w:szCs w:val="16"/>
          <w:color w:val="auto"/>
        </w:rPr>
        <w:t>At the time of the Merger, we entered into a registration rights agreement with CMA CGM, Marathon Investors, LLC, Marathon Founders, LLC and the other initial stockholders of Marathon common stock (including Michael Gross), pursuant to which we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have the right to demand up to two registrations. These shareholders also have the right to request that we file a shelf registration statement with respect to their common shares as soon as the applicable transfer restrictions under the stockholders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 An amendment to the registration rights agreement was agreed on February 11, 2013 in the context of CMA CGM desiring to pledge their holdings of our Class A common shares and Class B common shares as security for a new facility agreement. The amendment provides that if we have received a notice of pledge in respect of these shares, then we may not file a registration statement in respect of them, essentially unless the pledgors agree. We received a notice of pledge on February 11, 2013. 10,737,004 common shares held by Marathon’s initial stockholders were registered for sale under Form F-3 filed with the Securities and Exchange Commission on July 28, 2014.</w:t>
      </w:r>
    </w:p>
    <w:p>
      <w:pPr>
        <w:spacing w:after="0" w:line="31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131" w:lineRule="exact"/>
        <w:rPr>
          <w:sz w:val="20"/>
          <w:szCs w:val="20"/>
          <w:color w:val="auto"/>
        </w:rPr>
      </w:pPr>
    </w:p>
    <w:p>
      <w:pPr>
        <w:ind w:left="1480" w:hanging="567"/>
        <w:spacing w:after="0"/>
        <w:tabs>
          <w:tab w:leader="none" w:pos="148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Other Financial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Please see Item 18. “Financial Statements”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In addition to the 47,541,484 Class A common shares outstanding at December 31, 2014, there were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88"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for that quarter;</w:t>
      </w:r>
    </w:p>
    <w:p>
      <w:pPr>
        <w:spacing w:after="0" w:line="170"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applicable dividend for that quarter;</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225"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Notwithstanding the foregoing, the dividend rights of the holders of Class B common shares continue to be subordinated to those of holders of Class A common shares absent a prior change in control of us.</w:t>
      </w:r>
    </w:p>
    <w:p>
      <w:pPr>
        <w:spacing w:after="0" w:line="17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revolving credit facility and the indenture that governs our notes,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5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We are not currently paying a dividend on our common shares. There were 1,400,000 depositary shares outstanding at December 31, 2014, each of which represents 1/100</w:t>
      </w:r>
      <w:r>
        <w:rPr>
          <w:rFonts w:ascii="Arial" w:cs="Arial" w:eastAsia="Arial" w:hAnsi="Arial"/>
          <w:sz w:val="15"/>
          <w:szCs w:val="15"/>
          <w:color w:val="auto"/>
        </w:rPr>
        <w:t>th</w:t>
      </w:r>
      <w:r>
        <w:rPr>
          <w:rFonts w:ascii="Arial" w:cs="Arial" w:eastAsia="Arial" w:hAnsi="Arial"/>
          <w:sz w:val="18"/>
          <w:szCs w:val="18"/>
          <w:color w:val="auto"/>
        </w:rPr>
        <w:t xml:space="preserve"> of one share of our Series B preferred shares. Dividends on the Series B preferred shares are payable at 8.75% per annum in arrears on a quarterly basis, when and if declared by the Board of Directors. Following the issuance of the Series B preferred shares of the Company,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10.B. “Additional Information—Memorandum and Articles of Association.” A dividend was declared with respect to our Series B preferred shares on September 22, 2014 and on December 10, 2014.</w:t>
      </w:r>
    </w:p>
    <w:p>
      <w:pPr>
        <w:spacing w:after="0" w:line="189"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Our ability to pay dividends may be subject to constraints under our revolving credit facility or the indenture governing our notes and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3.D. “Key Information—Risk Factors” for a discussion of the risks associated with our ability to pay dividends.</w:t>
      </w:r>
    </w:p>
    <w:p>
      <w:pPr>
        <w:spacing w:after="0" w:line="165" w:lineRule="exact"/>
        <w:rPr>
          <w:sz w:val="20"/>
          <w:szCs w:val="20"/>
          <w:color w:val="auto"/>
        </w:rPr>
      </w:pPr>
    </w:p>
    <w:p>
      <w:pPr>
        <w:jc w:val="both"/>
        <w:ind w:right="320" w:firstLine="913"/>
        <w:spacing w:after="0" w:line="264" w:lineRule="auto"/>
        <w:rPr>
          <w:sz w:val="20"/>
          <w:szCs w:val="20"/>
          <w:color w:val="auto"/>
        </w:rPr>
      </w:pPr>
      <w:r>
        <w:rPr>
          <w:rFonts w:ascii="Arial" w:cs="Arial" w:eastAsia="Arial" w:hAnsi="Arial"/>
          <w:sz w:val="18"/>
          <w:szCs w:val="18"/>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We believe that, under current U.S. federal income tax law, some portion of the distributions you receive from us will constitute dividends and, if you are an individual that is a citizen or resident of the U.S. and that meets certain holding period and other requirements, such dividends will be treated as “qualified dividend income” subject to tax at preferential rates. See Item. 10.E. “Additional Information—Taxation—Tax Consequences of Holding Class A Common Shares—Taxation of dividends paid on Class A common shares” for information regarding the eligibility requirements for “qualified dividend income” and for a discussion of proposed legislation that, if enacted, would prevent dividends paid by us from constituting qualified dividend income.</w:t>
      </w:r>
    </w:p>
    <w:p>
      <w:pPr>
        <w:spacing w:after="0" w:line="303" w:lineRule="exact"/>
        <w:rPr>
          <w:sz w:val="20"/>
          <w:szCs w:val="20"/>
          <w:color w:val="auto"/>
        </w:rPr>
      </w:pPr>
    </w:p>
    <w:p>
      <w:pPr>
        <w:ind w:left="1480" w:hanging="567"/>
        <w:spacing w:after="0"/>
        <w:tabs>
          <w:tab w:leader="none" w:pos="148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121"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On August 15, 2008, our Class A common shares began trading on the NYSE under the symbol “GSL”. On August 20, 2014, our Series B preferred shares began trading on the NYSE under the symbol “GSL-B”.</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sets forth the high and low closing sales price of our Class A common shares and our Series B preferred shares as reported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NYSE for the periods shown:</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4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w:t>
            </w:r>
          </w:p>
        </w:tc>
        <w:tc>
          <w:tcPr>
            <w:tcW w:w="1420" w:type="dxa"/>
            <w:vAlign w:val="bottom"/>
            <w:gridSpan w:val="5"/>
          </w:tcPr>
          <w:p>
            <w:pPr>
              <w:ind w:left="80"/>
              <w:spacing w:after="0"/>
              <w:rPr>
                <w:sz w:val="20"/>
                <w:szCs w:val="20"/>
                <w:color w:val="auto"/>
              </w:rPr>
            </w:pPr>
            <w:r>
              <w:rPr>
                <w:rFonts w:ascii="Arial" w:cs="Arial" w:eastAsia="Arial" w:hAnsi="Arial"/>
                <w:sz w:val="14"/>
                <w:szCs w:val="14"/>
                <w:b w:val="1"/>
                <w:bCs w:val="1"/>
                <w:color w:val="auto"/>
              </w:rPr>
              <w:t>Class A Common</w:t>
            </w:r>
          </w:p>
        </w:tc>
        <w:tc>
          <w:tcPr>
            <w:tcW w:w="200" w:type="dxa"/>
            <w:vAlign w:val="bottom"/>
          </w:tcPr>
          <w:p>
            <w:pPr>
              <w:spacing w:after="0"/>
              <w:rPr>
                <w:sz w:val="14"/>
                <w:szCs w:val="14"/>
                <w:color w:val="auto"/>
              </w:rPr>
            </w:pPr>
          </w:p>
        </w:tc>
        <w:tc>
          <w:tcPr>
            <w:tcW w:w="1480" w:type="dxa"/>
            <w:vAlign w:val="bottom"/>
            <w:gridSpan w:val="4"/>
          </w:tcPr>
          <w:p>
            <w:pPr>
              <w:ind w:left="120"/>
              <w:spacing w:after="0"/>
              <w:rPr>
                <w:sz w:val="20"/>
                <w:szCs w:val="20"/>
                <w:color w:val="auto"/>
              </w:rPr>
            </w:pPr>
            <w:r>
              <w:rPr>
                <w:rFonts w:ascii="Arial" w:cs="Arial" w:eastAsia="Arial" w:hAnsi="Arial"/>
                <w:sz w:val="14"/>
                <w:szCs w:val="14"/>
                <w:b w:val="1"/>
                <w:bCs w:val="1"/>
                <w:color w:val="auto"/>
              </w:rPr>
              <w:t>Series B Preferred</w:t>
            </w:r>
          </w:p>
        </w:tc>
        <w:tc>
          <w:tcPr>
            <w:tcW w:w="0" w:type="dxa"/>
            <w:vAlign w:val="bottom"/>
          </w:tcPr>
          <w:p>
            <w:pPr>
              <w:spacing w:after="0"/>
              <w:rPr>
                <w:sz w:val="1"/>
                <w:szCs w:val="1"/>
                <w:color w:val="auto"/>
              </w:rPr>
            </w:pPr>
          </w:p>
        </w:tc>
      </w:tr>
      <w:tr>
        <w:trPr>
          <w:trHeight w:val="142"/>
        </w:trPr>
        <w:tc>
          <w:tcPr>
            <w:tcW w:w="7400" w:type="dxa"/>
            <w:vAlign w:val="bottom"/>
            <w:gridSpan w:val="4"/>
            <w:vMerge w:val="continue"/>
          </w:tcPr>
          <w:p>
            <w:pPr>
              <w:spacing w:after="0"/>
              <w:rPr>
                <w:sz w:val="12"/>
                <w:szCs w:val="12"/>
                <w:color w:val="auto"/>
              </w:rPr>
            </w:pPr>
          </w:p>
        </w:tc>
        <w:tc>
          <w:tcPr>
            <w:tcW w:w="600" w:type="dxa"/>
            <w:vAlign w:val="bottom"/>
            <w:tcBorders>
              <w:top w:val="single" w:sz="8" w:color="auto"/>
            </w:tcBorders>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6"/>
              </w:rPr>
              <w:t>High</w:t>
            </w:r>
          </w:p>
        </w:tc>
        <w:tc>
          <w:tcPr>
            <w:tcW w:w="2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Borders>
              <w:top w:val="single" w:sz="8" w:color="auto"/>
            </w:tcBorders>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6"/>
              </w:rPr>
              <w:t>High</w:t>
            </w:r>
          </w:p>
        </w:tc>
        <w:tc>
          <w:tcPr>
            <w:tcW w:w="5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December</w:t>
            </w:r>
          </w:p>
        </w:tc>
        <w:tc>
          <w:tcPr>
            <w:tcW w:w="6640" w:type="dxa"/>
            <w:vAlign w:val="bottom"/>
            <w:tcBorders>
              <w:top w:val="single" w:sz="8" w:color="CCEEFF"/>
            </w:tcBorders>
            <w:gridSpan w:val="3"/>
            <w:shd w:val="clear" w:color="auto" w:fill="CCEEFF"/>
          </w:tcPr>
          <w:p>
            <w:pPr>
              <w:jc w:val="right"/>
              <w:ind w:right="5980"/>
              <w:spacing w:after="0"/>
              <w:rPr>
                <w:sz w:val="20"/>
                <w:szCs w:val="20"/>
                <w:color w:val="auto"/>
              </w:rPr>
            </w:pPr>
            <w:r>
              <w:rPr>
                <w:rFonts w:ascii="Arial" w:cs="Arial" w:eastAsia="Arial" w:hAnsi="Arial"/>
                <w:sz w:val="18"/>
                <w:szCs w:val="18"/>
                <w:color w:val="auto"/>
                <w:w w:val="91"/>
              </w:rPr>
              <w:t>31, 2010</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$5.35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December 31, 2011</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$7.43</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$1.65</w:t>
            </w:r>
          </w:p>
        </w:tc>
        <w:tc>
          <w:tcPr>
            <w:tcW w:w="2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2012</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$3.90</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$1.60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$6.34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$4.61</w:t>
            </w:r>
          </w:p>
        </w:tc>
        <w:tc>
          <w:tcPr>
            <w:tcW w:w="2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$5.85</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6"/>
              </w:rPr>
              <w:t>Quarter Ended</w:t>
            </w:r>
          </w:p>
        </w:tc>
        <w:tc>
          <w:tcPr>
            <w:tcW w:w="64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High</w:t>
            </w:r>
          </w:p>
        </w:tc>
        <w:tc>
          <w:tcPr>
            <w:tcW w:w="38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Low</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2013</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$3.06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$4.61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June 30, 2013</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$4.68</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$3.90</w:t>
            </w:r>
          </w:p>
        </w:tc>
        <w:tc>
          <w:tcPr>
            <w:tcW w:w="2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2013</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$5.18</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$3.96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December 31, 2013</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$6.34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$4.91</w:t>
            </w:r>
          </w:p>
        </w:tc>
        <w:tc>
          <w:tcPr>
            <w:tcW w:w="2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2014</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$5.85</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$4.12</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June 30, 2014</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$4.44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$3.72</w:t>
            </w:r>
          </w:p>
        </w:tc>
        <w:tc>
          <w:tcPr>
            <w:tcW w:w="20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September 30, 2014 (Series B preferred from August 20, 2014)</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$4.40</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$3.63</w:t>
            </w:r>
          </w:p>
        </w:tc>
        <w:tc>
          <w:tcPr>
            <w:tcW w:w="1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$24.70</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$22.00</w:t>
            </w: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December 31, 2014</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$4.50</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$3.12</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$23.20</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$17.44</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March 31, 2015</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$5.64</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$4.63</w:t>
            </w:r>
          </w:p>
        </w:tc>
        <w:tc>
          <w:tcPr>
            <w:tcW w:w="1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$23.30</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378"/>
        </w:trPr>
        <w:tc>
          <w:tcPr>
            <w:tcW w:w="7400" w:type="dxa"/>
            <w:vAlign w:val="bottom"/>
            <w:gridSpan w:val="4"/>
          </w:tcPr>
          <w:p>
            <w:pPr>
              <w:spacing w:after="0"/>
              <w:rPr>
                <w:sz w:val="20"/>
                <w:szCs w:val="20"/>
                <w:color w:val="auto"/>
              </w:rPr>
            </w:pPr>
            <w:r>
              <w:rPr>
                <w:rFonts w:ascii="Arial" w:cs="Arial" w:eastAsia="Arial" w:hAnsi="Arial"/>
                <w:sz w:val="14"/>
                <w:szCs w:val="14"/>
                <w:b w:val="1"/>
                <w:bCs w:val="1"/>
                <w:color w:val="auto"/>
              </w:rPr>
              <w:t>Month Ended</w:t>
            </w: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High</w:t>
            </w:r>
          </w:p>
        </w:tc>
        <w:tc>
          <w:tcPr>
            <w:tcW w:w="200" w:type="dxa"/>
            <w:vAlign w:val="bottom"/>
          </w:tcPr>
          <w:p>
            <w:pPr>
              <w:spacing w:after="0"/>
              <w:rPr>
                <w:sz w:val="24"/>
                <w:szCs w:val="2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9"/>
              </w:rPr>
              <w:t>Low</w:t>
            </w:r>
          </w:p>
        </w:tc>
        <w:tc>
          <w:tcPr>
            <w:tcW w:w="20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10"/>
        </w:trPr>
        <w:tc>
          <w:tcPr>
            <w:tcW w:w="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October 31,</w:t>
            </w:r>
          </w:p>
        </w:tc>
        <w:tc>
          <w:tcPr>
            <w:tcW w:w="6540" w:type="dxa"/>
            <w:vAlign w:val="bottom"/>
            <w:tcBorders>
              <w:top w:val="single" w:sz="8" w:color="CCEEFF"/>
            </w:tcBorders>
            <w:gridSpan w:val="2"/>
            <w:shd w:val="clear" w:color="auto" w:fill="CCEEFF"/>
          </w:tcPr>
          <w:p>
            <w:pPr>
              <w:jc w:val="right"/>
              <w:ind w:right="6140"/>
              <w:spacing w:after="0"/>
              <w:rPr>
                <w:sz w:val="20"/>
                <w:szCs w:val="20"/>
                <w:color w:val="auto"/>
              </w:rPr>
            </w:pPr>
            <w:r>
              <w:rPr>
                <w:rFonts w:ascii="Arial" w:cs="Arial" w:eastAsia="Arial" w:hAnsi="Arial"/>
                <w:sz w:val="18"/>
                <w:szCs w:val="18"/>
                <w:color w:val="auto"/>
                <w:w w:val="94"/>
              </w:rPr>
              <w:t>2014</w:t>
            </w: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$4.04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$3.12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$23.20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November 30, 2014</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$3.99</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$3.61</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$21.28</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$19.50</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$4.50</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$3.74</w:t>
            </w:r>
          </w:p>
        </w:tc>
        <w:tc>
          <w:tcPr>
            <w:tcW w:w="1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$19.65</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$17.44</w:t>
            </w:r>
          </w:p>
        </w:tc>
        <w:tc>
          <w:tcPr>
            <w:tcW w:w="0" w:type="dxa"/>
            <w:vAlign w:val="bottom"/>
          </w:tcPr>
          <w:p>
            <w:pPr>
              <w:spacing w:after="0"/>
              <w:rPr>
                <w:sz w:val="1"/>
                <w:szCs w:val="1"/>
                <w:color w:val="auto"/>
              </w:rPr>
            </w:pPr>
          </w:p>
        </w:tc>
      </w:tr>
      <w:tr>
        <w:trPr>
          <w:trHeight w:val="216"/>
        </w:trPr>
        <w:tc>
          <w:tcPr>
            <w:tcW w:w="7400" w:type="dxa"/>
            <w:vAlign w:val="bottom"/>
            <w:gridSpan w:val="4"/>
          </w:tcPr>
          <w:p>
            <w:pPr>
              <w:spacing w:after="0"/>
              <w:rPr>
                <w:sz w:val="20"/>
                <w:szCs w:val="20"/>
                <w:color w:val="auto"/>
              </w:rPr>
            </w:pPr>
            <w:r>
              <w:rPr>
                <w:rFonts w:ascii="Arial" w:cs="Arial" w:eastAsia="Arial" w:hAnsi="Arial"/>
                <w:sz w:val="18"/>
                <w:szCs w:val="18"/>
                <w:color w:val="auto"/>
              </w:rPr>
              <w:t>January 31, 2015</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$5.07</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$4.63</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$21.75</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$18.19</w:t>
            </w:r>
          </w:p>
        </w:tc>
        <w:tc>
          <w:tcPr>
            <w:tcW w:w="0" w:type="dxa"/>
            <w:vAlign w:val="bottom"/>
          </w:tcPr>
          <w:p>
            <w:pPr>
              <w:spacing w:after="0"/>
              <w:rPr>
                <w:sz w:val="1"/>
                <w:szCs w:val="1"/>
                <w:color w:val="auto"/>
              </w:rPr>
            </w:pPr>
          </w:p>
        </w:tc>
      </w:tr>
      <w:tr>
        <w:trPr>
          <w:trHeight w:val="216"/>
        </w:trPr>
        <w:tc>
          <w:tcPr>
            <w:tcW w:w="7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February 28, 2015</w:t>
            </w:r>
          </w:p>
        </w:tc>
        <w:tc>
          <w:tcPr>
            <w:tcW w:w="6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$5.41</w:t>
            </w:r>
          </w:p>
        </w:tc>
        <w:tc>
          <w:tcPr>
            <w:tcW w:w="8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$4.65</w:t>
            </w:r>
          </w:p>
        </w:tc>
        <w:tc>
          <w:tcPr>
            <w:tcW w:w="10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0"/>
              </w:rPr>
              <w:t>$22.95</w:t>
            </w:r>
          </w:p>
        </w:tc>
        <w:tc>
          <w:tcPr>
            <w:tcW w:w="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$19.94</w:t>
            </w:r>
          </w:p>
        </w:tc>
        <w:tc>
          <w:tcPr>
            <w:tcW w:w="0" w:type="dxa"/>
            <w:vAlign w:val="bottom"/>
          </w:tcPr>
          <w:p>
            <w:pPr>
              <w:spacing w:after="0"/>
              <w:rPr>
                <w:sz w:val="1"/>
                <w:szCs w:val="1"/>
                <w:color w:val="auto"/>
              </w:rPr>
            </w:pPr>
          </w:p>
        </w:tc>
      </w:tr>
      <w:tr>
        <w:trPr>
          <w:trHeight w:val="230"/>
        </w:trPr>
        <w:tc>
          <w:tcPr>
            <w:tcW w:w="7400" w:type="dxa"/>
            <w:vAlign w:val="bottom"/>
            <w:gridSpan w:val="4"/>
          </w:tcPr>
          <w:p>
            <w:pPr>
              <w:spacing w:after="0"/>
              <w:rPr>
                <w:sz w:val="20"/>
                <w:szCs w:val="20"/>
                <w:color w:val="auto"/>
              </w:rPr>
            </w:pPr>
            <w:r>
              <w:rPr>
                <w:rFonts w:ascii="Arial" w:cs="Arial" w:eastAsia="Arial" w:hAnsi="Arial"/>
                <w:sz w:val="18"/>
                <w:szCs w:val="18"/>
                <w:color w:val="auto"/>
              </w:rPr>
              <w:t>March 31, 2015</w:t>
            </w:r>
          </w:p>
        </w:tc>
        <w:tc>
          <w:tcPr>
            <w:tcW w:w="6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$5.64</w:t>
            </w: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3"/>
              </w:rPr>
              <w:t>$4.99</w:t>
            </w: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$23.30</w:t>
            </w:r>
          </w:p>
        </w:tc>
        <w:tc>
          <w:tcPr>
            <w:tcW w:w="6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$22.40</w:t>
            </w:r>
          </w:p>
        </w:tc>
        <w:tc>
          <w:tcPr>
            <w:tcW w:w="0" w:type="dxa"/>
            <w:vAlign w:val="bottom"/>
          </w:tcPr>
          <w:p>
            <w:pPr>
              <w:spacing w:after="0"/>
              <w:rPr>
                <w:sz w:val="1"/>
                <w:szCs w:val="1"/>
                <w:color w:val="auto"/>
              </w:rPr>
            </w:pPr>
          </w:p>
        </w:tc>
      </w:tr>
    </w:tbl>
    <w:p>
      <w:pPr>
        <w:spacing w:after="0" w:line="33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131" w:lineRule="exact"/>
        <w:rPr>
          <w:sz w:val="20"/>
          <w:szCs w:val="20"/>
          <w:color w:val="auto"/>
        </w:rPr>
      </w:pPr>
    </w:p>
    <w:p>
      <w:pPr>
        <w:ind w:left="1480" w:hanging="567"/>
        <w:spacing w:after="0"/>
        <w:tabs>
          <w:tab w:leader="none" w:pos="14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480" w:hanging="567"/>
        <w:spacing w:after="0"/>
        <w:tabs>
          <w:tab w:leader="none" w:pos="148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87"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333-153448), filed with the SEC on September 12, 2008 and hereby incorporated by reference into this Annual Report and there have been no changes since that date, other than the issuance of the Series B preferred shares in August 2014.</w:t>
      </w:r>
    </w:p>
    <w:p>
      <w:pPr>
        <w:spacing w:after="0" w:line="181"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On August 20, 2014, we issued 1,400,000 Depositary Shares, each of which represents 1/100th of one share of our Series B preferred shares. In the event of any liquidation, dissolution or winding up of our affairs, holders of the Series B preferred shares will have the right to receive the liquidation preference of $2,500.00 per share of Series B preferred shares (equivalent to $25.00 per depositary share or $35.0 million in the aggregate) plus an amount equal to all accumulated and unpaid dividends thereon to the date of payment, whether or not declared. Dividends are payable at 8.75% per annum in arrears on a quarterly basis, when and if declared by the Board of Directors. Following the issuance of the Series B preferred shares of the Company, no dividend may be declared or paid or set apart for payment on our common stock and each other class or series of capital stock established after the original issue date of the Series B preferred shares that is not expressly made senior to or on parity with the Series B preferred shares as to the payment of dividends and amounts payable upon liquidation, dissolution or winding up, whether voluntary or involuntary (“Junior Securities”) (other than a dividend payable solely in Junior Securities), unless full cumulative dividends have been or contemporaneously are being paid or declared and set aside for payment on all outstanding Series B preferred shares and any securities that rank pari passu with the Series B preferred shares through the most recent respective dividend payment dates. Holders of the Series B preferred shares generally have no voting rights, except in limited circumstances.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rights, preferences and restrictions attaching to the Series B preferred shares are described in the section “Description of Series B Preferred Shares and Depositary Shares” of our prospectus supplement dated August 13, 2014 filed with the SEC on August 15, 2014 and hereby incorporated by reference into this Annual Report and there have been no changes since that date. The rights, preferences and restrictions attaching to the Series B preferred shares are further qualified by (i) the Certificate of Designations of Global Ship Lease, Inc., filed with the Registrar or Deputy Registrar of Corporations of the Republic of the Marshall Islands and effective August 19, 2014, and (ii) the Deposit Agreement, dated as of August 20, 2014, by and among Global Ship Lease, Inc., Computershare Inc. and Computershare Trust Company, N.A., as applicable, as depositary, registrar and transfer agent, and the holders from time to time of the depositary receipts described therein (each of (i) and (ii) being incorporated by reference to Exhibits 3.1 and 4.1, respectively, of Global Ship Lease, Inc.’s Current Report on Form 6-K (File No. 001-34153) filed on August 20, 2014), each of which is hereby incorporated by reference into this Annual Report and there have been no changes since that date.</w:t>
      </w:r>
    </w:p>
    <w:p>
      <w:pPr>
        <w:spacing w:after="0" w:line="182" w:lineRule="exact"/>
        <w:rPr>
          <w:sz w:val="20"/>
          <w:szCs w:val="20"/>
          <w:color w:val="auto"/>
        </w:rPr>
      </w:pPr>
    </w:p>
    <w:p>
      <w:pPr>
        <w:ind w:right="320" w:firstLine="913"/>
        <w:spacing w:after="0" w:line="308" w:lineRule="auto"/>
        <w:rPr>
          <w:sz w:val="20"/>
          <w:szCs w:val="20"/>
          <w:color w:val="auto"/>
        </w:rPr>
      </w:pPr>
      <w:r>
        <w:rPr>
          <w:rFonts w:ascii="Arial" w:cs="Arial" w:eastAsia="Arial" w:hAnsi="Arial"/>
          <w:sz w:val="17"/>
          <w:szCs w:val="17"/>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91" w:lineRule="exact"/>
        <w:rPr>
          <w:sz w:val="20"/>
          <w:szCs w:val="20"/>
          <w:color w:val="auto"/>
        </w:rPr>
      </w:pPr>
    </w:p>
    <w:p>
      <w:pPr>
        <w:ind w:left="1480" w:hanging="567"/>
        <w:spacing w:after="0"/>
        <w:tabs>
          <w:tab w:leader="none" w:pos="14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Reference is made to Item 4.B. “Information on the Company—Business Overview” for a description of the time charters, the ship management agreements and the global expense agreement, which are incorporated herein by reference. Reference is made to Item 5.B. “Operating and Financial Review and Prospects—Liquidity and Capital Resources—Liquidity, working capital and dividends—Indebtedness” for a description of the credit agreement governing our revolving credit facility and the indenture governing our notes, which are incorporated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herein by reference. Reference is made to Item 6.B. “Directors, Senior Management and Employees—Compensation” for a description of employment agreements, which is incorporated herein by reference. Reference is made to Item 7.B. “Major Shareholders and Related Party Transactions—Related Party Transactions” for a description of the registration rights agreement, which is incorporated herein by reference.</w:t>
      </w:r>
    </w:p>
    <w:p>
      <w:pPr>
        <w:spacing w:after="0" w:line="326" w:lineRule="exact"/>
        <w:rPr>
          <w:sz w:val="20"/>
          <w:szCs w:val="20"/>
          <w:color w:val="auto"/>
        </w:rPr>
      </w:pPr>
    </w:p>
    <w:p>
      <w:pPr>
        <w:ind w:left="1480" w:hanging="567"/>
        <w:spacing w:after="0"/>
        <w:tabs>
          <w:tab w:leader="none" w:pos="148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121" w:lineRule="exact"/>
        <w:rPr>
          <w:sz w:val="20"/>
          <w:szCs w:val="20"/>
          <w:color w:val="auto"/>
        </w:rPr>
      </w:pPr>
    </w:p>
    <w:p>
      <w:pPr>
        <w:ind w:right="80" w:firstLine="913"/>
        <w:spacing w:after="0" w:line="34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24"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315" w:lineRule="exact"/>
        <w:rPr>
          <w:sz w:val="20"/>
          <w:szCs w:val="20"/>
          <w:color w:val="auto"/>
        </w:rPr>
      </w:pPr>
    </w:p>
    <w:p>
      <w:pPr>
        <w:ind w:left="1480" w:hanging="567"/>
        <w:spacing w:after="0"/>
        <w:tabs>
          <w:tab w:leader="none" w:pos="14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The following represents the material U.S. federal income tax consequences of the acquisition, ownership and disposition of our Class A common shares.</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This section is based on current provisions of the Code current and proposed Treasury regulations promulgated thereunder, and administrative and judicial decisions as of the date hereof, all of which are subject to change, possibly on a retroactive basis.</w:t>
      </w:r>
    </w:p>
    <w:p>
      <w:pPr>
        <w:spacing w:after="0" w:line="170"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60" w:lineRule="exact"/>
        <w:rPr>
          <w:sz w:val="20"/>
          <w:szCs w:val="20"/>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taxpayers who hold Class A common shares as part of a straddle, hedge, conversion transaction or other integrated transaction;</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80"/>
          </w:cols>
          <w:pgMar w:left="240" w:top="459" w:right="3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should consult their tax advisors regarding the specific tax consequences to them of the acquisition, holding or disposition of our Class A common shares, in light of their particular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117"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117"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For foreign corporations not engaged in a U.S. trade or business, the U.S.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includes time charter and bareboat charter income). The U.S. source portion of transportation income includes 50% of the income attributable to voyages that begin or end (but not both) in the U.S.. Generally, no amount of the income from voyages that begin and end outside the U.S. is treated as U.S. source, and consequently none of the transportation income attributable to such voyages is subject to this 4% tax. Although the entire amount of transportation income from voyages that begin and end in the U.S. would be U.S. source, we do not expect to have any transportation income from voyages that begin and end in the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11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We do not expect to engage in any activities in the U.S. or otherwise have a fixed place of business in the U.S. Nonetheless, if this situation were to change or we were to be treated as engaged in a U.S. trade or business, all or a portion of our taxable income, including gain from the sale of vessels, could be treated as effectively connected with the conduct of this U.S.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117" w:lineRule="exact"/>
        <w:rPr>
          <w:sz w:val="20"/>
          <w:szCs w:val="20"/>
          <w:color w:val="auto"/>
        </w:rPr>
      </w:pPr>
    </w:p>
    <w:p>
      <w:pPr>
        <w:ind w:right="100" w:firstLine="913"/>
        <w:spacing w:after="0" w:line="34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29" w:lineRule="exact"/>
        <w:rPr>
          <w:sz w:val="20"/>
          <w:szCs w:val="20"/>
          <w:color w:val="auto"/>
        </w:rPr>
      </w:pPr>
    </w:p>
    <w:p>
      <w:pPr>
        <w:ind w:left="1460" w:right="160" w:hanging="547"/>
        <w:spacing w:after="0" w:line="277" w:lineRule="auto"/>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be organized in a jurisdiction outside the U.S. that grants an equivalent exemption from tax to corporations organized in the U.S., which we call an Equivalent Exemption;</w:t>
      </w:r>
    </w:p>
    <w:p>
      <w:pPr>
        <w:spacing w:after="0" w:line="75" w:lineRule="exact"/>
        <w:rPr>
          <w:rFonts w:ascii="Arial" w:cs="Arial" w:eastAsia="Arial" w:hAnsi="Arial"/>
          <w:sz w:val="18"/>
          <w:szCs w:val="18"/>
          <w:color w:val="auto"/>
        </w:rPr>
      </w:pPr>
    </w:p>
    <w:p>
      <w:pPr>
        <w:ind w:left="1460" w:right="600" w:hanging="547"/>
        <w:spacing w:after="0" w:line="308" w:lineRule="auto"/>
        <w:tabs>
          <w:tab w:leader="none" w:pos="1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satisfy one of the following three ownership tests (discussed in more detail below): (1) the more than 50% ownership test, or 50% Ownership Test, (2) the controlled foreign corporation test, or CFC Test or (3) the “Publicly Traded Test”; and</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U.S. income tax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913"/>
        <w:spacing w:after="0" w:line="276" w:lineRule="auto"/>
        <w:rPr>
          <w:sz w:val="20"/>
          <w:szCs w:val="20"/>
          <w:color w:val="auto"/>
        </w:rPr>
      </w:pPr>
      <w:r>
        <w:rPr>
          <w:rFonts w:ascii="Arial" w:cs="Arial" w:eastAsia="Arial" w:hAnsi="Arial"/>
          <w:sz w:val="17"/>
          <w:szCs w:val="17"/>
          <w:color w:val="auto"/>
        </w:rPr>
        <w:t>We are organized under the laws of the Marshall Islands. Each of the vessels in the fleet is owned by a separate wholly owned subsidiary organized either in the Marshall Islands, Cyprus or Hong Kong. The U.S. Treasury Department recognizes the Marshall Islands, Cyprus and Hong Kong as jurisdictions that grant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117" w:lineRule="exact"/>
        <w:rPr>
          <w:sz w:val="20"/>
          <w:szCs w:val="20"/>
          <w:color w:val="auto"/>
        </w:rPr>
      </w:pPr>
    </w:p>
    <w:p>
      <w:pPr>
        <w:jc w:val="both"/>
        <w:ind w:right="280" w:firstLine="913"/>
        <w:spacing w:after="0" w:line="288" w:lineRule="auto"/>
        <w:rPr>
          <w:sz w:val="20"/>
          <w:szCs w:val="20"/>
          <w:color w:val="auto"/>
        </w:rPr>
      </w:pPr>
      <w:r>
        <w:rPr>
          <w:rFonts w:ascii="Arial" w:cs="Arial" w:eastAsia="Arial" w:hAnsi="Arial"/>
          <w:sz w:val="16"/>
          <w:szCs w:val="16"/>
          <w:color w:val="auto"/>
        </w:rPr>
        <w:t>In order to satisfy the 50% Ownership Test, a non-U.S.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U.S., that grant an Equivalent Exemption,</w:t>
      </w:r>
    </w:p>
    <w:p>
      <w:pPr>
        <w:ind w:right="520" w:firstLine="8"/>
        <w:spacing w:after="0" w:line="255"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w:t>
      </w:r>
    </w:p>
    <w:p>
      <w:pPr>
        <w:spacing w:after="0" w:line="190"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may not currently be able to satisfy the 50% Ownership Test due to our lack of knowledge of the direct and indirect owners of entities which own our Class A common shares.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CFC Test requires that the non-U.S.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11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non-U.S. corporation be “primarily and regularly traded” on an established securities market either in the U.S. or in a foreign country that grants an Equivalent Exemption.</w:t>
      </w:r>
    </w:p>
    <w:p>
      <w:pPr>
        <w:spacing w:after="0" w:line="181"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U.S. Moreover, the Class A common shares represent more than 50% of both the voting power and value of all classes of our shares.</w:t>
      </w:r>
    </w:p>
    <w:p>
      <w:pPr>
        <w:spacing w:after="0" w:line="193"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1 / 6 of the days in a short taxable year); and (2) the aggregate number of common shares traded on the established securities market during the taxable year is at least 10% of the average number of outstanding common shares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88"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6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Based on information that we have as to our shareholders and other matters, we believed that we qualified for the Section 883 exemption for 2014 under the Publicly Traded Test, and expect to so qualify for 2015. However, it is possible that our ownership may change such that qualified shareholders will not own, in the aggregate, a sufficient amount of our stock for more than half the days during the taxable year to preclude the non-qualifying 5% shareholders from owning 50% or more of the total value of our stock held by the 5% Shareholders group, causing the 5% Override Rule to apply. If the 5% Override Rule applies, we would fail the Publicly Traded Test, and may fail to qualify for the Section 883 exemption.</w:t>
      </w:r>
    </w:p>
    <w:p>
      <w:pPr>
        <w:spacing w:after="0" w:line="173"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Such an ownership change, and certain other requirements for our stock to be treated as primarily and regularly traded on an established securities market, are outside of our control and, as a result, no assurances can be provided that our stock will be so treated for any year. Moreover, since the availability of the Section 883 exemption depends on other matters over which we have no control, we can give no assurances that we will, or will continue to, qualify for the Section 883 exemption.</w:t>
      </w:r>
    </w:p>
    <w:p>
      <w:pPr>
        <w:spacing w:after="0" w:line="187" w:lineRule="exact"/>
        <w:rPr>
          <w:sz w:val="20"/>
          <w:szCs w:val="20"/>
          <w:color w:val="auto"/>
        </w:rPr>
      </w:pPr>
    </w:p>
    <w:p>
      <w:pPr>
        <w:ind w:right="180" w:firstLine="913"/>
        <w:spacing w:after="0" w:line="264" w:lineRule="auto"/>
        <w:rPr>
          <w:sz w:val="20"/>
          <w:szCs w:val="20"/>
          <w:color w:val="auto"/>
        </w:rPr>
      </w:pPr>
      <w:r>
        <w:rPr>
          <w:rFonts w:ascii="Arial" w:cs="Arial" w:eastAsia="Arial" w:hAnsi="Arial"/>
          <w:sz w:val="18"/>
          <w:szCs w:val="18"/>
          <w:color w:val="auto"/>
        </w:rPr>
        <w:t>If we were not to qualify for the Section 883 exemption in any year, the U.S.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11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have never been, engaged in a U.S. trade or business. Under certain circumstances, if we are so engaged, gain on sale of vessels could be subject to U.S. federal income tax.</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117"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(1) at least 80% (by vote or value) of the stock of the foreign corporation is owned by former shareholders of the U.S. corporation by reason of owning stock in the U.S. corporation, and (2) the foreign corporation’s expanded affiliate group does not have substantial business activities in the foreign corporation’s jurisdiction of organization.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34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131" w:lineRule="exact"/>
        <w:rPr>
          <w:sz w:val="20"/>
          <w:szCs w:val="20"/>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460" w:right="20" w:hanging="547"/>
        <w:spacing w:after="0" w:line="277"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U.S., any state thereof or the District of Columbia;</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460" w:right="400" w:hanging="547"/>
        <w:spacing w:after="0" w:line="264" w:lineRule="auto"/>
        <w:tabs>
          <w:tab w:leader="none" w:pos="14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11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73"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U.S. (such as the NYSE), the U.S. holder meets certain holding period and other requirements and we are not a PFIC in the taxable year in which the dividends are paid or in the immediately preceding taxable year. Special rules may apply to any “extraordinary dividend” paid by us. An extraordinary dividend is, generally, a dividend with respect to a share if the amount of the dividend is equal to or in excess of 10 percent of a shareholder’s adjusted basis (or fair market value in certain circumstances) in such share.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117"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3.8% tax on net investment income</w:t>
      </w:r>
    </w:p>
    <w:p>
      <w:pPr>
        <w:spacing w:after="0" w:line="117"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which constitute dividends and gain upon a sale, exchange or other disposition of our Class A common shares. This tax is in addition to any income taxes due on such investment income.</w:t>
      </w:r>
    </w:p>
    <w:p>
      <w:pPr>
        <w:spacing w:after="0" w:line="173"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117" w:lineRule="exact"/>
        <w:rPr>
          <w:sz w:val="20"/>
          <w:szCs w:val="20"/>
          <w:color w:val="auto"/>
        </w:rPr>
      </w:pPr>
    </w:p>
    <w:p>
      <w:pPr>
        <w:ind w:right="100" w:firstLine="913"/>
        <w:spacing w:after="0" w:line="293" w:lineRule="auto"/>
        <w:rPr>
          <w:sz w:val="20"/>
          <w:szCs w:val="20"/>
          <w:color w:val="auto"/>
        </w:rPr>
      </w:pPr>
      <w:r>
        <w:rPr>
          <w:rFonts w:ascii="Arial" w:cs="Arial" w:eastAsia="Arial" w:hAnsi="Arial"/>
          <w:sz w:val="16"/>
          <w:szCs w:val="16"/>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6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87"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this regard, we have been advised by our tax advisor that the income from our chartering activities is, more likely than not,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 and we have not obtained advice from our tax advisor on whether we are a PFIC.</w:t>
      </w:r>
    </w:p>
    <w:p>
      <w:pPr>
        <w:spacing w:after="0" w:line="18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Further, in a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w:t>
      </w:r>
      <w:r>
        <w:rPr>
          <w:rFonts w:ascii="Arial" w:cs="Arial" w:eastAsia="Arial" w:hAnsi="Arial"/>
          <w:sz w:val="17"/>
          <w:szCs w:val="17"/>
          <w:i w:val="1"/>
          <w:iCs w:val="1"/>
          <w:color w:val="auto"/>
        </w:rPr>
        <w:t xml:space="preserve">Tidewater </w:t>
      </w:r>
      <w:r>
        <w:rPr>
          <w:rFonts w:ascii="Arial" w:cs="Arial" w:eastAsia="Arial" w:hAnsi="Arial"/>
          <w:sz w:val="17"/>
          <w:szCs w:val="17"/>
          <w:color w:val="auto"/>
        </w:rPr>
        <w:t>decision, and in its discussion stated that the time charters at issue in</w:t>
      </w:r>
      <w:r>
        <w:rPr>
          <w:rFonts w:ascii="Arial" w:cs="Arial" w:eastAsia="Arial" w:hAnsi="Arial"/>
          <w:sz w:val="17"/>
          <w:szCs w:val="17"/>
          <w:i w:val="1"/>
          <w:iCs w:val="1"/>
          <w:color w:val="auto"/>
        </w:rPr>
        <w:t xml:space="preserve"> Tidewater </w:t>
      </w:r>
      <w:r>
        <w:rPr>
          <w:rFonts w:ascii="Arial" w:cs="Arial" w:eastAsia="Arial" w:hAnsi="Arial"/>
          <w:sz w:val="17"/>
          <w:szCs w:val="17"/>
          <w:color w:val="auto"/>
        </w:rPr>
        <w:t>would be treated as producing services income for PFIC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IRS’s statement with respect to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cannot be relied upon or otherwise cited as precedent by taxpayers. Further, the facts in </w:t>
      </w:r>
      <w:r>
        <w:rPr>
          <w:rFonts w:ascii="Arial" w:cs="Arial" w:eastAsia="Arial" w:hAnsi="Arial"/>
          <w:sz w:val="17"/>
          <w:szCs w:val="17"/>
          <w:i w:val="1"/>
          <w:iCs w:val="1"/>
          <w:color w:val="auto"/>
        </w:rPr>
        <w:t>Tidewater</w:t>
      </w:r>
      <w:r>
        <w:rPr>
          <w:rFonts w:ascii="Arial" w:cs="Arial" w:eastAsia="Arial" w:hAnsi="Arial"/>
          <w:sz w:val="17"/>
          <w:szCs w:val="17"/>
          <w:color w:val="auto"/>
        </w:rPr>
        <w:t xml:space="preserve"> are not directly analogous to our facts. Consequently, no assurance can be given that the IRS or a court of law would accept our position, and there is a risk that the IRS or a court of law could determine that the company is a PFIC.</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If we were to be classified as a PFIC in any year, each U.S. holder of our Class A common shares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60" w:lineRule="exact"/>
        <w:rPr>
          <w:sz w:val="20"/>
          <w:szCs w:val="20"/>
          <w:color w:val="auto"/>
        </w:rPr>
      </w:pPr>
    </w:p>
    <w:p>
      <w:pPr>
        <w:ind w:left="1460" w:hanging="547"/>
        <w:spacing w:after="0"/>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130" w:lineRule="exact"/>
        <w:rPr>
          <w:rFonts w:ascii="Arial" w:cs="Arial" w:eastAsia="Arial" w:hAnsi="Arial"/>
          <w:sz w:val="18"/>
          <w:szCs w:val="18"/>
          <w:color w:val="auto"/>
        </w:rPr>
      </w:pPr>
    </w:p>
    <w:p>
      <w:pPr>
        <w:ind w:left="1460" w:right="320" w:hanging="547"/>
        <w:spacing w:after="0" w:line="277" w:lineRule="auto"/>
        <w:tabs>
          <w:tab w:leader="none" w:pos="1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75" w:lineRule="exact"/>
        <w:rPr>
          <w:rFonts w:ascii="Arial" w:cs="Arial" w:eastAsia="Arial" w:hAnsi="Arial"/>
          <w:sz w:val="18"/>
          <w:szCs w:val="18"/>
          <w:color w:val="auto"/>
        </w:rPr>
      </w:pPr>
    </w:p>
    <w:p>
      <w:pPr>
        <w:ind w:left="1460" w:right="60" w:hanging="547"/>
        <w:spacing w:after="0" w:line="286" w:lineRule="auto"/>
        <w:tabs>
          <w:tab w:leader="none" w:pos="1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66"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In addition, each U.S. holder of our Class A common shares will be required to file an IRS Form 8621 if such U.S. holder holds its shares in any year in which we were classified as a PFIC.</w:t>
      </w:r>
    </w:p>
    <w:p>
      <w:pPr>
        <w:spacing w:after="0" w:line="170" w:lineRule="exact"/>
        <w:rPr>
          <w:sz w:val="20"/>
          <w:szCs w:val="20"/>
          <w:color w:val="auto"/>
        </w:rPr>
      </w:pPr>
    </w:p>
    <w:p>
      <w:pPr>
        <w:ind w:right="120" w:firstLine="913"/>
        <w:spacing w:after="0" w:line="286" w:lineRule="auto"/>
        <w:rPr>
          <w:sz w:val="20"/>
          <w:szCs w:val="20"/>
          <w:color w:val="auto"/>
        </w:rPr>
      </w:pPr>
      <w:r>
        <w:rPr>
          <w:rFonts w:ascii="Arial" w:cs="Arial" w:eastAsia="Arial" w:hAnsi="Arial"/>
          <w:sz w:val="16"/>
          <w:szCs w:val="16"/>
          <w:color w:val="auto"/>
        </w:rPr>
        <w:t>In order to avoid the application of the PFIC rules,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69" w:lineRule="exact"/>
        <w:rPr>
          <w:sz w:val="20"/>
          <w:szCs w:val="20"/>
          <w:color w:val="auto"/>
        </w:rPr>
      </w:pPr>
    </w:p>
    <w:p>
      <w:pPr>
        <w:ind w:right="140" w:firstLine="913"/>
        <w:spacing w:after="0" w:line="291" w:lineRule="auto"/>
        <w:rPr>
          <w:sz w:val="20"/>
          <w:szCs w:val="20"/>
          <w:color w:val="auto"/>
        </w:rPr>
      </w:pPr>
      <w:r>
        <w:rPr>
          <w:rFonts w:ascii="Arial" w:cs="Arial" w:eastAsia="Arial" w:hAnsi="Arial"/>
          <w:sz w:val="16"/>
          <w:szCs w:val="16"/>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w:t>
      </w:r>
    </w:p>
    <w:p>
      <w:pPr>
        <w:ind w:firstLine="8"/>
        <w:spacing w:after="0" w:line="268" w:lineRule="auto"/>
        <w:tabs>
          <w:tab w:leader="none" w:pos="2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117"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preferential rates of tax on qualified dividends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82"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Additionally, if we are treated as a CFC, gains realized by a U.S. 10% Holder on the sale or other disposition of Class A common shares may be treated as dividend income to the extent of our certain accumulated earnings and profits. Moreover, for taxable years of a U.S. 10% Holder in which we are a CFC, and our taxable years that end with or within such taxable years of such U.S. 10% Holders, we generally will not be treated as a PFIC with respect to Class A common shares held by such U.S. 10% Holder (but may be treated as a PFIC with respect to other U.S. holders).</w:t>
      </w:r>
    </w:p>
    <w:p>
      <w:pPr>
        <w:spacing w:after="0" w:line="17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U.S. trade or business.</w:t>
      </w:r>
    </w:p>
    <w:p>
      <w:pPr>
        <w:spacing w:after="0" w:line="18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If we are treated as a U.S. corporation pursuant to Section 7874 of the Code, non-U.S. holders generally will be subject to withholding tax at a rate of 30% on all dividends paid by us, unless a reduced rate of tax is available under a tax treaty.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8.75% Series B Cumulative Redeemable Perpetual Preferred Shares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Series B preferred shares are treated as equity rather than debt for U.S. federal income tax purposes.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Marshall Islands Taxation</w:t>
      </w:r>
    </w:p>
    <w:p>
      <w:pPr>
        <w:spacing w:after="0" w:line="121"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Because we do not (and do not expect in the future) that we will conduct business or operations in the Republic of The Marshall Islands, we are not subject to income, capital gains, profits or other taxation under current Marshall Islands law.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Taxation</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are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331" w:lineRule="exact"/>
        <w:rPr>
          <w:sz w:val="20"/>
          <w:szCs w:val="20"/>
          <w:color w:val="auto"/>
        </w:rPr>
      </w:pPr>
    </w:p>
    <w:p>
      <w:pPr>
        <w:ind w:left="1480" w:hanging="567"/>
        <w:spacing w:after="0"/>
        <w:tabs>
          <w:tab w:leader="none" w:pos="148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480" w:hanging="567"/>
        <w:spacing w:after="0"/>
        <w:tabs>
          <w:tab w:leader="none" w:pos="148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by Experts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480" w:hanging="567"/>
        <w:spacing w:after="0"/>
        <w:tabs>
          <w:tab w:leader="none" w:pos="14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3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We are exposed to the impact of interest rate changes primarily through our floating-rate borrowings under our revolving credit facility. Significant increases in interest rates could adversely affect our results of operations and our ability to service our own debt. Details of the expected maturity of our borrowings are presented in Item 5.F. “Operating and Financial Review and Prospects—Contractual Obligations”.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Based on maximum borrowings of $40.0 million under the revolving credit facility and ignoring cash on deposit, a hypothetical 1% increase in LIBOR would have the impact of reducing our annual net income, before income taxes, by approximately $0.4 million.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shipping industry’s functional currency is the U.S. dollar. All of our revenues and the majority of our operating costs are in U.S.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global expense agreement, under certain predefined circumstances, we will be able to recover a portion of our vessel operating costs above a pre-determined threshold.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Description of Securities Other than Equity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00" w:firstLine="913"/>
        <w:spacing w:after="0" w:line="271" w:lineRule="auto"/>
        <w:rPr>
          <w:sz w:val="20"/>
          <w:szCs w:val="20"/>
          <w:color w:val="auto"/>
        </w:rPr>
      </w:pPr>
      <w:r>
        <w:rPr>
          <w:rFonts w:ascii="Arial" w:cs="Arial" w:eastAsia="Arial" w:hAnsi="Arial"/>
          <w:sz w:val="17"/>
          <w:szCs w:val="17"/>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matter how well designed and operated, can provide only reasonable assurance of achieving the desired control objectives, and management was required to apply its judgment in evaluating and implementing possible controls and procedures.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2014, the end of the period covered by this report, our disclosure controls and procedures were effective.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60" w:lineRule="exact"/>
        <w:rPr>
          <w:sz w:val="20"/>
          <w:szCs w:val="20"/>
          <w:color w:val="auto"/>
        </w:rPr>
      </w:pPr>
    </w:p>
    <w:p>
      <w:pPr>
        <w:ind w:left="1460" w:hanging="547"/>
        <w:spacing w:after="0"/>
        <w:tabs>
          <w:tab w:leader="none" w:pos="1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53" w:lineRule="exact"/>
        <w:rPr>
          <w:rFonts w:ascii="Arial" w:cs="Arial" w:eastAsia="Arial" w:hAnsi="Arial"/>
          <w:sz w:val="16"/>
          <w:szCs w:val="16"/>
          <w:color w:val="auto"/>
        </w:rPr>
      </w:pPr>
    </w:p>
    <w:p>
      <w:pPr>
        <w:ind w:left="1460" w:hanging="547"/>
        <w:spacing w:after="0" w:line="264" w:lineRule="auto"/>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86" w:lineRule="exact"/>
        <w:rPr>
          <w:rFonts w:ascii="Arial" w:cs="Arial" w:eastAsia="Arial" w:hAnsi="Arial"/>
          <w:sz w:val="18"/>
          <w:szCs w:val="18"/>
          <w:color w:val="auto"/>
        </w:rPr>
      </w:pPr>
    </w:p>
    <w:p>
      <w:pPr>
        <w:ind w:left="1460" w:right="200" w:hanging="547"/>
        <w:spacing w:after="0" w:line="277" w:lineRule="auto"/>
        <w:tabs>
          <w:tab w:leader="none" w:pos="1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Management evaluated the effectiveness of our internal control over financial reporting as of December 31, 2014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2014.</w:t>
      </w:r>
    </w:p>
    <w:p>
      <w:pPr>
        <w:spacing w:after="0" w:line="166"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effectiveness of our internal controls over financial reporting as of December 31, 2014 has been audited by PricewaterhouseCoopers Audit, France, the independent registered public accounting firm that audited our December 31, 2014 consolidated financial statements, as stated in their report which is included 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During the year ended December 31, 2014 there were no changes with regard to internal control over financial reporting that has materially affected or is reasonably likely to materially affect our internal control over financial reporting.</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Board has determined that director and chairman of the Audit Committee, Mr. Frew, qualifies as an audit committee financial expert and is independent under applicable NYSE and SEC standards.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21"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principal accountant for 2014 and 2013 was PricewaterhouseCoopers Audit, France, an independent registered public accounting firm.</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Incurred by Global Ship Lease for PricewaterhouseCoopers Audit’s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2014 and 2013 the fees for services rendered by the auditors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6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2014</w:t>
            </w:r>
          </w:p>
        </w:tc>
        <w:tc>
          <w:tcPr>
            <w:tcW w:w="11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$ 311,900</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$318,400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Audit-Related Fees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116,375</w:t>
            </w:r>
          </w:p>
        </w:tc>
        <w:tc>
          <w:tcPr>
            <w:tcW w:w="100" w:type="dxa"/>
            <w:vAlign w:val="bottom"/>
            <w:shd w:val="clear" w:color="auto" w:fill="CCEEFF"/>
          </w:tcPr>
          <w:p>
            <w:pPr>
              <w:spacing w:after="0"/>
              <w:rPr>
                <w:sz w:val="18"/>
                <w:szCs w:val="18"/>
                <w:color w:val="auto"/>
              </w:rPr>
            </w:pPr>
          </w:p>
        </w:tc>
      </w:tr>
      <w:tr>
        <w:trPr>
          <w:trHeight w:val="223"/>
        </w:trPr>
        <w:tc>
          <w:tcPr>
            <w:tcW w:w="67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507,000</w:t>
            </w:r>
          </w:p>
        </w:tc>
        <w:tc>
          <w:tcPr>
            <w:tcW w:w="4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504,775</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fees for 2014 and 2013 are primarily for tax consultation services.</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services, subject to a detailed pre-approval policy and procedure established by them and also subject to a limit for all non-audit fees of $100,000 per year.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color w:val="auto"/>
        </w:rPr>
        <w:t>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color w:val="auto"/>
        </w:rPr>
        <w:t>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color w:val="auto"/>
        </w:rPr>
        <w:t>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jc w:val="center"/>
        <w:ind w:right="8500"/>
        <w:spacing w:after="0"/>
        <w:tabs>
          <w:tab w:leader="none" w:pos="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color w:val="auto"/>
        </w:rPr>
        <w:t>Corporate Governance</w:t>
      </w:r>
    </w:p>
    <w:p>
      <w:pPr>
        <w:spacing w:after="0" w:line="121" w:lineRule="exact"/>
        <w:rPr>
          <w:sz w:val="20"/>
          <w:szCs w:val="20"/>
          <w:color w:val="auto"/>
        </w:rPr>
      </w:pPr>
    </w:p>
    <w:p>
      <w:pPr>
        <w:jc w:val="center"/>
        <w:ind w:right="848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are the significant ways in which our corporate governance practices differ from those followed by domestic companies:</w:t>
      </w:r>
    </w:p>
    <w:p>
      <w:pPr>
        <w:spacing w:after="0" w:line="142" w:lineRule="exact"/>
        <w:rPr>
          <w:sz w:val="20"/>
          <w:szCs w:val="20"/>
          <w:color w:val="auto"/>
        </w:rPr>
      </w:pPr>
    </w:p>
    <w:p>
      <w:pPr>
        <w:ind w:left="1460" w:right="180" w:hanging="547"/>
        <w:spacing w:after="0" w:line="277" w:lineRule="auto"/>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75" w:lineRule="exact"/>
        <w:rPr>
          <w:rFonts w:ascii="Arial" w:cs="Arial" w:eastAsia="Arial" w:hAnsi="Arial"/>
          <w:sz w:val="18"/>
          <w:szCs w:val="18"/>
          <w:color w:val="auto"/>
        </w:rPr>
      </w:pPr>
    </w:p>
    <w:p>
      <w:pPr>
        <w:ind w:left="1460" w:right="340" w:hanging="547"/>
        <w:spacing w:after="0" w:line="277" w:lineRule="auto"/>
        <w:tabs>
          <w:tab w:leader="none" w:pos="1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lieu of obtaining shareholder approval prior to the adoption of equity compensation plans, the full board of directors approves such adoption.</w:t>
      </w:r>
    </w:p>
    <w:p>
      <w:pPr>
        <w:spacing w:after="0" w:line="170" w:lineRule="exact"/>
        <w:rPr>
          <w:sz w:val="20"/>
          <w:szCs w:val="20"/>
          <w:color w:val="auto"/>
        </w:rPr>
      </w:pPr>
    </w:p>
    <w:p>
      <w:pPr>
        <w:ind w:right="20" w:firstLine="913"/>
        <w:spacing w:after="0" w:line="34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68" w:lineRule="exact"/>
        <w:rPr>
          <w:sz w:val="20"/>
          <w:szCs w:val="20"/>
          <w:color w:val="auto"/>
        </w:rPr>
      </w:pPr>
    </w:p>
    <w:p>
      <w:pPr>
        <w:jc w:val="center"/>
        <w:ind w:right="8440"/>
        <w:spacing w:after="0"/>
        <w:tabs>
          <w:tab w:leader="none" w:pos="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jc w:val="center"/>
        <w:ind w:right="8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financial statements, together with the report of PricewaterhouseCoopers Audit thereon, are filed as part of this Annual Report:</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176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9360" w:type="dxa"/>
            <w:vAlign w:val="bottom"/>
            <w:gridSpan w:val="6"/>
            <w:vMerge w:val="continue"/>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9360" w:type="dxa"/>
            <w:vAlign w:val="bottom"/>
            <w:gridSpan w:val="6"/>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464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107">
              <w:r>
                <w:rPr>
                  <w:rFonts w:ascii="Arial" w:cs="Arial" w:eastAsia="Arial" w:hAnsi="Arial"/>
                  <w:sz w:val="18"/>
                  <w:szCs w:val="18"/>
                  <w:color w:val="0000EE"/>
                  <w:w w:val="88"/>
                </w:rPr>
                <w:t>Consolidated Balance Sheets as at December 31, 2014 and 2013</w:t>
              </w:r>
            </w:hyperlink>
          </w:p>
        </w:tc>
        <w:tc>
          <w:tcPr>
            <w:tcW w:w="4720" w:type="dxa"/>
            <w:vAlign w:val="bottom"/>
            <w:gridSpan w:val="4"/>
          </w:tcPr>
          <w:p>
            <w:pPr>
              <w:spacing w:after="0"/>
              <w:rPr>
                <w:sz w:val="16"/>
                <w:szCs w:val="16"/>
                <w:color w:val="auto"/>
              </w:rPr>
            </w:pPr>
          </w:p>
        </w:tc>
        <w:tc>
          <w:tcPr>
            <w:tcW w:w="2060" w:type="dxa"/>
            <w:vAlign w:val="bottom"/>
            <w:gridSpan w:val="2"/>
          </w:tcPr>
          <w:p>
            <w:pPr>
              <w:ind w:left="1760"/>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6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Consolidated Statements of Income for the years ended December 31, 2014, 2013 and 2012</w:t>
              </w:r>
            </w:hyperlink>
          </w:p>
        </w:tc>
        <w:tc>
          <w:tcPr>
            <w:tcW w:w="2740" w:type="dxa"/>
            <w:vAlign w:val="bottom"/>
            <w:gridSpan w:val="3"/>
          </w:tcPr>
          <w:p>
            <w:pPr>
              <w:spacing w:after="0"/>
              <w:rPr>
                <w:sz w:val="17"/>
                <w:szCs w:val="17"/>
                <w:color w:val="auto"/>
              </w:rPr>
            </w:pPr>
          </w:p>
        </w:tc>
        <w:tc>
          <w:tcPr>
            <w:tcW w:w="2060" w:type="dxa"/>
            <w:vAlign w:val="bottom"/>
            <w:gridSpan w:val="2"/>
          </w:tcPr>
          <w:p>
            <w:pPr>
              <w:ind w:left="176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9">
              <w:r>
                <w:rPr>
                  <w:rFonts w:ascii="Arial" w:cs="Arial" w:eastAsia="Arial" w:hAnsi="Arial"/>
                  <w:sz w:val="18"/>
                  <w:szCs w:val="18"/>
                  <w:color w:val="0000EE"/>
                  <w:w w:val="89"/>
                </w:rPr>
                <w:t>Consolidated Statements of Cash Flows for the years ended December 31, 2014, 2013 and 2012</w:t>
              </w:r>
            </w:hyperlink>
          </w:p>
        </w:tc>
        <w:tc>
          <w:tcPr>
            <w:tcW w:w="2440" w:type="dxa"/>
            <w:vAlign w:val="bottom"/>
            <w:gridSpan w:val="2"/>
          </w:tcPr>
          <w:p>
            <w:pPr>
              <w:spacing w:after="0"/>
              <w:rPr>
                <w:sz w:val="17"/>
                <w:szCs w:val="17"/>
                <w:color w:val="auto"/>
              </w:rPr>
            </w:pPr>
          </w:p>
        </w:tc>
        <w:tc>
          <w:tcPr>
            <w:tcW w:w="2060" w:type="dxa"/>
            <w:vAlign w:val="bottom"/>
            <w:gridSpan w:val="2"/>
          </w:tcPr>
          <w:p>
            <w:pPr>
              <w:ind w:left="176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Statements of Stockholders’ Equity for the years ended December 31, 2014, 2013 and 2012</w:t>
              </w:r>
            </w:hyperlink>
          </w:p>
        </w:tc>
        <w:tc>
          <w:tcPr>
            <w:tcW w:w="1760" w:type="dxa"/>
            <w:vAlign w:val="bottom"/>
          </w:tcPr>
          <w:p>
            <w:pPr>
              <w:spacing w:after="0"/>
              <w:rPr>
                <w:sz w:val="17"/>
                <w:szCs w:val="17"/>
                <w:color w:val="auto"/>
              </w:rPr>
            </w:pPr>
          </w:p>
        </w:tc>
        <w:tc>
          <w:tcPr>
            <w:tcW w:w="2060" w:type="dxa"/>
            <w:vAlign w:val="bottom"/>
            <w:gridSpan w:val="2"/>
          </w:tcPr>
          <w:p>
            <w:pPr>
              <w:ind w:left="176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9360" w:type="dxa"/>
            <w:vAlign w:val="bottom"/>
            <w:gridSpan w:val="6"/>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Notes to the Consolidated Financial Statements</w:t>
              </w:r>
            </w:hyperlink>
          </w:p>
        </w:tc>
        <w:tc>
          <w:tcPr>
            <w:tcW w:w="2060" w:type="dxa"/>
            <w:vAlign w:val="bottom"/>
            <w:gridSpan w:val="2"/>
          </w:tcPr>
          <w:p>
            <w:pPr>
              <w:ind w:left="176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3420" w:type="dxa"/>
            <w:vAlign w:val="bottom"/>
            <w:tcBorders>
              <w:top w:val="single" w:sz="8" w:color="0000EE"/>
            </w:tcBorders>
          </w:tcPr>
          <w:p>
            <w:pPr>
              <w:spacing w:after="0"/>
              <w:rPr>
                <w:sz w:val="24"/>
                <w:szCs w:val="24"/>
                <w:color w:val="auto"/>
              </w:rPr>
            </w:pPr>
          </w:p>
        </w:tc>
        <w:tc>
          <w:tcPr>
            <w:tcW w:w="3200" w:type="dxa"/>
            <w:vAlign w:val="bottom"/>
            <w:gridSpan w:val="2"/>
          </w:tcPr>
          <w:p>
            <w:pPr>
              <w:jc w:val="right"/>
              <w:ind w:right="82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580" w:type="dxa"/>
            <w:vAlign w:val="bottom"/>
            <w:gridSpan w:val="3"/>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580" w:type="dxa"/>
            <w:vAlign w:val="bottom"/>
            <w:gridSpan w:val="3"/>
          </w:tcPr>
          <w:p>
            <w:pPr>
              <w:ind w:left="140"/>
              <w:spacing w:after="0"/>
              <w:rPr>
                <w:sz w:val="20"/>
                <w:szCs w:val="20"/>
                <w:color w:val="auto"/>
              </w:rPr>
            </w:pPr>
            <w:r>
              <w:rPr>
                <w:rFonts w:ascii="Arial" w:cs="Arial" w:eastAsia="Arial" w:hAnsi="Arial"/>
                <w:sz w:val="18"/>
                <w:szCs w:val="18"/>
                <w:color w:val="auto"/>
              </w:rPr>
              <w:t>The following exhibits are filed as part of this Annual Report:</w:t>
            </w:r>
          </w:p>
        </w:tc>
      </w:tr>
      <w:tr>
        <w:trPr>
          <w:trHeight w:val="369"/>
        </w:trPr>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5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185"/>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580" w:type="dxa"/>
            <w:vAlign w:val="bottom"/>
            <w:gridSpan w:val="3"/>
          </w:tcPr>
          <w:p>
            <w:pPr>
              <w:ind w:left="51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r>
      <w:tr>
        <w:trPr>
          <w:trHeight w:val="277"/>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6"/>
              </w:rPr>
              <w:t>Amended and Restated Articles of Incorporation of GSL Holdings, Inc. (incorporated by reference to Exhibit C to Exhibit 2.1 Marathon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4"/>
              </w:rPr>
              <w:t>Amended and Restated By-laws of GSL Holdings, Inc. (incorporated by reference to Exhibit 3.2 of Global Ship Lease, Inc.’s Registration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Statement on Form F-4 (File No. 333-150309) filed on April 18,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5"/>
              </w:rPr>
              <w:t>Certificate of Designations of Global Ship Lease, Inc., filed with the Registrar or Deputy Registrar of Corporations of the Republic of the</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5"/>
              </w:rPr>
              <w:t>Marshall Islands and effective August 19, 2014 (incorporated by reference to Exhibit 3.1 of Global Ship Lease, Inc.’s Current Report 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Form 6-K (File No. 001-34153) filed on August 20, 2014).</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1"/>
              </w:rPr>
              <w:t>Specimen Class A common share certificate (incorporated by reference to Exhibit 4.2 of Global Ship Lease, Inc.’s Registration Statement 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Form F-1 (File No. 333-153448) filed on September 12,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4"/>
              </w:rPr>
              <w:t>Deposit Agreement, dated as of August 20, 2014, by and among Global Ship Lease, Inc., Computershare Inc. and Computershare Trust</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89"/>
              </w:rPr>
              <w:t>Company, N.A., as applicable, as depositary, registrar and transfer agent, and the holders from time to time of the depositary receipts described</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6"/>
              </w:rPr>
              <w:t>therein (incorporated by reference to Exhibit 4.1 of Global Ship Lease, Inc.’s Current Report on Form 6-K (File No. 001-34153) filed 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August 20, 2014).</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Agreement and Plan of Merger by and among Marathon Acquisition Corp., GSL Holdings, Inc., Global Ship Lease, Inc. and CMA CGM S.A.,</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dated as of March 21, 2008 (incorporated by reference to Exhibit 2.1 of Marathon Acquisition Corp.’s Current Report on Form 8-K (File No.</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001-32983) filed on March 25,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Amendment, dated as of June 2, 2008, to Agreement and Plan of Merger, dated as of March 21, 2008, among Marathon Acquisition Corp.,</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GSL Holdings, Inc., CMA CGM S.A. and Global Ship Lease, Inc. (incorporated by reference to Exhibit 2.1 of Marathon Acquisition Corp.’s</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(File No. 001-32983) filed on June 3,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Second Amendment, dated as of July 3, 2008, to Agreement and Plan of Merger, dated as of March 21, 2008, among Marathon Acquisition</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Corp., GSL Holdings, Inc., CMA CGM S.A. and Global Ship Lease, Inc., as amended (incorporated by reference to Exhibit 2.1 of Marathon</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Form of Registration Rights Agreement between GSL Holdings, Inc., Marathon Founders, LLC, Marathon Investors, LLC, the insiders listed</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3"/>
              </w:rPr>
              <w:t>on the signature page thereto and CMA CGM S.A. (incorporated by reference to Exhibit A-1 to Exhibit 2.1 of Marathon Acquisition Corp.’s</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Current Report on Form 8-K (File No. 001-32983) filed on July 24, 2008).</w:t>
            </w:r>
          </w:p>
        </w:tc>
      </w:tr>
      <w:tr>
        <w:trPr>
          <w:trHeight w:val="310"/>
        </w:trPr>
        <w:tc>
          <w:tcPr>
            <w:tcW w:w="520" w:type="dxa"/>
            <w:vAlign w:val="bottom"/>
          </w:tcPr>
          <w:p>
            <w:pPr>
              <w:jc w:val="right"/>
              <w:ind w:right="113"/>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24"/>
                <w:szCs w:val="24"/>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2"/>
              </w:rPr>
              <w:t>First Amendment to Registration Rights Agreement, dated as of February 11,2013, among Global Ship Lease, Inc. (formerly GSL Holdings,</w:t>
            </w:r>
          </w:p>
        </w:tc>
      </w:tr>
      <w:tr>
        <w:trPr>
          <w:trHeight w:val="216"/>
        </w:trPr>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w w:val="95"/>
              </w:rPr>
              <w:t>Inc.) and CMA CGM S.A. (incorporated by reference to Exhibit 1 of Global Ship Lease, Inc.’s Current Report on Form 6-K (File No. 001-</w:t>
            </w:r>
          </w:p>
        </w:tc>
      </w:tr>
      <w:tr>
        <w:trPr>
          <w:trHeight w:val="230"/>
        </w:trPr>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580" w:type="dxa"/>
            <w:vAlign w:val="bottom"/>
            <w:gridSpan w:val="3"/>
          </w:tcPr>
          <w:p>
            <w:pPr>
              <w:ind w:left="300"/>
              <w:spacing w:after="0"/>
              <w:rPr>
                <w:sz w:val="20"/>
                <w:szCs w:val="20"/>
                <w:color w:val="auto"/>
              </w:rPr>
            </w:pPr>
            <w:r>
              <w:rPr>
                <w:rFonts w:ascii="Arial" w:cs="Arial" w:eastAsia="Arial" w:hAnsi="Arial"/>
                <w:sz w:val="18"/>
                <w:szCs w:val="18"/>
                <w:color w:val="auto"/>
              </w:rPr>
              <w:t>34153) filed on February 28, 2013).</w:t>
            </w:r>
          </w:p>
        </w:tc>
      </w:tr>
      <w:tr>
        <w:trPr>
          <w:trHeight w:val="365"/>
        </w:trPr>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20" w:type="dxa"/>
            <w:vAlign w:val="bottom"/>
          </w:tcPr>
          <w:p>
            <w:pPr>
              <w:ind w:left="4840"/>
              <w:spacing w:after="0"/>
              <w:rPr>
                <w:sz w:val="20"/>
                <w:szCs w:val="20"/>
                <w:color w:val="auto"/>
              </w:rPr>
            </w:pPr>
            <w:r>
              <w:rPr>
                <w:rFonts w:ascii="Arial" w:cs="Arial" w:eastAsia="Arial" w:hAnsi="Arial"/>
                <w:sz w:val="18"/>
                <w:szCs w:val="18"/>
                <w:color w:val="auto"/>
              </w:rPr>
              <w:t>93</w:t>
            </w:r>
          </w:p>
        </w:tc>
        <w:tc>
          <w:tcPr>
            <w:tcW w:w="700" w:type="dxa"/>
            <w:vAlign w:val="bottom"/>
          </w:tcPr>
          <w:p>
            <w:pPr>
              <w:spacing w:after="0"/>
              <w:rPr>
                <w:sz w:val="24"/>
                <w:szCs w:val="24"/>
                <w:color w:val="auto"/>
              </w:rPr>
            </w:pPr>
          </w:p>
        </w:tc>
        <w:tc>
          <w:tcPr>
            <w:tcW w:w="47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20" w:type="dxa"/>
            <w:vAlign w:val="bottom"/>
          </w:tcPr>
          <w:p>
            <w:pPr>
              <w:ind w:left="100"/>
              <w:spacing w:after="0"/>
              <w:rPr>
                <w:sz w:val="20"/>
                <w:szCs w:val="20"/>
                <w:color w:val="auto"/>
              </w:rPr>
            </w:pPr>
            <w:r>
              <w:rPr>
                <w:rFonts w:ascii="Arial" w:cs="Arial" w:eastAsia="Arial" w:hAnsi="Arial"/>
                <w:sz w:val="18"/>
                <w:szCs w:val="18"/>
                <w:color w:val="auto"/>
              </w:rPr>
              <w:t>4.6</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7"/>
              </w:rPr>
              <w:t>Form Indemnification Agreement between Marathon Acquisition Corp. and each of its directors and executive officers (incorporated by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reference to Exhibit 10.6 of Amendment No. 2 to Marathon Acquisition Corp.’s Registration Statement on Form S-1 (File No. 333-134078) filed</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on August 1, 2006).</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4.7</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Form F-4 (File No. 333-150309) filed on April 18, 2008).</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4.8</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Indenture, dated as of March 19, 2014, among Global Ship Lease, Inc., the guarantors party thereto and Deutsche Bank Trust Company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Americas, as trustee and as security agent (incorporated by reference to Exhibit 99.1 of Global Ship Lease, Inc.’s Current Report on Form 6-K</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 No. 001-34153) filed on March 21, 2014).</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4.9</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5"/>
              </w:rPr>
              <w:t>Form of Notes (included in Exhibit 4.8) (incorporated by reference to Exhibit 99.1 of Global Ship Lease, Inc.’s Current Report on Form 6-K</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 No. 001-34153) filed on March 21, 2014).</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w w:val="95"/>
              </w:rPr>
              <w:t>4.10*</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Supplemental Indenture For Additional Guarantor, dated as of December 23, 2014, among Global Ship Lease, Inc., the other guarantors party</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thereto and Deutsche Bank Trust Company Americas, as trustee and as security agent.</w:t>
            </w:r>
          </w:p>
        </w:tc>
      </w:tr>
      <w:tr>
        <w:trPr>
          <w:trHeight w:val="323"/>
        </w:trPr>
        <w:tc>
          <w:tcPr>
            <w:tcW w:w="520" w:type="dxa"/>
            <w:vAlign w:val="bottom"/>
          </w:tcPr>
          <w:p>
            <w:pPr>
              <w:ind w:left="100"/>
              <w:spacing w:after="0"/>
              <w:rPr>
                <w:sz w:val="20"/>
                <w:szCs w:val="20"/>
                <w:color w:val="auto"/>
              </w:rPr>
            </w:pPr>
            <w:r>
              <w:rPr>
                <w:rFonts w:ascii="Arial" w:cs="Arial" w:eastAsia="Arial" w:hAnsi="Arial"/>
                <w:sz w:val="18"/>
                <w:szCs w:val="18"/>
                <w:color w:val="auto"/>
                <w:w w:val="95"/>
              </w:rPr>
              <w:t>4.11*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Supplemental Indenture For Additional Guarantor, dated as of February 23, 2015, among Global Ship Lease, Inc., the other guarantors party</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thereto and Deutsche Bank Trust Company Americas, as trustee and as security agent.</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Form of Second Amended and Restated Asset Purchase Agreement among Global Ship Lease, Inc. and CMA CGM S.A., Delmas S.A.S., Pacific</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I S.N.C. and Pacific II S.N.C. (incorporated by reference to Exhibit A-2 to Exhibit 2.1 of Marathon Acquisition Corp’s Current Report on Form</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8-K (File No. 001-32983) filed on March 25, 2008).</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5"/>
              </w:rPr>
              <w:t>Credit Agreement, dated as of March 19, 2014, among Global Ship Lease, Inc., Global Ship Lease Services Limited, the guarantors party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thereto, Citibank N.A., London Branch, Citibank International plc and Deutsche Bank Trust Company Americas (incorporated by reference to</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Exhibit 99.3 of Global Ship Lease, Inc.’s Current Report on Form 6-K (File No. 001-34153) filed on March 21, 2014).</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4.14</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0"/>
              </w:rPr>
              <w:t>Intercreditor Agreement, dated as of March 19, 2014, among Global Ship Lease, Inc., the parties listed on Part A of Schedule 5 thereto, Citibank</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N.A., London Branch, Deutsche Bank Trust Company Americas and the other parties from time to time party thereto (incorporated by reference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to Exhibit 99.4 of Global Ship Lease, Inc.’s Current Report on Form 6-K (File No. 001-34153) filed on March 21, 2014).</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4.15</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Guarantee made by Global Ship Lease, Inc. in favor of the charterer listed on Schedule I thereto (incorporated by reference to Exhibit</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4.16</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Guarantee made by the CMA CGM S.A. in favor of Global Ship Lease, Inc. (incorporated by reference to Exhibit 10.11 of Global Ship</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4.17</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Charter Agreement entered into by a subsidiary of Global Ship Lease, Inc. and CMA CGM S.A. or one of its subsidiaries (incorporated</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7"/>
              </w:rPr>
              <w:t>by reference to Exhibit 2.1 of Marathon Acquisition Corp.’s Current Report on Form 8-K (File No. 001-32983) filed on March 25, 2008).</w:t>
            </w:r>
          </w:p>
        </w:tc>
      </w:tr>
      <w:tr>
        <w:trPr>
          <w:trHeight w:val="365"/>
        </w:trPr>
        <w:tc>
          <w:tcPr>
            <w:tcW w:w="520" w:type="dxa"/>
            <w:vAlign w:val="bottom"/>
          </w:tcPr>
          <w:p>
            <w:pPr>
              <w:spacing w:after="0"/>
              <w:rPr>
                <w:sz w:val="24"/>
                <w:szCs w:val="24"/>
                <w:color w:val="auto"/>
              </w:rPr>
            </w:pPr>
          </w:p>
        </w:tc>
        <w:tc>
          <w:tcPr>
            <w:tcW w:w="5300" w:type="dxa"/>
            <w:vAlign w:val="bottom"/>
          </w:tcPr>
          <w:p>
            <w:pPr>
              <w:ind w:left="5100"/>
              <w:spacing w:after="0"/>
              <w:rPr>
                <w:sz w:val="20"/>
                <w:szCs w:val="20"/>
                <w:color w:val="auto"/>
              </w:rPr>
            </w:pPr>
            <w:r>
              <w:rPr>
                <w:rFonts w:ascii="Arial" w:cs="Arial" w:eastAsia="Arial" w:hAnsi="Arial"/>
                <w:sz w:val="18"/>
                <w:szCs w:val="18"/>
                <w:color w:val="auto"/>
                <w:w w:val="89"/>
              </w:rPr>
              <w:t>94</w:t>
            </w:r>
          </w:p>
        </w:tc>
        <w:tc>
          <w:tcPr>
            <w:tcW w:w="72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5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Number</w:t>
            </w:r>
          </w:p>
        </w:tc>
        <w:tc>
          <w:tcPr>
            <w:tcW w:w="5300" w:type="dxa"/>
            <w:vAlign w:val="bottom"/>
          </w:tcPr>
          <w:p>
            <w:pPr>
              <w:spacing w:after="0"/>
              <w:rPr>
                <w:sz w:val="16"/>
                <w:szCs w:val="16"/>
                <w:color w:val="auto"/>
              </w:rPr>
            </w:pPr>
          </w:p>
        </w:tc>
        <w:tc>
          <w:tcPr>
            <w:tcW w:w="558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r>
      <w:tr>
        <w:trPr>
          <w:trHeight w:val="277"/>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4.18</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Form of Ship Management Agreement entered into by CMA Ships and a Subsidiary of Global Ship Lease, Inc. (incorporated by reference to</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8"/>
              </w:rPr>
              <w:t>Exhibit A-3 to Exhibit 2.1 of Marathon Acquisition Corp.’s Current Report on Form 8-K (File No. 001-32983) filed on March 25, 2008).</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4.19</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2"/>
              </w:rPr>
              <w:t>Form of Guarantee made by Global Ship Lease, Inc. in favor of CMA CGM S.A. and CMA Ships (incorporated by reference to Exhibit 10.14 of</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4.20</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Guarantee made by CMA CGM S.A. in favor of Global Ship Lease, Inc. and its Subsidiaries (incorporated by reference to Exhibit 1015</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Form of Global Expense Agreement between CMA Ships and Global Ship Lease, Inc. (incorporated by reference to Exhibit 10.16 of Global</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Ship Lease, Inc.’s Registration Statement on Form F-1 (File No. 333-147070) filed on November 1, 2007).</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6"/>
              </w:rPr>
              <w:t>Form of Indemnification Agreement entered into between Global Ship Lease, Inc. and each of its directors and officers (incorporated by</w:t>
            </w:r>
          </w:p>
        </w:tc>
      </w:tr>
      <w:tr>
        <w:trPr>
          <w:trHeight w:val="216"/>
        </w:trPr>
        <w:tc>
          <w:tcPr>
            <w:tcW w:w="520" w:type="dxa"/>
            <w:vAlign w:val="bottom"/>
          </w:tcPr>
          <w:p>
            <w:pPr>
              <w:spacing w:after="0"/>
              <w:rPr>
                <w:sz w:val="18"/>
                <w:szCs w:val="18"/>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reference to Exhibit 10.17 of Global Ship Lease, Inc.’s Registration Statement on Form F-1</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 No. 333-147070) filed on November 1, 2007).</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4.23</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2008 Equity Incentive Plan (incorporated by reference to Exhibit 10.22 of Global Ship Lease, Inc.’s Registration Statement on Form F-1 (File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No. 333-153448) filed on September 12, 2008).</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Employment Agreement of Ian J. Webber (incorporated by reference to Exhibit 10.23 of Amendment No. 3 to Global Ship Lease, Inc.’s</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4.25</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1"/>
              </w:rPr>
              <w:t>Form of Employment Agreement of Susan J. Cook (incorporated by reference to Exhibit 10.24 of Amendment No. 3 to Global Ship Lease, Inc.’s</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Registration Statement on Form F-4 (File No. 333-150309) filed on July 3, 2008).</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4.26</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3"/>
              </w:rPr>
              <w:t>Form of Employment Agreement of Thomas A. Lister (incorporated by reference to Exhibit 10.25 of Amendment No. 3 to Global Ship Lease,</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Inc.’s Registration Statement on Form F-4 (File No. 333-150309) filed on July 3, 2008).</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List of Subsidiaries of Global Ship Lease, Inc.</w:t>
            </w:r>
          </w:p>
        </w:tc>
      </w:tr>
      <w:tr>
        <w:trPr>
          <w:trHeight w:val="310"/>
        </w:trPr>
        <w:tc>
          <w:tcPr>
            <w:tcW w:w="520" w:type="dxa"/>
            <w:vAlign w:val="bottom"/>
          </w:tcPr>
          <w:p>
            <w:pPr>
              <w:jc w:val="right"/>
              <w:ind w:right="112"/>
              <w:spacing w:after="0"/>
              <w:rPr>
                <w:sz w:val="20"/>
                <w:szCs w:val="20"/>
                <w:color w:val="auto"/>
              </w:rPr>
            </w:pPr>
            <w:r>
              <w:rPr>
                <w:rFonts w:ascii="Arial" w:cs="Arial" w:eastAsia="Arial" w:hAnsi="Arial"/>
                <w:sz w:val="18"/>
                <w:szCs w:val="18"/>
                <w:color w:val="auto"/>
                <w:w w:val="85"/>
              </w:rPr>
              <w:t>11.1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Code of Ethics (incorporated by reference to Exhibit II of Global Ship Lease, Inc.’s Annual Report on Form 20-F</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(File No. 001-341539) filed on June 25, 2009).</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12.1*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12.2*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13.1*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Global Ship Lease, Inc. Certification of Ian J. Webber, Chief Executive Officer, pursuant to 18 U.S.C. Section 1350, as adopted pursuant to</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Section 906 of the Sarbanes-Oxley Act of 2002.</w:t>
            </w:r>
          </w:p>
        </w:tc>
      </w:tr>
      <w:tr>
        <w:trPr>
          <w:trHeight w:val="310"/>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13.2*</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w w:val="94"/>
              </w:rPr>
              <w:t>Global Ship Lease, Inc. Certification of Susan J. Cook, Chief Financial Officer, pursuant to 18 U.S.C. Section 1350, as adopted pursuant to</w:t>
            </w:r>
          </w:p>
        </w:tc>
      </w:tr>
      <w:tr>
        <w:trPr>
          <w:trHeight w:val="230"/>
        </w:trPr>
        <w:tc>
          <w:tcPr>
            <w:tcW w:w="520" w:type="dxa"/>
            <w:vAlign w:val="bottom"/>
          </w:tcPr>
          <w:p>
            <w:pPr>
              <w:spacing w:after="0"/>
              <w:rPr>
                <w:sz w:val="20"/>
                <w:szCs w:val="20"/>
                <w:color w:val="auto"/>
              </w:rPr>
            </w:pP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Section 906 of the Sarbanes-Oxley Act of 2002.</w:t>
            </w:r>
          </w:p>
        </w:tc>
      </w:tr>
      <w:tr>
        <w:trPr>
          <w:trHeight w:val="324"/>
        </w:trPr>
        <w:tc>
          <w:tcPr>
            <w:tcW w:w="520" w:type="dxa"/>
            <w:vAlign w:val="bottom"/>
          </w:tcPr>
          <w:p>
            <w:pPr>
              <w:jc w:val="right"/>
              <w:ind w:right="12"/>
              <w:spacing w:after="0"/>
              <w:rPr>
                <w:sz w:val="20"/>
                <w:szCs w:val="20"/>
                <w:color w:val="auto"/>
              </w:rPr>
            </w:pPr>
            <w:r>
              <w:rPr>
                <w:rFonts w:ascii="Arial" w:cs="Arial" w:eastAsia="Arial" w:hAnsi="Arial"/>
                <w:sz w:val="18"/>
                <w:szCs w:val="18"/>
                <w:color w:val="auto"/>
                <w:w w:val="95"/>
              </w:rPr>
              <w:t>15.1*</w:t>
            </w:r>
          </w:p>
        </w:tc>
        <w:tc>
          <w:tcPr>
            <w:tcW w:w="10880" w:type="dxa"/>
            <w:vAlign w:val="bottom"/>
            <w:gridSpan w:val="3"/>
          </w:tcPr>
          <w:p>
            <w:pPr>
              <w:ind w:left="440"/>
              <w:spacing w:after="0"/>
              <w:rPr>
                <w:sz w:val="20"/>
                <w:szCs w:val="20"/>
                <w:color w:val="auto"/>
              </w:rPr>
            </w:pPr>
            <w:r>
              <w:rPr>
                <w:rFonts w:ascii="Arial" w:cs="Arial" w:eastAsia="Arial" w:hAnsi="Arial"/>
                <w:sz w:val="18"/>
                <w:szCs w:val="18"/>
                <w:color w:val="auto"/>
              </w:rPr>
              <w:t>Consent of PricewaterhouseCoopers Audit.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p>
      <w:pPr>
        <w:ind w:left="6860"/>
        <w:spacing w:after="0"/>
        <w:tabs>
          <w:tab w:leader="none" w:pos="8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I</w:t>
      </w:r>
      <w:r>
        <w:rPr>
          <w:rFonts w:ascii="Arial" w:cs="Arial" w:eastAsia="Arial" w:hAnsi="Arial"/>
          <w:sz w:val="15"/>
          <w:szCs w:val="15"/>
          <w:color w:val="auto"/>
        </w:rPr>
        <w:t>AN</w:t>
      </w:r>
      <w:r>
        <w:rPr>
          <w:rFonts w:ascii="Arial" w:cs="Arial" w:eastAsia="Arial" w:hAnsi="Arial"/>
          <w:sz w:val="18"/>
          <w:szCs w:val="18"/>
          <w:color w:val="auto"/>
        </w:rPr>
        <w:t xml:space="preserve"> J. W</w:t>
      </w:r>
      <w:r>
        <w:rPr>
          <w:rFonts w:ascii="Arial" w:cs="Arial" w:eastAsia="Arial" w:hAnsi="Arial"/>
          <w:sz w:val="15"/>
          <w:szCs w:val="15"/>
          <w:color w:val="auto"/>
        </w:rPr>
        <w:t>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Ian J. Webber</w:t>
      </w:r>
    </w:p>
    <w:p>
      <w:pPr>
        <w:spacing w:after="0" w:line="27"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21, 2015</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740"/>
          </w:cols>
          <w:pgMar w:left="240" w:top="459" w:right="9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SHIPPING TERMS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Unless otherwise stated, references to the following terms have the following meaning as used in this Annual Report:</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takes place every year.</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w:t>
      </w:r>
      <w:r>
        <w:rPr>
          <w:rFonts w:ascii="Arial" w:cs="Arial" w:eastAsia="Arial" w:hAnsi="Arial"/>
          <w:sz w:val="18"/>
          <w:szCs w:val="18"/>
          <w:i w:val="1"/>
          <w:iCs w:val="1"/>
          <w:color w:val="auto"/>
        </w:rPr>
        <w:t xml:space="preserve"> </w:t>
      </w:r>
      <w:r>
        <w:rPr>
          <w:rFonts w:ascii="Arial" w:cs="Arial" w:eastAsia="Arial" w:hAnsi="Arial"/>
          <w:sz w:val="18"/>
          <w:szCs w:val="18"/>
          <w:color w:val="auto"/>
        </w:rPr>
        <w:t>empty—from a destination of unloading to a point of reloading of cargo.</w:t>
      </w:r>
    </w:p>
    <w:p>
      <w:pPr>
        <w:spacing w:after="0" w:line="170"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w:t>
      </w:r>
      <w:r>
        <w:rPr>
          <w:rFonts w:ascii="Arial" w:cs="Arial" w:eastAsia="Arial" w:hAnsi="Arial"/>
          <w:sz w:val="18"/>
          <w:szCs w:val="18"/>
          <w:i w:val="1"/>
          <w:iCs w:val="1"/>
          <w:color w:val="auto"/>
        </w:rPr>
        <w:t xml:space="preserve"> </w:t>
      </w:r>
      <w:r>
        <w:rPr>
          <w:rFonts w:ascii="Arial" w:cs="Arial" w:eastAsia="Arial" w:hAnsi="Arial"/>
          <w:sz w:val="18"/>
          <w:szCs w:val="18"/>
          <w:color w:val="auto"/>
        </w:rPr>
        <w:t>in which a ship is not laden with cargo.</w:t>
      </w:r>
    </w:p>
    <w:p>
      <w:pPr>
        <w:spacing w:after="0" w:line="170"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i w:val="1"/>
          <w:iCs w:val="1"/>
          <w:color w:val="auto"/>
        </w:rPr>
        <w:t>Bareboat charter</w:t>
      </w:r>
      <w:r>
        <w:rPr>
          <w:rFonts w:ascii="Arial" w:cs="Arial" w:eastAsia="Arial" w:hAnsi="Arial"/>
          <w:sz w:val="17"/>
          <w:szCs w:val="17"/>
          <w:color w:val="auto"/>
        </w:rPr>
        <w:t>. A charter of a ship under which the ship-owner is usually paid a fixed amount of charterhire for a certain period of time during</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charterer is responsible for all ship operating expenses, including expenses for crewing, lubricating oil, insurance, maintenance and drydockings, and for all voyage expenses such as bunker fuel. A bareboat charter is also known as a “demise charter” or a “time charter by demise.”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 and generators.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 measured in TEU.</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Charter</w:t>
      </w:r>
      <w:r>
        <w:rPr>
          <w:rFonts w:ascii="Arial" w:cs="Arial" w:eastAsia="Arial" w:hAnsi="Arial"/>
          <w:sz w:val="17"/>
          <w:szCs w:val="17"/>
          <w:color w:val="auto"/>
        </w:rPr>
        <w:t>. The hire of a ship for a specified period of time or a particular voyage to carry a cargo from a loading port to a discharging port.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i w:val="1"/>
          <w:iCs w:val="1"/>
          <w:color w:val="auto"/>
        </w:rPr>
        <w:t>Charter owner</w:t>
      </w:r>
      <w:r>
        <w:rPr>
          <w:rFonts w:ascii="Arial" w:cs="Arial" w:eastAsia="Arial" w:hAnsi="Arial"/>
          <w:sz w:val="18"/>
          <w:szCs w:val="18"/>
          <w:color w:val="auto"/>
        </w:rPr>
        <w:t>. A company that owns containerships and charters out its ships to container shipping companies rather than operating the ships for</w:t>
      </w:r>
      <w:r>
        <w:rPr>
          <w:rFonts w:ascii="Arial" w:cs="Arial" w:eastAsia="Arial" w:hAnsi="Arial"/>
          <w:sz w:val="18"/>
          <w:szCs w:val="18"/>
          <w:i w:val="1"/>
          <w:iCs w:val="1"/>
          <w:color w:val="auto"/>
        </w:rPr>
        <w:t xml:space="preserve"> </w:t>
      </w:r>
      <w:r>
        <w:rPr>
          <w:rFonts w:ascii="Arial" w:cs="Arial" w:eastAsia="Arial" w:hAnsi="Arial"/>
          <w:sz w:val="18"/>
          <w:szCs w:val="18"/>
          <w:color w:val="auto"/>
        </w:rPr>
        <w:t>liner services; also known as ship-owner or lessor.</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a Charter owner normally as a daily rate for the use of its containerships by a charterer. Charter rates can be on</w:t>
      </w:r>
      <w:r>
        <w:rPr>
          <w:rFonts w:ascii="Arial" w:cs="Arial" w:eastAsia="Arial" w:hAnsi="Arial"/>
          <w:sz w:val="18"/>
          <w:szCs w:val="18"/>
          <w:i w:val="1"/>
          <w:iCs w:val="1"/>
          <w:color w:val="auto"/>
        </w:rPr>
        <w:t xml:space="preserve"> </w:t>
      </w:r>
      <w:r>
        <w:rPr>
          <w:rFonts w:ascii="Arial" w:cs="Arial" w:eastAsia="Arial" w:hAnsi="Arial"/>
          <w:sz w:val="18"/>
          <w:szCs w:val="18"/>
          <w:color w:val="auto"/>
        </w:rPr>
        <w:t>a time charter or bareboat charter basis.</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that type of ship and complies with the applicable rules and regulations of the country of the ship’s registry and the international conventions of which that country is a member. A ship that receives its certification is referred to as being “in-class.”</w:t>
      </w:r>
    </w:p>
    <w:p>
      <w:pPr>
        <w:spacing w:after="0" w:line="18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 services using owned or chartered ships with fixed port of call schedules. Also</w:t>
      </w:r>
      <w:r>
        <w:rPr>
          <w:rFonts w:ascii="Arial" w:cs="Arial" w:eastAsia="Arial" w:hAnsi="Arial"/>
          <w:sz w:val="18"/>
          <w:szCs w:val="18"/>
          <w:i w:val="1"/>
          <w:iCs w:val="1"/>
          <w:color w:val="auto"/>
        </w:rPr>
        <w:t xml:space="preserve"> </w:t>
      </w:r>
      <w:r>
        <w:rPr>
          <w:rFonts w:ascii="Arial" w:cs="Arial" w:eastAsia="Arial" w:hAnsi="Arial"/>
          <w:sz w:val="18"/>
          <w:szCs w:val="18"/>
          <w:color w:val="auto"/>
        </w:rPr>
        <w:t>known as a carrier, liner company or an operator.</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i w:val="1"/>
          <w:iCs w:val="1"/>
          <w:color w:val="auto"/>
        </w:rPr>
        <w:t>Drydocking</w:t>
      </w:r>
      <w:r>
        <w:rPr>
          <w:rFonts w:ascii="Arial" w:cs="Arial" w:eastAsia="Arial" w:hAnsi="Arial"/>
          <w:sz w:val="18"/>
          <w:szCs w:val="18"/>
          <w:color w:val="auto"/>
        </w:rPr>
        <w:t>. Placing the ship in a drydock in order to check and repair areas and parts below the water line. During drydockings,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carried out periodically, certain mandatory classification society inspections are carried out and relevant certifications are issued. Under Classification Society rules, drydockings for containerships are generally required once every three to five years or after an accident resulting in under-water damage.</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Geared containerships</w:t>
      </w:r>
      <w:r>
        <w:rPr>
          <w:rFonts w:ascii="Arial" w:cs="Arial" w:eastAsia="Arial" w:hAnsi="Arial"/>
          <w:sz w:val="17"/>
          <w:szCs w:val="17"/>
          <w:color w:val="auto"/>
        </w:rPr>
        <w:t>. Self-sustained containerships, which are able to load and discharge containers with their own on-board cranes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derricks.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at 100 cubic feet to the ton.</w:t>
      </w:r>
    </w:p>
    <w:p>
      <w:pPr>
        <w:spacing w:after="0" w:line="225"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w:t>
      </w:r>
      <w:r>
        <w:rPr>
          <w:rFonts w:ascii="Arial" w:cs="Arial" w:eastAsia="Arial" w:hAnsi="Arial"/>
          <w:sz w:val="18"/>
          <w:szCs w:val="18"/>
          <w:i w:val="1"/>
          <w:iCs w:val="1"/>
          <w:color w:val="auto"/>
        </w:rPr>
        <w:t xml:space="preserve"> </w:t>
      </w:r>
      <w:r>
        <w:rPr>
          <w:rFonts w:ascii="Arial" w:cs="Arial" w:eastAsia="Arial" w:hAnsi="Arial"/>
          <w:sz w:val="18"/>
          <w:szCs w:val="18"/>
          <w:color w:val="auto"/>
        </w:rPr>
        <w:t>point of origin.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Liner company or liner</w:t>
      </w:r>
      <w:r>
        <w:rPr>
          <w:rFonts w:ascii="Arial" w:cs="Arial" w:eastAsia="Arial" w:hAnsi="Arial"/>
          <w:sz w:val="18"/>
          <w:szCs w:val="18"/>
          <w:color w:val="auto"/>
        </w:rPr>
        <w:t>. A container shipping company (also referred to as lines or operators).</w:t>
      </w:r>
    </w:p>
    <w:p>
      <w:pPr>
        <w:spacing w:after="0" w:line="225" w:lineRule="exact"/>
        <w:rPr>
          <w:sz w:val="20"/>
          <w:szCs w:val="20"/>
          <w:color w:val="auto"/>
        </w:rPr>
      </w:pPr>
    </w:p>
    <w:p>
      <w:pPr>
        <w:ind w:right="440" w:firstLine="913"/>
        <w:spacing w:after="0" w:line="277" w:lineRule="auto"/>
        <w:rPr>
          <w:sz w:val="20"/>
          <w:szCs w:val="20"/>
          <w:color w:val="auto"/>
        </w:rPr>
      </w:pPr>
      <w:r>
        <w:rPr>
          <w:rFonts w:ascii="Arial" w:cs="Arial" w:eastAsia="Arial" w:hAnsi="Arial"/>
          <w:sz w:val="18"/>
          <w:szCs w:val="18"/>
          <w:i w:val="1"/>
          <w:iCs w:val="1"/>
          <w:color w:val="auto"/>
        </w:rPr>
        <w:t>KG</w:t>
      </w:r>
      <w:r>
        <w:rPr>
          <w:rFonts w:ascii="Arial" w:cs="Arial" w:eastAsia="Arial" w:hAnsi="Arial"/>
          <w:sz w:val="18"/>
          <w:szCs w:val="18"/>
          <w:color w:val="auto"/>
        </w:rPr>
        <w:t>. Kommanditgesellschaft, a closed end fund construct broadly analogous to a limited partnership. It has been employed as an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for high net worth individuals (primarily German) in various types of assets, including shipping assets.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under construction or just delivered.</w:t>
      </w:r>
    </w:p>
    <w:p>
      <w:pPr>
        <w:spacing w:after="0" w:line="225"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i w:val="1"/>
          <w:iCs w:val="1"/>
          <w:color w:val="auto"/>
        </w:rPr>
        <w:t>Off-hire</w:t>
      </w:r>
      <w:r>
        <w:rPr>
          <w:rFonts w:ascii="Arial" w:cs="Arial" w:eastAsia="Arial" w:hAnsi="Arial"/>
          <w:sz w:val="18"/>
          <w:szCs w:val="18"/>
          <w:color w:val="auto"/>
        </w:rPr>
        <w:t>. The period in which a ship is not available for service under a charter and, accordingly, the charterer generally is not required to pay the</w:t>
      </w:r>
      <w:r>
        <w:rPr>
          <w:rFonts w:ascii="Arial" w:cs="Arial" w:eastAsia="Arial" w:hAnsi="Arial"/>
          <w:sz w:val="18"/>
          <w:szCs w:val="18"/>
          <w:i w:val="1"/>
          <w:iCs w:val="1"/>
          <w:color w:val="auto"/>
        </w:rPr>
        <w:t xml:space="preserve"> </w:t>
      </w:r>
      <w:r>
        <w:rPr>
          <w:rFonts w:ascii="Arial" w:cs="Arial" w:eastAsia="Arial" w:hAnsi="Arial"/>
          <w:sz w:val="18"/>
          <w:szCs w:val="18"/>
          <w:color w:val="auto"/>
        </w:rPr>
        <w:t>hire. Off-hire periods can include days spent on repairs, drydocking and surveys, whether or not scheduled.</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i w:val="1"/>
          <w:iCs w:val="1"/>
          <w:color w:val="auto"/>
        </w:rPr>
        <w:t>Orderbook-to-fleet ratio</w:t>
      </w:r>
      <w:r>
        <w:rPr>
          <w:rFonts w:ascii="Arial" w:cs="Arial" w:eastAsia="Arial" w:hAnsi="Arial"/>
          <w:sz w:val="18"/>
          <w:szCs w:val="18"/>
          <w:color w:val="auto"/>
        </w:rPr>
        <w:t>. The ratio of the orderbook for new vessels yet to be delivered to the existing on-the-water fleet determined on the basis</w:t>
      </w:r>
      <w:r>
        <w:rPr>
          <w:rFonts w:ascii="Arial" w:cs="Arial" w:eastAsia="Arial" w:hAnsi="Arial"/>
          <w:sz w:val="18"/>
          <w:szCs w:val="18"/>
          <w:i w:val="1"/>
          <w:iCs w:val="1"/>
          <w:color w:val="auto"/>
        </w:rPr>
        <w:t xml:space="preserve"> </w:t>
      </w:r>
      <w:r>
        <w:rPr>
          <w:rFonts w:ascii="Arial" w:cs="Arial" w:eastAsia="Arial" w:hAnsi="Arial"/>
          <w:sz w:val="18"/>
          <w:szCs w:val="18"/>
          <w:color w:val="auto"/>
        </w:rPr>
        <w:t>of TEU capacity and expressed as a percentage.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225" w:lineRule="exact"/>
        <w:rPr>
          <w:sz w:val="20"/>
          <w:szCs w:val="20"/>
          <w:color w:val="auto"/>
        </w:rPr>
      </w:pPr>
    </w:p>
    <w:p>
      <w:pPr>
        <w:ind w:right="700" w:firstLine="913"/>
        <w:spacing w:after="0" w:line="277"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all government, flag state, class certification and international rules and regulations.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248"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 typically built at the same shipyard.</w:t>
      </w:r>
    </w:p>
    <w:p>
      <w:pPr>
        <w:spacing w:after="0" w:line="22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ship by a classification society.</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crew and paying vessel operating expenses while the charterer is responsible for paying the voyage expenses such as fuel and additional voyage insurance. The ship-owner is paid charterhire, which accrues on a daily basis.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fees, costs of lubricants and spare parts, and repair and maintenance costs. Vessel operating expenses exclude bunker costs, port expenses, stevedoring costs, agents’ fees, canal dues, extra war risk insurance and commissions, which are included in “voyage expenses.”</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stevedoring costs, agents’ fees, canal dues, extra war risk insurance and commissions.</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240" w:top="459" w:right="6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YEAR ENDED DECEMBER 31, 2014</w:t>
      </w:r>
    </w:p>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9640" w:type="dxa"/>
            <w:vAlign w:val="bottom"/>
            <w:gridSpan w:val="7"/>
          </w:tcPr>
          <w:p>
            <w:pPr>
              <w:spacing w:after="0" w:line="190" w:lineRule="exact"/>
              <w:rPr>
                <w:rFonts w:ascii="Arial" w:cs="Arial" w:eastAsia="Arial" w:hAnsi="Arial"/>
                <w:sz w:val="18"/>
                <w:szCs w:val="18"/>
                <w:color w:val="0000EE"/>
              </w:rPr>
            </w:pPr>
            <w:hyperlink w:anchor="page106">
              <w:r>
                <w:rPr>
                  <w:rFonts w:ascii="Arial" w:cs="Arial" w:eastAsia="Arial" w:hAnsi="Arial"/>
                  <w:sz w:val="18"/>
                  <w:szCs w:val="18"/>
                  <w:color w:val="0000EE"/>
                </w:rPr>
                <w:t>Report of Independent Registered Public Accounting Firm</w:t>
              </w:r>
            </w:hyperlink>
          </w:p>
        </w:tc>
        <w:tc>
          <w:tcPr>
            <w:tcW w:w="168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04"/>
        </w:trPr>
        <w:tc>
          <w:tcPr>
            <w:tcW w:w="46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107">
              <w:r>
                <w:rPr>
                  <w:rFonts w:ascii="Arial" w:cs="Arial" w:eastAsia="Arial" w:hAnsi="Arial"/>
                  <w:sz w:val="18"/>
                  <w:szCs w:val="18"/>
                  <w:color w:val="0000EE"/>
                  <w:w w:val="88"/>
                </w:rPr>
                <w:t>Consolidated Balance Sheets as at December 31, 2014 and 2013</w:t>
              </w:r>
            </w:hyperlink>
          </w:p>
        </w:tc>
        <w:tc>
          <w:tcPr>
            <w:tcW w:w="5000" w:type="dxa"/>
            <w:vAlign w:val="bottom"/>
            <w:gridSpan w:val="4"/>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66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8">
              <w:r>
                <w:rPr>
                  <w:rFonts w:ascii="Arial" w:cs="Arial" w:eastAsia="Arial" w:hAnsi="Arial"/>
                  <w:sz w:val="18"/>
                  <w:szCs w:val="18"/>
                  <w:color w:val="0000EE"/>
                  <w:w w:val="89"/>
                </w:rPr>
                <w:t>Consolidated Statements of Income for the years ended December 31, 2014, 2013 and 2012</w:t>
              </w:r>
            </w:hyperlink>
          </w:p>
        </w:tc>
        <w:tc>
          <w:tcPr>
            <w:tcW w:w="3020" w:type="dxa"/>
            <w:vAlign w:val="bottom"/>
            <w:gridSpan w:val="3"/>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109">
              <w:r>
                <w:rPr>
                  <w:rFonts w:ascii="Arial" w:cs="Arial" w:eastAsia="Arial" w:hAnsi="Arial"/>
                  <w:sz w:val="18"/>
                  <w:szCs w:val="18"/>
                  <w:color w:val="0000EE"/>
                  <w:w w:val="89"/>
                </w:rPr>
                <w:t>Consolidated Statements of Cash Flows for the years ended December 31, 2014, 2013 and 2012</w:t>
              </w:r>
            </w:hyperlink>
          </w:p>
        </w:tc>
        <w:tc>
          <w:tcPr>
            <w:tcW w:w="2720" w:type="dxa"/>
            <w:vAlign w:val="bottom"/>
            <w:gridSpan w:val="2"/>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83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110">
              <w:r>
                <w:rPr>
                  <w:rFonts w:ascii="Arial" w:cs="Arial" w:eastAsia="Arial" w:hAnsi="Arial"/>
                  <w:sz w:val="18"/>
                  <w:szCs w:val="18"/>
                  <w:color w:val="0000EE"/>
                  <w:w w:val="89"/>
                </w:rPr>
                <w:t>Consolidated Statement of Changes in Stockholders’ Equity for the years ended December 31, 2014, 2013 and 2012</w:t>
              </w:r>
            </w:hyperlink>
          </w:p>
        </w:tc>
        <w:tc>
          <w:tcPr>
            <w:tcW w:w="12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9640" w:type="dxa"/>
            <w:vAlign w:val="bottom"/>
            <w:gridSpan w:val="7"/>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Notes to Consolidated Financial Statements</w:t>
              </w:r>
            </w:hyperlink>
          </w:p>
        </w:tc>
        <w:tc>
          <w:tcPr>
            <w:tcW w:w="1680" w:type="dxa"/>
            <w:vAlign w:val="bottom"/>
          </w:tcPr>
          <w:p>
            <w:pPr>
              <w:jc w:val="right"/>
              <w:spacing w:after="0"/>
              <w:rPr>
                <w:sz w:val="20"/>
                <w:szCs w:val="20"/>
                <w:color w:val="auto"/>
              </w:rPr>
            </w:pPr>
            <w:r>
              <w:rPr>
                <w:rFonts w:ascii="Arial" w:cs="Arial" w:eastAsia="Arial" w:hAnsi="Arial"/>
                <w:sz w:val="18"/>
                <w:szCs w:val="18"/>
                <w:color w:val="auto"/>
              </w:rPr>
              <w:t>7 - 24</w:t>
            </w:r>
          </w:p>
        </w:tc>
      </w:tr>
      <w:tr>
        <w:trPr>
          <w:trHeight w:val="385"/>
        </w:trPr>
        <w:tc>
          <w:tcPr>
            <w:tcW w:w="31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0" w:type="dxa"/>
            <w:vAlign w:val="bottom"/>
            <w:gridSpan w:val="4"/>
          </w:tcPr>
          <w:p>
            <w:pPr>
              <w:ind w:left="840"/>
              <w:spacing w:after="0"/>
              <w:rPr>
                <w:sz w:val="20"/>
                <w:szCs w:val="20"/>
                <w:color w:val="auto"/>
              </w:rPr>
            </w:pPr>
            <w:r>
              <w:rPr>
                <w:rFonts w:ascii="Arial" w:cs="Arial" w:eastAsia="Arial" w:hAnsi="Arial"/>
                <w:sz w:val="18"/>
                <w:szCs w:val="18"/>
                <w:color w:val="auto"/>
              </w:rPr>
              <w:t>Page 1</w:t>
            </w:r>
          </w:p>
        </w:tc>
        <w:tc>
          <w:tcPr>
            <w:tcW w:w="168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Global Ship Lease, Inc.</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income, of changes in stockholders’ equity and cash flows present fairly, in all material respects, the financial position of Global Ship Lease, Inc. and its subsidiaries (“the Company”) at December 31, 2014 and December 31, 2013, and the results of their operations and their cash flows for each of the three years in the period ended December 31, 2014 in conformity with accounting principles generally accepted in the United States of America. Also in our opinion, the Company maintained, in all material respects, effective internal control over financial reporting as of December 31, 2014, based on criteria established in Internal Control—Integrated Framework (2013)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section entitled “Management’s Report on Internal Control Over Financial Reporting” under Item 15 of Form 20-F.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discussed in Note 2 (b) (i) to the consolidated financial statements, the Company has entered into significant contracts with CMA CGM, a related party and the main source of the Company’s operating revenue and consequently the Company is highly dependent on the performance by CMA CGM of its obligations under those contracts which will in turn depend partly on CMA CGM’s financial situation.</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380"/>
          </w:cols>
          <w:pgMar w:left="240" w:top="459" w:right="2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7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33,295</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(note 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(note 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Other receivables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portion of deferred financing costs (note 7)</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39,845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38,388</w:t>
            </w: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color w:val="auto"/>
              </w:rPr>
              <w:t>Vessels in operation (note 4)</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836,537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817,875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Other fixed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Intangible assets (note 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(note 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10,172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846,782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819,859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886,627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Current portion of long-term debt (note 9)</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15,278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(note 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414,782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Series A Preferred shares (note 13)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44,976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 (note 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13,693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 (note 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12,513</w:t>
            </w:r>
          </w:p>
        </w:tc>
        <w:tc>
          <w:tcPr>
            <w:tcW w:w="0" w:type="dxa"/>
            <w:vAlign w:val="bottom"/>
          </w:tcPr>
          <w:p>
            <w:pPr>
              <w:spacing w:after="0"/>
              <w:rPr>
                <w:sz w:val="1"/>
                <w:szCs w:val="1"/>
                <w:color w:val="auto"/>
              </w:rPr>
            </w:pPr>
          </w:p>
        </w:tc>
      </w:tr>
      <w:tr>
        <w:trPr>
          <w:trHeight w:val="230"/>
        </w:trPr>
        <w:tc>
          <w:tcPr>
            <w:tcW w:w="92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428,509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389,600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448,491</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458,781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220" w:type="dxa"/>
            <w:vAlign w:val="bottom"/>
            <w:gridSpan w:val="2"/>
          </w:tcPr>
          <w:p>
            <w:pPr>
              <w:spacing w:after="0"/>
              <w:rPr>
                <w:sz w:val="20"/>
                <w:szCs w:val="20"/>
                <w:color w:val="auto"/>
              </w:rPr>
            </w:pPr>
            <w:r>
              <w:rPr>
                <w:rFonts w:ascii="Arial" w:cs="Arial" w:eastAsia="Arial" w:hAnsi="Arial"/>
                <w:sz w:val="18"/>
                <w:szCs w:val="18"/>
                <w:color w:val="auto"/>
              </w:rPr>
              <w:t>Class A Common stock – authorized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214,000,000 shares with a $0.01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47,541,484 shares issued and outstanding (2013 – 47,513,934) (note 13)</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20"/>
                <w:szCs w:val="20"/>
                <w:color w:val="auto"/>
              </w:rPr>
            </w:pP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 authorized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20,000,000 shares with a $0.01 par value;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7,405,956 shares issued and outstanding (2013 – 7,405,956) (note 13)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00" w:type="dxa"/>
            <w:vAlign w:val="bottom"/>
          </w:tcPr>
          <w:p>
            <w:pPr>
              <w:spacing w:after="0" w:line="201" w:lineRule="exact"/>
              <w:rPr>
                <w:sz w:val="20"/>
                <w:szCs w:val="20"/>
                <w:color w:val="auto"/>
              </w:rPr>
            </w:pPr>
            <w:r>
              <w:rPr>
                <w:rFonts w:ascii="Arial" w:cs="Arial" w:eastAsia="Arial" w:hAnsi="Arial"/>
                <w:sz w:val="18"/>
                <w:szCs w:val="18"/>
                <w:color w:val="auto"/>
              </w:rPr>
              <w:t>Series B Preferred shares – authorized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16,100 shares with a $0.01 par value;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rPr>
              <w:t>14,000 shares issued and outstanding (2013 – nil) (note 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386,350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352,676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0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51,237</w:t>
            </w:r>
          </w:p>
        </w:tc>
        <w:tc>
          <w:tcPr>
            <w:tcW w:w="2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438,136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399,466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886,627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858,247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Year ended</w:t>
            </w: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1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Time charter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138,615</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143,212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153,205</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48,770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46,048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45,588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40,343</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6,030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5,784</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(note 10)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w:t>
            </w: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96,341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92,052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51,160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61,832</w:t>
            </w: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(43,872)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(18,846)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(21,178)</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 (note 13)</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Realized loss on interest rate derivatives</w:t>
            </w: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(14,045)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(18,402)</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interest rate derivatives (note 14)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Earnings allocated to Series B Preferred Shares (note 13)</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b w:val="1"/>
                <w:bCs w:val="1"/>
                <w:color w:val="auto"/>
              </w:rPr>
              <w:t>Net income available to Common Shareholders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758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(including RSU’s without service conditions) (note 17)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47,710,313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47,607,750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47,500,670</w:t>
            </w: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Diluted (note 17)</w:t>
            </w: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47,823,736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47,767,266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47,611,657</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Class A share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tcPr>
          <w:p>
            <w:pPr>
              <w:ind w:left="340"/>
              <w:spacing w:after="0"/>
              <w:rPr>
                <w:sz w:val="20"/>
                <w:szCs w:val="20"/>
                <w:color w:val="auto"/>
              </w:rPr>
            </w:pPr>
            <w:r>
              <w:rPr>
                <w:rFonts w:ascii="Arial" w:cs="Arial" w:eastAsia="Arial" w:hAnsi="Arial"/>
                <w:sz w:val="18"/>
                <w:szCs w:val="18"/>
                <w:color w:val="auto"/>
              </w:rPr>
              <w:t>Basic (including RSU’s without service conditions) (note 17)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(note 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0.67</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(note 17)</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7,405,956</w:t>
            </w: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Net Income per Class B share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 and diluted (note 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nil</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nil</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Pr>
          <w:p>
            <w:pPr>
              <w:spacing w:after="0"/>
              <w:rPr>
                <w:sz w:val="14"/>
                <w:szCs w:val="14"/>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7"/>
              </w:rPr>
              <w:t>Year ended</w:t>
            </w:r>
          </w:p>
        </w:tc>
        <w:tc>
          <w:tcPr>
            <w:tcW w:w="9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6,110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32,518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41,059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 (note 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1,386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original issue discount (note 9)</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instruments (note 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(14,302)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(2,119)</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derivative instruments which do not qualify for hedge accounting (note 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Share based compensation (note 15)</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Gain on redemption of Series A Preferred Shares (note 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Decrease (increase) in accounts receivable and other assets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9,458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3,836</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inventory</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Increase (decrease) in accounts payable and other liabilities</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7,225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(1,772)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Increase in unearned revenue</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Unrealized foreign exchange (gain) loss</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74,344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83,698</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vessels (note 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tcPr>
          <w:p>
            <w:pPr>
              <w:spacing w:after="0" w:line="201" w:lineRule="exact"/>
              <w:rPr>
                <w:sz w:val="20"/>
                <w:szCs w:val="20"/>
                <w:color w:val="auto"/>
              </w:rPr>
            </w:pPr>
            <w:r>
              <w:rPr>
                <w:rFonts w:ascii="Arial" w:cs="Arial" w:eastAsia="Arial" w:hAnsi="Arial"/>
                <w:sz w:val="18"/>
                <w:szCs w:val="18"/>
                <w:color w:val="auto"/>
              </w:rPr>
              <w:t>Settlements and termination of derivative instruments which do not qualify for hedge accounting</w:t>
            </w: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(note 14)</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(22,146)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(14,045)</w:t>
            </w:r>
          </w:p>
        </w:tc>
        <w:tc>
          <w:tcPr>
            <w:tcW w:w="1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other assets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paid for intangible assets</w:t>
            </w: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drydockings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(2,553)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(5,914)</w:t>
            </w: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(80,080)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(16,643)</w:t>
            </w:r>
          </w:p>
        </w:tc>
        <w:tc>
          <w:tcPr>
            <w:tcW w:w="5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(24,316)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Repayment of credit facility (note 9)</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(366,366)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(59,310)</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secured notes (note 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413,700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Deferred financing costs incurred (note 7)</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(15,779)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Series B Preferred Shares (note 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Variation in restricted cash (note 13)</w:t>
            </w: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A Preferred Shares (note 13)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Shares – dividends paid (note 13)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(59,310)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(59,051)</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Year</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24,536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26,145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25,814</w:t>
            </w:r>
          </w:p>
        </w:tc>
        <w:tc>
          <w:tcPr>
            <w:tcW w:w="0" w:type="dxa"/>
            <w:vAlign w:val="bottom"/>
          </w:tcPr>
          <w:p>
            <w:pPr>
              <w:spacing w:after="0"/>
              <w:rPr>
                <w:sz w:val="1"/>
                <w:szCs w:val="1"/>
                <w:color w:val="auto"/>
              </w:rPr>
            </w:pPr>
          </w:p>
        </w:tc>
      </w:tr>
      <w:tr>
        <w:trPr>
          <w:trHeight w:val="223"/>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33,295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24,536</w:t>
            </w:r>
          </w:p>
        </w:tc>
        <w:tc>
          <w:tcPr>
            <w:tcW w:w="5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interest paid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26,298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18,782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paid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Number of</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4"/>
              </w:rPr>
              <w:t>Number of</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Series B</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4"/>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140" w:type="dxa"/>
            <w:vAlign w:val="bottom"/>
            <w:gridSpan w:val="3"/>
          </w:tcPr>
          <w:p>
            <w:pPr>
              <w:jc w:val="center"/>
              <w:ind w:right="280"/>
              <w:spacing w:after="0" w:line="154" w:lineRule="exact"/>
              <w:rPr>
                <w:sz w:val="20"/>
                <w:szCs w:val="20"/>
                <w:color w:val="auto"/>
              </w:rPr>
            </w:pPr>
            <w:r>
              <w:rPr>
                <w:rFonts w:ascii="Arial" w:cs="Arial" w:eastAsia="Arial" w:hAnsi="Arial"/>
                <w:sz w:val="14"/>
                <w:szCs w:val="14"/>
                <w:color w:val="auto"/>
                <w:w w:val="95"/>
              </w:rPr>
              <w:t>Common</w:t>
            </w:r>
          </w:p>
        </w:tc>
        <w:tc>
          <w:tcPr>
            <w:tcW w:w="920" w:type="dxa"/>
            <w:vAlign w:val="bottom"/>
            <w:gridSpan w:val="2"/>
          </w:tcPr>
          <w:p>
            <w:pPr>
              <w:jc w:val="center"/>
              <w:ind w:right="260"/>
              <w:spacing w:after="0" w:line="154" w:lineRule="exact"/>
              <w:rPr>
                <w:sz w:val="20"/>
                <w:szCs w:val="20"/>
                <w:color w:val="auto"/>
              </w:rPr>
            </w:pPr>
            <w:r>
              <w:rPr>
                <w:rFonts w:ascii="Arial" w:cs="Arial" w:eastAsia="Arial" w:hAnsi="Arial"/>
                <w:sz w:val="14"/>
                <w:szCs w:val="14"/>
                <w:color w:val="auto"/>
                <w:w w:val="92"/>
              </w:rPr>
              <w:t>Preferred</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92"/>
              </w:rPr>
              <w:t>Retained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0"/>
              </w:rPr>
              <w:t>Stock at</w:t>
            </w: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6"/>
              </w:rPr>
              <w:t>Shares at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94"/>
              </w:rPr>
              <w:t>Series B</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w w:val="88"/>
              </w:rPr>
              <w:t>Earnings /</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$0.01</w:t>
            </w:r>
          </w:p>
        </w:tc>
        <w:tc>
          <w:tcPr>
            <w:tcW w:w="28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w w:val="89"/>
              </w:rPr>
              <w:t>Preferred</w:t>
            </w:r>
          </w:p>
        </w:tc>
        <w:tc>
          <w:tcPr>
            <w:tcW w:w="28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Paid in</w:t>
            </w:r>
          </w:p>
        </w:tc>
        <w:tc>
          <w:tcPr>
            <w:tcW w:w="94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color w:val="auto"/>
                <w:w w:val="91"/>
              </w:rPr>
              <w:t>Par value</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Par value</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Stock</w:t>
            </w:r>
          </w:p>
        </w:tc>
        <w:tc>
          <w:tcPr>
            <w:tcW w:w="540" w:type="dxa"/>
            <w:vAlign w:val="bottom"/>
            <w:gridSpan w:val="2"/>
          </w:tcPr>
          <w:p>
            <w:pPr>
              <w:ind w:left="80"/>
              <w:spacing w:after="0"/>
              <w:rPr>
                <w:sz w:val="20"/>
                <w:szCs w:val="20"/>
                <w:color w:val="auto"/>
              </w:rPr>
            </w:pPr>
            <w:r>
              <w:rPr>
                <w:rFonts w:ascii="Arial" w:cs="Arial" w:eastAsia="Arial" w:hAnsi="Arial"/>
                <w:sz w:val="14"/>
                <w:szCs w:val="14"/>
                <w:color w:val="auto"/>
                <w:w w:val="99"/>
              </w:rPr>
              <w:t>Shares</w:t>
            </w:r>
          </w:p>
        </w:tc>
        <w:tc>
          <w:tcPr>
            <w:tcW w:w="2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15"/>
                <w:szCs w:val="15"/>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Equity</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54,869,934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$351,856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(18,205)</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334,200</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Restricted Stock Units (note 15)</w:t>
            </w: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0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13, 15)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17,886</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54,887,820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$352,316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13,723</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366,588</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Restricted Stock Units (note 15)</w:t>
            </w: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00"/>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13, 15)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32,070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54,919,890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$352,676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46,241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399,466</w:t>
            </w:r>
          </w:p>
        </w:tc>
      </w:tr>
      <w:tr>
        <w:trPr>
          <w:trHeight w:val="324"/>
        </w:trPr>
        <w:tc>
          <w:tcPr>
            <w:tcW w:w="4760" w:type="dxa"/>
            <w:vAlign w:val="bottom"/>
            <w:gridSpan w:val="2"/>
          </w:tcPr>
          <w:p>
            <w:pPr>
              <w:spacing w:after="0"/>
              <w:rPr>
                <w:sz w:val="20"/>
                <w:szCs w:val="20"/>
                <w:color w:val="auto"/>
              </w:rPr>
            </w:pPr>
            <w:r>
              <w:rPr>
                <w:rFonts w:ascii="Arial" w:cs="Arial" w:eastAsia="Arial" w:hAnsi="Arial"/>
                <w:sz w:val="18"/>
                <w:szCs w:val="18"/>
                <w:color w:val="auto"/>
              </w:rPr>
              <w:t>Restricted Stock Units (note 15)</w:t>
            </w: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ind w:left="70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Class A Common shares issued (notes 13, 15)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27,550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Series B Preferred Shares issued (note 13)</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issue expenses (note 13)</w:t>
            </w: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(1,503)</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for the year</w:t>
            </w:r>
          </w:p>
        </w:tc>
        <w:tc>
          <w:tcPr>
            <w:tcW w:w="114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6,110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6,110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Shares dividend (note 13)</w:t>
            </w:r>
          </w:p>
        </w:tc>
        <w:tc>
          <w:tcPr>
            <w:tcW w:w="1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(1,114)</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54,947,440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7"/>
              </w:rPr>
              <w:t>14,000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79"/>
              </w:rPr>
              <w:t>549</w:t>
            </w: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386,350</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438,136</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60" w:right="80"/>
        <w:spacing w:after="0" w:line="276" w:lineRule="auto"/>
        <w:rPr>
          <w:sz w:val="20"/>
          <w:szCs w:val="20"/>
          <w:color w:val="auto"/>
        </w:rPr>
      </w:pPr>
      <w:r>
        <w:rPr>
          <w:rFonts w:ascii="Arial" w:cs="Arial" w:eastAsia="Arial" w:hAnsi="Arial"/>
          <w:sz w:val="17"/>
          <w:szCs w:val="17"/>
          <w:color w:val="auto"/>
        </w:rPr>
        <w:t>On August 14, 2008, Global Ship Lease, Inc. (the “Company”) merged indirectly with Marathon Acquisition Corp. (“Marathon”), a company then listed on The American Stock Exchange. Under the merger agreement, Marathon, a U.S. corporation, first merged with its wholly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1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w:t>
      </w:r>
    </w:p>
    <w:p>
      <w:pPr>
        <w:spacing w:after="0" w:line="131"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121"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The Company owns and charters out containerships. With the exception of three vessels which are on short to medium term time charters to unrelated parties, all vessels are time chartered to CMA CGM S.A. (“CMA CGM”) for remaining terms as at December 31, 2014 ranging from 3.00 to 11.00 years (see note 11).</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about the 18 vessels owned as at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Charter</w:t>
            </w:r>
          </w:p>
        </w:tc>
        <w:tc>
          <w:tcPr>
            <w:tcW w:w="80" w:type="dxa"/>
            <w:vAlign w:val="bottom"/>
          </w:tcPr>
          <w:p>
            <w:pPr>
              <w:spacing w:after="0"/>
              <w:rPr>
                <w:sz w:val="14"/>
                <w:szCs w:val="14"/>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Daily</w:t>
            </w: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Capacity</w:t>
            </w:r>
          </w:p>
        </w:tc>
        <w:tc>
          <w:tcPr>
            <w:tcW w:w="5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w:t>
            </w: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Purchase Date</w:t>
            </w: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Remaining</w:t>
            </w: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w w:val="90"/>
              </w:rPr>
              <w:t>Vessel Name</w:t>
            </w:r>
          </w:p>
        </w:tc>
        <w:tc>
          <w:tcPr>
            <w:tcW w:w="448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Charterer</w:t>
            </w:r>
          </w:p>
        </w:tc>
        <w:tc>
          <w:tcPr>
            <w:tcW w:w="100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7"/>
              </w:rPr>
              <w:t>Duration</w:t>
            </w:r>
          </w:p>
        </w:tc>
        <w:tc>
          <w:tcPr>
            <w:tcW w:w="68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Charter</w:t>
            </w:r>
          </w:p>
        </w:tc>
        <w:tc>
          <w:tcPr>
            <w:tcW w:w="0" w:type="dxa"/>
            <w:vAlign w:val="bottom"/>
          </w:tcPr>
          <w:p>
            <w:pPr>
              <w:spacing w:after="0"/>
              <w:rPr>
                <w:sz w:val="1"/>
                <w:szCs w:val="1"/>
                <w:color w:val="auto"/>
              </w:rPr>
            </w:pPr>
          </w:p>
        </w:tc>
      </w:tr>
      <w:tr>
        <w:trPr>
          <w:trHeight w:val="176"/>
        </w:trPr>
        <w:tc>
          <w:tcPr>
            <w:tcW w:w="800" w:type="dxa"/>
            <w:vAlign w:val="bottom"/>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 xml:space="preserve">in TEUs </w:t>
            </w:r>
            <w:r>
              <w:rPr>
                <w:rFonts w:ascii="Arial" w:cs="Arial" w:eastAsia="Arial" w:hAnsi="Arial"/>
                <w:sz w:val="12"/>
                <w:szCs w:val="12"/>
                <w:b w:val="1"/>
                <w:bCs w:val="1"/>
                <w:color w:val="auto"/>
                <w:w w:val="93"/>
              </w:rPr>
              <w:t>(1)</w:t>
            </w:r>
          </w:p>
        </w:tc>
        <w:tc>
          <w:tcPr>
            <w:tcW w:w="560" w:type="dxa"/>
            <w:vAlign w:val="bottom"/>
            <w:gridSpan w:val="2"/>
          </w:tcPr>
          <w:p>
            <w:pPr>
              <w:ind w:left="40"/>
              <w:spacing w:after="0"/>
              <w:rPr>
                <w:sz w:val="20"/>
                <w:szCs w:val="20"/>
                <w:color w:val="auto"/>
              </w:rPr>
            </w:pPr>
            <w:r>
              <w:rPr>
                <w:rFonts w:ascii="Arial" w:cs="Arial" w:eastAsia="Arial" w:hAnsi="Arial"/>
                <w:sz w:val="14"/>
                <w:szCs w:val="14"/>
                <w:b w:val="1"/>
                <w:bCs w:val="1"/>
                <w:color w:val="auto"/>
              </w:rPr>
              <w:t>Built</w:t>
            </w:r>
          </w:p>
        </w:tc>
        <w:tc>
          <w:tcPr>
            <w:tcW w:w="14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by GSL</w:t>
            </w:r>
          </w:p>
        </w:tc>
        <w:tc>
          <w:tcPr>
            <w:tcW w:w="1460" w:type="dxa"/>
            <w:vAlign w:val="bottom"/>
            <w:gridSpan w:val="2"/>
            <w:vMerge w:val="continue"/>
          </w:tcPr>
          <w:p>
            <w:pPr>
              <w:spacing w:after="0"/>
              <w:rPr>
                <w:sz w:val="15"/>
                <w:szCs w:val="15"/>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12"/>
                <w:szCs w:val="12"/>
                <w:b w:val="1"/>
                <w:bCs w:val="1"/>
                <w:color w:val="auto"/>
                <w:w w:val="93"/>
              </w:rPr>
              <w:t>(2)</w:t>
            </w:r>
          </w:p>
        </w:tc>
        <w:tc>
          <w:tcPr>
            <w:tcW w:w="80" w:type="dxa"/>
            <w:vAlign w:val="bottom"/>
          </w:tcPr>
          <w:p>
            <w:pPr>
              <w:spacing w:after="0"/>
              <w:rPr>
                <w:sz w:val="15"/>
                <w:szCs w:val="15"/>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3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1997</w:t>
            </w:r>
          </w:p>
        </w:tc>
        <w:tc>
          <w:tcPr>
            <w:tcW w:w="20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20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Sea Consortium</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3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360" w:type="dxa"/>
            <w:vAlign w:val="bottom"/>
          </w:tcPr>
          <w:p>
            <w:pPr>
              <w:spacing w:after="0"/>
              <w:rPr>
                <w:sz w:val="20"/>
                <w:szCs w:val="20"/>
                <w:color w:val="auto"/>
              </w:rPr>
            </w:pPr>
            <w:r>
              <w:rPr>
                <w:rFonts w:ascii="Arial" w:cs="Arial" w:eastAsia="Arial" w:hAnsi="Arial"/>
                <w:sz w:val="18"/>
                <w:szCs w:val="18"/>
                <w:color w:val="auto"/>
                <w:w w:val="84"/>
              </w:rPr>
              <w:t>1996</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Sea Consortium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0.30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Matisse </w:t>
            </w:r>
            <w:r>
              <w:rPr>
                <w:rFonts w:ascii="Arial" w:cs="Arial" w:eastAsia="Arial" w:hAnsi="Arial"/>
                <w:sz w:val="15"/>
                <w:szCs w:val="15"/>
                <w:color w:val="auto"/>
              </w:rPr>
              <w:t>(3)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1999</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CMA CGM Utrillo </w:t>
            </w:r>
            <w:r>
              <w:rPr>
                <w:rFonts w:ascii="Arial" w:cs="Arial" w:eastAsia="Arial" w:hAnsi="Arial"/>
                <w:sz w:val="15"/>
                <w:szCs w:val="15"/>
                <w:color w:val="auto"/>
              </w:rPr>
              <w:t>(3)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360" w:type="dxa"/>
            <w:vAlign w:val="bottom"/>
          </w:tcPr>
          <w:p>
            <w:pPr>
              <w:spacing w:after="0"/>
              <w:rPr>
                <w:sz w:val="20"/>
                <w:szCs w:val="20"/>
                <w:color w:val="auto"/>
              </w:rPr>
            </w:pPr>
            <w:r>
              <w:rPr>
                <w:rFonts w:ascii="Arial" w:cs="Arial" w:eastAsia="Arial" w:hAnsi="Arial"/>
                <w:sz w:val="18"/>
                <w:szCs w:val="18"/>
                <w:color w:val="auto"/>
                <w:w w:val="84"/>
              </w:rPr>
              <w:t>1999</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2003</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Julie Delmas </w:t>
            </w:r>
            <w:r>
              <w:rPr>
                <w:rFonts w:ascii="Arial" w:cs="Arial" w:eastAsia="Arial" w:hAnsi="Arial"/>
                <w:sz w:val="15"/>
                <w:szCs w:val="15"/>
                <w:color w:val="auto"/>
              </w:rPr>
              <w:t>(4)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2002</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360" w:type="dxa"/>
            <w:vAlign w:val="bottom"/>
          </w:tcPr>
          <w:p>
            <w:pPr>
              <w:spacing w:after="0"/>
              <w:rPr>
                <w:sz w:val="20"/>
                <w:szCs w:val="20"/>
                <w:color w:val="auto"/>
              </w:rPr>
            </w:pPr>
            <w:r>
              <w:rPr>
                <w:rFonts w:ascii="Arial" w:cs="Arial" w:eastAsia="Arial" w:hAnsi="Arial"/>
                <w:sz w:val="18"/>
                <w:szCs w:val="18"/>
                <w:color w:val="auto"/>
                <w:w w:val="84"/>
              </w:rPr>
              <w:t>2002</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La Tour </w:t>
            </w:r>
            <w:r>
              <w:rPr>
                <w:rFonts w:ascii="Arial" w:cs="Arial" w:eastAsia="Arial" w:hAnsi="Arial"/>
                <w:sz w:val="15"/>
                <w:szCs w:val="15"/>
                <w:color w:val="auto"/>
              </w:rPr>
              <w:t>(3)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 xml:space="preserve">CMA CGM Manet </w:t>
            </w:r>
            <w:r>
              <w:rPr>
                <w:rFonts w:ascii="Arial" w:cs="Arial" w:eastAsia="Arial" w:hAnsi="Arial"/>
                <w:sz w:val="15"/>
                <w:szCs w:val="15"/>
                <w:color w:val="auto"/>
              </w:rPr>
              <w:t>(3)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360" w:type="dxa"/>
            <w:vAlign w:val="bottom"/>
          </w:tcPr>
          <w:p>
            <w:pPr>
              <w:spacing w:after="0"/>
              <w:rPr>
                <w:sz w:val="20"/>
                <w:szCs w:val="20"/>
                <w:color w:val="auto"/>
              </w:rPr>
            </w:pPr>
            <w:r>
              <w:rPr>
                <w:rFonts w:ascii="Arial" w:cs="Arial" w:eastAsia="Arial" w:hAnsi="Arial"/>
                <w:sz w:val="18"/>
                <w:szCs w:val="18"/>
                <w:color w:val="auto"/>
                <w:w w:val="84"/>
              </w:rPr>
              <w:t>2001</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2007</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15.300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5,089</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January 2008</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5,089</w:t>
            </w:r>
          </w:p>
        </w:tc>
        <w:tc>
          <w:tcPr>
            <w:tcW w:w="360" w:type="dxa"/>
            <w:vAlign w:val="bottom"/>
          </w:tcPr>
          <w:p>
            <w:pPr>
              <w:spacing w:after="0"/>
              <w:rPr>
                <w:sz w:val="20"/>
                <w:szCs w:val="20"/>
                <w:color w:val="auto"/>
              </w:rPr>
            </w:pPr>
            <w:r>
              <w:rPr>
                <w:rFonts w:ascii="Arial" w:cs="Arial" w:eastAsia="Arial" w:hAnsi="Arial"/>
                <w:sz w:val="18"/>
                <w:szCs w:val="18"/>
                <w:color w:val="auto"/>
                <w:w w:val="84"/>
              </w:rPr>
              <w:t>2007</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January 2008</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11,040</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2008</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2008</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2008</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2006</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8"/>
              </w:rPr>
              <w:t>December 2008</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360" w:type="dxa"/>
            <w:vAlign w:val="bottom"/>
          </w:tcPr>
          <w:p>
            <w:pPr>
              <w:spacing w:after="0"/>
              <w:rPr>
                <w:sz w:val="20"/>
                <w:szCs w:val="20"/>
                <w:color w:val="auto"/>
              </w:rPr>
            </w:pPr>
            <w:r>
              <w:rPr>
                <w:rFonts w:ascii="Arial" w:cs="Arial" w:eastAsia="Arial" w:hAnsi="Arial"/>
                <w:sz w:val="18"/>
                <w:szCs w:val="18"/>
                <w:color w:val="auto"/>
                <w:w w:val="84"/>
              </w:rPr>
              <w:t>2006</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2008</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6,621</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2001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2"/>
              </w:rPr>
              <w:t>August 2009</w:t>
            </w:r>
          </w:p>
        </w:tc>
        <w:tc>
          <w:tcPr>
            <w:tcW w:w="14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8"/>
              </w:rPr>
              <w:t>CMA CGM</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OOCL Tianjin</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8,063</w:t>
            </w:r>
          </w:p>
        </w:tc>
        <w:tc>
          <w:tcPr>
            <w:tcW w:w="360" w:type="dxa"/>
            <w:vAlign w:val="bottom"/>
          </w:tcPr>
          <w:p>
            <w:pPr>
              <w:spacing w:after="0"/>
              <w:rPr>
                <w:sz w:val="20"/>
                <w:szCs w:val="20"/>
                <w:color w:val="auto"/>
              </w:rPr>
            </w:pPr>
            <w:r>
              <w:rPr>
                <w:rFonts w:ascii="Arial" w:cs="Arial" w:eastAsia="Arial" w:hAnsi="Arial"/>
                <w:sz w:val="18"/>
                <w:szCs w:val="18"/>
                <w:color w:val="auto"/>
                <w:w w:val="84"/>
              </w:rPr>
              <w:t>2005</w:t>
            </w: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October 2014</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OOCL</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34.500</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23" w:lineRule="exact"/>
        <w:rPr>
          <w:rFonts w:ascii="Arial" w:cs="Arial" w:eastAsia="Arial" w:hAnsi="Arial"/>
          <w:sz w:val="18"/>
          <w:szCs w:val="18"/>
          <w:i w:val="1"/>
          <w:iCs w:val="1"/>
          <w:color w:val="auto"/>
        </w:rPr>
      </w:pPr>
    </w:p>
    <w:p>
      <w:pPr>
        <w:ind w:left="460" w:right="180" w:hanging="452"/>
        <w:spacing w:after="0" w:line="250" w:lineRule="auto"/>
        <w:tabs>
          <w:tab w:leader="none" w:pos="4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Plus or minus 90 days, other than (i) Ville d’Orion which is between January 17 and July 17, 2015, (ii) Ville d’Aquarius which is between April 3 and June 3, 2015, and (iii) OOCL Tianjin which is between October 28, 2017 and January 28, 2018, all at charterer’s option.</w:t>
      </w:r>
    </w:p>
    <w:p>
      <w:pPr>
        <w:ind w:left="460" w:hanging="452"/>
        <w:spacing w:after="0" w:line="250" w:lineRule="auto"/>
        <w:tabs>
          <w:tab w:leader="none" w:pos="46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The charters on these four vessels were extended in February 2014 by three years with new expiry dates in December 2019 at an amended daily charter rate of $15.300 per day with effect from February 1, 2014.</w:t>
      </w:r>
    </w:p>
    <w:p>
      <w:pPr>
        <w:ind w:left="460" w:right="100" w:hanging="452"/>
        <w:spacing w:after="0" w:line="302" w:lineRule="auto"/>
        <w:tabs>
          <w:tab w:leader="none" w:pos="460" w:val="left"/>
        </w:tabs>
        <w:numPr>
          <w:ilvl w:val="0"/>
          <w:numId w:val="93"/>
        </w:numPr>
        <w:rPr>
          <w:rFonts w:ascii="Arial" w:cs="Arial" w:eastAsia="Arial" w:hAnsi="Arial"/>
          <w:sz w:val="16"/>
          <w:szCs w:val="16"/>
          <w:i w:val="1"/>
          <w:iCs w:val="1"/>
          <w:color w:val="auto"/>
        </w:rPr>
      </w:pPr>
      <w:r>
        <w:rPr>
          <w:rFonts w:ascii="Arial" w:cs="Arial" w:eastAsia="Arial" w:hAnsi="Arial"/>
          <w:sz w:val="16"/>
          <w:szCs w:val="16"/>
          <w:i w:val="1"/>
          <w:iCs w:val="1"/>
          <w:color w:val="auto"/>
        </w:rPr>
        <w:t>One of the cranes on-board Julie Delmas was found to be damaged in January 2014 and was out of service. The Company agreed with CMA CGM to reduce the daily charter rate pro-rata, from $18,465 to $10,000 per day from February 9, 2014, to reflect the diminished performance of the vessel, for as long as the crane was not operational. The crane was repaired with effect from July 14, 2014 when the daily charter rate reverted to $18,465.</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activity of the Company currently consists solely of the ownership and chartering out of containerships.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Nature of Operations and Basis of Preparation (continued)</w:t>
      </w:r>
    </w:p>
    <w:p>
      <w:pPr>
        <w:spacing w:after="0" w:line="158"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35" w:lineRule="exact"/>
        <w:rPr>
          <w:sz w:val="20"/>
          <w:szCs w:val="20"/>
          <w:color w:val="auto"/>
        </w:rPr>
      </w:pPr>
    </w:p>
    <w:p>
      <w:pPr>
        <w:ind w:left="900" w:hanging="446"/>
        <w:spacing w:after="0"/>
        <w:tabs>
          <w:tab w:leader="none" w:pos="900" w:val="left"/>
        </w:tabs>
        <w:numPr>
          <w:ilvl w:val="0"/>
          <w:numId w:val="9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Counterparty risk</w:t>
      </w:r>
    </w:p>
    <w:p>
      <w:pPr>
        <w:spacing w:after="0" w:line="117" w:lineRule="exact"/>
        <w:rPr>
          <w:sz w:val="20"/>
          <w:szCs w:val="20"/>
          <w:color w:val="auto"/>
        </w:rPr>
      </w:pPr>
    </w:p>
    <w:p>
      <w:pPr>
        <w:ind w:left="460" w:right="300"/>
        <w:spacing w:after="0" w:line="264" w:lineRule="auto"/>
        <w:rPr>
          <w:sz w:val="20"/>
          <w:szCs w:val="20"/>
          <w:color w:val="auto"/>
        </w:rPr>
      </w:pPr>
      <w:r>
        <w:rPr>
          <w:rFonts w:ascii="Arial" w:cs="Arial" w:eastAsia="Arial" w:hAnsi="Arial"/>
          <w:sz w:val="18"/>
          <w:szCs w:val="18"/>
          <w:color w:val="auto"/>
        </w:rPr>
        <w:t>Most of the Company’s revenues are derived from charters to CMA CGM. The Company is consequently highly dependent on the performance by CMA CGM of its obligations under these charters. The container shipping industry is volatile and is currently experiencing a sustained cyclical downturn. Many container shipping companies have reported losses.</w:t>
      </w:r>
    </w:p>
    <w:p>
      <w:pPr>
        <w:spacing w:after="0" w:line="7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If CMA CGM ceases doing business or fails to perform its obligations under the charters, the Company’s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the Company’s ability to continue as a going concern.</w:t>
      </w:r>
    </w:p>
    <w:p>
      <w:pPr>
        <w:spacing w:after="0" w:line="7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Company has from time to time experienced delays in receiving charterhire from CMA CGM. Under the charter contracts charterhire is due to be paid every 15 days in advance on the 1st and 16th of each month. Up to two instalments were outstanding at times during 2014. As at December 31, 2014, no charterhire was outstanding. As at close of business on April 17, 2015, the latest practicable date prior to the issuance of these consolidated financial statements, no charterhire was outstanding.</w:t>
      </w:r>
    </w:p>
    <w:p>
      <w:pPr>
        <w:spacing w:after="0" w:line="7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These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340"/>
          </w:cols>
          <w:pgMar w:left="240" w:top="459"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27"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Basis of consolidation</w:t>
      </w:r>
    </w:p>
    <w:p>
      <w:pPr>
        <w:spacing w:after="0" w:line="117" w:lineRule="exact"/>
        <w:rPr>
          <w:sz w:val="20"/>
          <w:szCs w:val="20"/>
          <w:color w:val="auto"/>
        </w:rPr>
      </w:pPr>
    </w:p>
    <w:p>
      <w:pPr>
        <w:ind w:left="920" w:right="460"/>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United States Generally Accepted Accounting Principles (“U.S. GAAP”) and include the financial statements of the Company and its wholly owned subsidiaries. All inter-company transactions and accounts have been eliminated on consolidation.</w:t>
      </w:r>
    </w:p>
    <w:p>
      <w:pPr>
        <w:spacing w:after="0" w:line="87"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117" w:lineRule="exact"/>
        <w:rPr>
          <w:sz w:val="20"/>
          <w:szCs w:val="20"/>
          <w:color w:val="auto"/>
        </w:rPr>
      </w:pPr>
    </w:p>
    <w:p>
      <w:pPr>
        <w:ind w:left="920" w:right="100"/>
        <w:spacing w:after="0" w:line="312" w:lineRule="auto"/>
        <w:rPr>
          <w:sz w:val="20"/>
          <w:szCs w:val="20"/>
          <w:color w:val="auto"/>
        </w:rPr>
      </w:pPr>
      <w:r>
        <w:rPr>
          <w:rFonts w:ascii="Arial" w:cs="Arial" w:eastAsia="Arial" w:hAnsi="Arial"/>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52" w:lineRule="exact"/>
        <w:rPr>
          <w:sz w:val="20"/>
          <w:szCs w:val="20"/>
          <w:color w:val="auto"/>
        </w:rPr>
      </w:pPr>
    </w:p>
    <w:p>
      <w:pPr>
        <w:ind w:left="900" w:hanging="446"/>
        <w:spacing w:after="0"/>
        <w:tabs>
          <w:tab w:leader="none" w:pos="9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17" w:lineRule="exact"/>
        <w:rPr>
          <w:sz w:val="20"/>
          <w:szCs w:val="20"/>
          <w:color w:val="auto"/>
        </w:rPr>
      </w:pPr>
    </w:p>
    <w:p>
      <w:pPr>
        <w:ind w:left="920" w:right="380"/>
        <w:spacing w:after="0" w:line="277"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76" w:lineRule="exact"/>
        <w:rPr>
          <w:sz w:val="20"/>
          <w:szCs w:val="20"/>
          <w:color w:val="auto"/>
        </w:rPr>
      </w:pPr>
    </w:p>
    <w:p>
      <w:pPr>
        <w:ind w:left="900" w:hanging="446"/>
        <w:spacing w:after="0"/>
        <w:tabs>
          <w:tab w:leader="none" w:pos="9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117" w:lineRule="exact"/>
        <w:rPr>
          <w:sz w:val="20"/>
          <w:szCs w:val="20"/>
          <w:color w:val="auto"/>
        </w:rPr>
      </w:pPr>
    </w:p>
    <w:p>
      <w:pPr>
        <w:ind w:left="920" w:right="720"/>
        <w:spacing w:after="0" w:line="277" w:lineRule="auto"/>
        <w:rPr>
          <w:sz w:val="20"/>
          <w:szCs w:val="20"/>
          <w:color w:val="auto"/>
        </w:rPr>
      </w:pPr>
      <w:r>
        <w:rPr>
          <w:rFonts w:ascii="Arial" w:cs="Arial" w:eastAsia="Arial" w:hAnsi="Arial"/>
          <w:sz w:val="18"/>
          <w:szCs w:val="18"/>
          <w:color w:val="auto"/>
        </w:rPr>
        <w:t>Cash and cash equivalents subject to restrictions are excluded from cash and cash equivalents in the consolidated balance sheets and are presented as restricted cash.</w:t>
      </w:r>
    </w:p>
    <w:p>
      <w:pPr>
        <w:spacing w:after="0" w:line="76" w:lineRule="exact"/>
        <w:rPr>
          <w:sz w:val="20"/>
          <w:szCs w:val="20"/>
          <w:color w:val="auto"/>
        </w:rPr>
      </w:pPr>
    </w:p>
    <w:p>
      <w:pPr>
        <w:ind w:left="900" w:hanging="446"/>
        <w:spacing w:after="0"/>
        <w:tabs>
          <w:tab w:leader="none" w:pos="9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117" w:lineRule="exact"/>
        <w:rPr>
          <w:sz w:val="20"/>
          <w:szCs w:val="20"/>
          <w:color w:val="auto"/>
        </w:rPr>
      </w:pPr>
    </w:p>
    <w:p>
      <w:pPr>
        <w:jc w:val="both"/>
        <w:ind w:left="920" w:right="540"/>
        <w:spacing w:after="0" w:line="312" w:lineRule="auto"/>
        <w:rPr>
          <w:sz w:val="20"/>
          <w:szCs w:val="20"/>
          <w:color w:val="auto"/>
        </w:rPr>
      </w:pPr>
      <w:r>
        <w:rPr>
          <w:rFonts w:ascii="Arial" w:cs="Arial" w:eastAsia="Arial" w:hAnsi="Arial"/>
          <w:sz w:val="16"/>
          <w:szCs w:val="16"/>
          <w:color w:val="auto"/>
        </w:rPr>
        <w:t>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 nil as of December 31, 2014 (2013: $ nil).</w:t>
      </w:r>
    </w:p>
    <w:p>
      <w:pPr>
        <w:spacing w:after="0" w:line="52" w:lineRule="exact"/>
        <w:rPr>
          <w:sz w:val="20"/>
          <w:szCs w:val="20"/>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Vessels</w:t>
      </w:r>
    </w:p>
    <w:p>
      <w:pPr>
        <w:spacing w:after="0" w:line="117"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Vessels acquired up to the date of the merger described in note 1, were initially recorded at their acquisition cost, less an amount allocated to drydock component, less accumulated depreciation. From the date of the merger, these vessels have been recorded at their fair value at the date of the merger, less a proportion of the negative goodwill arising at the time of the merger allocated to these vessels, less accumulated depreciation and impairment loss, if any.</w:t>
      </w:r>
    </w:p>
    <w:p>
      <w:pPr>
        <w:spacing w:after="0" w:line="79"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In connection with the merger, the Company recognised an intangible asset arising from the comparison of the acquisition prices in the asset purchase agreement between the Company as buyer and CMA CGM as seller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79" w:lineRule="exact"/>
        <w:rPr>
          <w:sz w:val="20"/>
          <w:szCs w:val="20"/>
          <w:color w:val="auto"/>
        </w:rPr>
      </w:pPr>
    </w:p>
    <w:p>
      <w:pPr>
        <w:ind w:left="920" w:right="40"/>
        <w:spacing w:after="0" w:line="277" w:lineRule="auto"/>
        <w:rPr>
          <w:sz w:val="20"/>
          <w:szCs w:val="20"/>
          <w:color w:val="auto"/>
        </w:rPr>
      </w:pPr>
      <w:r>
        <w:rPr>
          <w:rFonts w:ascii="Arial" w:cs="Arial" w:eastAsia="Arial" w:hAnsi="Arial"/>
          <w:sz w:val="18"/>
          <w:szCs w:val="18"/>
          <w:color w:val="auto"/>
        </w:rPr>
        <w:t>Vessels acquired after the merger are stated at acquisition cost, less accumulated depreciation. The cost of the vessel consists of the contract price and expenses incurred in connection with the acquisition.</w:t>
      </w:r>
    </w:p>
    <w:p>
      <w:pPr>
        <w:spacing w:after="0" w:line="62"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62" w:lineRule="exact"/>
        <w:rPr>
          <w:sz w:val="20"/>
          <w:szCs w:val="20"/>
          <w:color w:val="auto"/>
        </w:rPr>
      </w:pPr>
    </w:p>
    <w:p>
      <w:pPr>
        <w:ind w:left="920" w:right="100"/>
        <w:spacing w:after="0" w:line="34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There was no capitalized interest for the years ended December 31, 2014, 2013 and 2012. Other borrowing costs are expensed as incurred.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27"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first delivery from the shipyard.</w:t>
      </w:r>
    </w:p>
    <w:p>
      <w:pPr>
        <w:spacing w:after="0" w:line="73"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Prepayments and costs directly related to the future acquisition of specific vessels are presented in the Consolidated Balance Sheets as vessel deposits.</w:t>
      </w:r>
    </w:p>
    <w:p>
      <w:pPr>
        <w:spacing w:after="0" w:line="76"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117" w:lineRule="exact"/>
        <w:rPr>
          <w:sz w:val="20"/>
          <w:szCs w:val="20"/>
          <w:color w:val="auto"/>
        </w:rPr>
      </w:pPr>
    </w:p>
    <w:p>
      <w:pPr>
        <w:ind w:left="920" w:right="160"/>
        <w:spacing w:after="0" w:line="297" w:lineRule="auto"/>
        <w:rPr>
          <w:sz w:val="20"/>
          <w:szCs w:val="20"/>
          <w:color w:val="auto"/>
        </w:rPr>
      </w:pPr>
      <w:r>
        <w:rPr>
          <w:rFonts w:ascii="Arial" w:cs="Arial" w:eastAsia="Arial" w:hAnsi="Arial"/>
          <w:sz w:val="16"/>
          <w:szCs w:val="16"/>
          <w:color w:val="auto"/>
        </w:rPr>
        <w:t>An element of the purchase price of a vessel is allocated to a drydock component which is amortized on a straight line basis to the anticipated next drydocking date. Vessels are drydocked approximately every five years for major repairs and maintenance that cannot be performed while the vessels are operating. Costs directly associated with a drydocking, including the required regulatory inspection of the vessel, its hull and its machinery and for the defouling and repainting of the hull are capitalized as they are incurred and depreciated on a straight line basis over the period between drydocks. Capitalized drydocking costs are classified within investing activities in the Consolidated Statements of Cash Flows.</w:t>
      </w:r>
    </w:p>
    <w:p>
      <w:pPr>
        <w:spacing w:after="0" w:line="64" w:lineRule="exact"/>
        <w:rPr>
          <w:sz w:val="20"/>
          <w:szCs w:val="20"/>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117" w:lineRule="exact"/>
        <w:rPr>
          <w:sz w:val="20"/>
          <w:szCs w:val="20"/>
          <w:color w:val="auto"/>
        </w:rPr>
      </w:pPr>
    </w:p>
    <w:p>
      <w:pPr>
        <w:ind w:left="920" w:right="240"/>
        <w:spacing w:after="0" w:line="291" w:lineRule="auto"/>
        <w:rPr>
          <w:sz w:val="20"/>
          <w:szCs w:val="20"/>
          <w:color w:val="auto"/>
        </w:rPr>
      </w:pPr>
      <w:r>
        <w:rPr>
          <w:rFonts w:ascii="Arial" w:cs="Arial" w:eastAsia="Arial" w:hAnsi="Arial"/>
          <w:sz w:val="16"/>
          <w:szCs w:val="16"/>
          <w:color w:val="auto"/>
        </w:rPr>
        <w:t>Cash consideration for the acquisition of purchase options to acquire vessels at a fixed purchase price are recognized as intangible assets in an amount up to the difference, as at the transaction date, between (i) the amount paid for the options plus the purchase price of the vessels and</w:t>
      </w:r>
    </w:p>
    <w:p>
      <w:pPr>
        <w:ind w:left="920" w:right="180" w:firstLine="1"/>
        <w:spacing w:after="0" w:line="255" w:lineRule="auto"/>
        <w:tabs>
          <w:tab w:leader="none" w:pos="11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82"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117" w:lineRule="exact"/>
        <w:rPr>
          <w:sz w:val="20"/>
          <w:szCs w:val="20"/>
          <w:color w:val="auto"/>
        </w:rPr>
      </w:pPr>
    </w:p>
    <w:p>
      <w:pPr>
        <w:ind w:left="920" w:right="200"/>
        <w:spacing w:after="0" w:line="264"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use of the asset and its eventual disposal are below the asset’s net book value, then the asset is deemed to be impaired and written down to its fair value.</w:t>
      </w:r>
    </w:p>
    <w:p>
      <w:pPr>
        <w:spacing w:after="0" w:line="87"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117" w:lineRule="exact"/>
        <w:rPr>
          <w:sz w:val="20"/>
          <w:szCs w:val="20"/>
          <w:color w:val="auto"/>
        </w:rPr>
      </w:pPr>
    </w:p>
    <w:p>
      <w:pPr>
        <w:jc w:val="both"/>
        <w:ind w:left="920" w:right="200"/>
        <w:spacing w:after="0" w:line="312"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whereby the Company’s actual charter rates were compared to market rates at the merger date. These intangible liabilities, recognizing the below market rates as at the date of merger, are amortized giving rise to an increase of time charter revenue over the remaining term of the relevant charters.</w:t>
      </w:r>
    </w:p>
    <w:p>
      <w:pPr>
        <w:spacing w:after="0" w:line="52" w:lineRule="exact"/>
        <w:rPr>
          <w:sz w:val="20"/>
          <w:szCs w:val="20"/>
          <w:color w:val="auto"/>
        </w:rPr>
      </w:pPr>
    </w:p>
    <w:p>
      <w:pPr>
        <w:ind w:left="900" w:hanging="446"/>
        <w:spacing w:after="0"/>
        <w:tabs>
          <w:tab w:leader="none" w:pos="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117" w:lineRule="exact"/>
        <w:rPr>
          <w:sz w:val="20"/>
          <w:szCs w:val="20"/>
          <w:color w:val="auto"/>
        </w:rPr>
      </w:pPr>
    </w:p>
    <w:p>
      <w:pPr>
        <w:ind w:left="920" w:right="220"/>
        <w:spacing w:after="0" w:line="302"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and is recorded equal to the amount by which the asset’s carrying amount exceeds its fair value. Fair value is the net present value of future cash flows discounted by an appropriate discount rate.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Long-lived assets (continued)</w:t>
      </w:r>
    </w:p>
    <w:p>
      <w:pPr>
        <w:spacing w:after="0" w:line="158"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Due to continuing poor industry conditions, impairment tests on a vessel by vessel basis were performed as at December 31, 2013 and again as at December 31, 2014. No impairment was recognised after either of these tests as, based on the assumptions made, the expected undiscounted future cash flows exceeded the vessels’ carrying amounts.</w:t>
      </w:r>
    </w:p>
    <w:p>
      <w:pPr>
        <w:spacing w:after="0" w:line="73" w:lineRule="exact"/>
        <w:rPr>
          <w:sz w:val="20"/>
          <w:szCs w:val="20"/>
          <w:color w:val="auto"/>
        </w:rPr>
      </w:pPr>
    </w:p>
    <w:p>
      <w:pPr>
        <w:ind w:left="920" w:right="40"/>
        <w:spacing w:after="0" w:line="271" w:lineRule="auto"/>
        <w:rPr>
          <w:sz w:val="20"/>
          <w:szCs w:val="20"/>
          <w:color w:val="auto"/>
        </w:rPr>
      </w:pPr>
      <w:r>
        <w:rPr>
          <w:rFonts w:ascii="Arial" w:cs="Arial" w:eastAsia="Arial" w:hAnsi="Arial"/>
          <w:sz w:val="17"/>
          <w:szCs w:val="17"/>
          <w:color w:val="auto"/>
        </w:rPr>
        <w:t>The agreement of new charters with effect from May 1, 2013 of two of the Company’s vessels at rates below the previous rates was seen as an indicator of potential impairment of their carrying value. Accordingly, an impairment test, based on expected undiscounted cash flows by vessel, was performed for these two vessels as at March 31, 2013. Based on the assumptions made, the expected undiscounted future cash flows exceeded the vessels’ carrying amounts as at March 31, 2013 and accordingly no impairment was recognised. The further agreement on new charters of two of the Company’s vessels in May and July 2014 (see note 2(a)) was seen as an indicator of potential impairment of their carrying value. Accordingly, an impairment test, based on the expected undiscounted cash flows by vessel, was performed for these two vessels as at June 30, 2014. Based on the assumptions made, the expected undiscounted future cash flows exceeded the vessels’ carrying amounts as at June 30, 2014 and accordingly no impairment was recognised.</w:t>
      </w:r>
    </w:p>
    <w:p>
      <w:pPr>
        <w:spacing w:after="0" w:line="71" w:lineRule="exact"/>
        <w:rPr>
          <w:sz w:val="20"/>
          <w:szCs w:val="20"/>
          <w:color w:val="auto"/>
        </w:rPr>
      </w:pPr>
    </w:p>
    <w:p>
      <w:pPr>
        <w:ind w:left="920"/>
        <w:spacing w:after="0" w:line="254" w:lineRule="auto"/>
        <w:rPr>
          <w:sz w:val="20"/>
          <w:szCs w:val="20"/>
          <w:color w:val="auto"/>
        </w:rPr>
      </w:pPr>
      <w:r>
        <w:rPr>
          <w:rFonts w:ascii="Arial" w:cs="Arial" w:eastAsia="Arial" w:hAnsi="Arial"/>
          <w:sz w:val="18"/>
          <w:szCs w:val="18"/>
          <w:color w:val="auto"/>
        </w:rPr>
        <w:t>The assumptions used involve a considerable degree of estimation. Actual conditions may differ significantly from the assumptions and thus actual cash flows may be significantly different to those expected with a material effect on the recoverability of each vessel’s carrying amount. 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Company’s fleet (iii) operating costs, based on current levels escalated over time based on long term trends (iv) dry docking frequency, duration and cost and (v) estimated useful life which is assessed as a total of 30 years from first delivery from the shipyard. In the case of an indication of impairment, the results of a recoverability test would also be sensitive to the discount rate applied.</w:t>
      </w:r>
    </w:p>
    <w:p>
      <w:pPr>
        <w:spacing w:after="0" w:line="98" w:lineRule="exact"/>
        <w:rPr>
          <w:sz w:val="20"/>
          <w:szCs w:val="20"/>
          <w:color w:val="auto"/>
        </w:rPr>
      </w:pPr>
    </w:p>
    <w:p>
      <w:pPr>
        <w:ind w:left="920" w:right="8840" w:hanging="466"/>
        <w:spacing w:after="0" w:line="422" w:lineRule="auto"/>
        <w:tabs>
          <w:tab w:leader="none" w:pos="898"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Derivative instruments Interest rate hedges</w:t>
      </w:r>
    </w:p>
    <w:p>
      <w:pPr>
        <w:spacing w:after="0" w:line="1" w:lineRule="exact"/>
        <w:rPr>
          <w:sz w:val="20"/>
          <w:szCs w:val="20"/>
          <w:color w:val="auto"/>
        </w:rPr>
      </w:pPr>
    </w:p>
    <w:p>
      <w:pPr>
        <w:jc w:val="both"/>
        <w:ind w:left="920" w:right="80"/>
        <w:spacing w:after="0" w:line="264" w:lineRule="auto"/>
        <w:rPr>
          <w:sz w:val="20"/>
          <w:szCs w:val="20"/>
          <w:color w:val="auto"/>
        </w:rPr>
      </w:pPr>
      <w:r>
        <w:rPr>
          <w:rFonts w:ascii="Arial" w:cs="Arial" w:eastAsia="Arial" w:hAnsi="Arial"/>
          <w:sz w:val="18"/>
          <w:szCs w:val="18"/>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73" w:lineRule="exact"/>
        <w:rPr>
          <w:sz w:val="20"/>
          <w:szCs w:val="20"/>
          <w:color w:val="auto"/>
        </w:rPr>
      </w:pPr>
    </w:p>
    <w:p>
      <w:pPr>
        <w:ind w:left="920"/>
        <w:spacing w:after="0" w:line="302" w:lineRule="auto"/>
        <w:rPr>
          <w:sz w:val="20"/>
          <w:szCs w:val="20"/>
          <w:color w:val="auto"/>
        </w:rPr>
      </w:pPr>
      <w:r>
        <w:rPr>
          <w:rFonts w:ascii="Arial" w:cs="Arial" w:eastAsia="Arial" w:hAnsi="Arial"/>
          <w:sz w:val="16"/>
          <w:szCs w:val="16"/>
          <w:color w:val="auto"/>
        </w:rPr>
        <w:t>The Company’s interest rate derivative instruments do not qualify for hedge accounting. Changes in the fair value are recognized immediately in the Consolidated Statements of Income within “Unrealized gain (loss) on interest rate derivatives”. Cash settlements of interest rate derivative instruments are recognized immediately in the Consolidated Statements of Income within “Realized loss on interest rate derivatives”. Cash flows related to interest rate derivatives (including payments and periodic cash settlements) are included within “Net cash used in investing activities”.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380"/>
          </w:cols>
          <w:pgMar w:left="240" w:top="459" w:right="2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Derivative instruments (continued)</w:t>
      </w:r>
    </w:p>
    <w:p>
      <w:pPr>
        <w:spacing w:after="0" w:line="158"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fair value of derivatives is presented on the face of the Consolidated Balance Sheets under the line item “Derivative instruments” and is split into current and non-current portions based on the net cash flows expected within one year.</w:t>
      </w:r>
    </w:p>
    <w:p>
      <w:pPr>
        <w:spacing w:after="0" w:line="76" w:lineRule="exact"/>
        <w:rPr>
          <w:sz w:val="20"/>
          <w:szCs w:val="20"/>
          <w:color w:val="auto"/>
        </w:rPr>
      </w:pPr>
    </w:p>
    <w:p>
      <w:pPr>
        <w:ind w:left="900" w:hanging="446"/>
        <w:spacing w:after="0"/>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Deferred financing costs</w:t>
      </w:r>
    </w:p>
    <w:p>
      <w:pPr>
        <w:spacing w:after="0" w:line="117" w:lineRule="exact"/>
        <w:rPr>
          <w:sz w:val="20"/>
          <w:szCs w:val="20"/>
          <w:color w:val="auto"/>
        </w:rPr>
      </w:pPr>
    </w:p>
    <w:p>
      <w:pPr>
        <w:jc w:val="both"/>
        <w:ind w:left="920" w:right="60"/>
        <w:spacing w:after="0" w:line="286" w:lineRule="auto"/>
        <w:rPr>
          <w:sz w:val="20"/>
          <w:szCs w:val="20"/>
          <w:color w:val="auto"/>
        </w:rPr>
      </w:pPr>
      <w:r>
        <w:rPr>
          <w:rFonts w:ascii="Arial" w:cs="Arial" w:eastAsia="Arial" w:hAnsi="Arial"/>
          <w:sz w:val="17"/>
          <w:szCs w:val="17"/>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w:t>
      </w:r>
    </w:p>
    <w:p>
      <w:pPr>
        <w:spacing w:after="0" w:line="71" w:lineRule="exact"/>
        <w:rPr>
          <w:sz w:val="20"/>
          <w:szCs w:val="20"/>
          <w:color w:val="auto"/>
        </w:rPr>
      </w:pPr>
    </w:p>
    <w:p>
      <w:pPr>
        <w:ind w:left="900" w:hanging="446"/>
        <w:spacing w:after="0"/>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117" w:lineRule="exact"/>
        <w:rPr>
          <w:sz w:val="20"/>
          <w:szCs w:val="20"/>
          <w:color w:val="auto"/>
        </w:rPr>
      </w:pPr>
    </w:p>
    <w:p>
      <w:pPr>
        <w:ind w:left="920" w:right="160"/>
        <w:spacing w:after="0" w:line="257" w:lineRule="auto"/>
        <w:rPr>
          <w:sz w:val="20"/>
          <w:szCs w:val="20"/>
          <w:color w:val="auto"/>
        </w:rPr>
      </w:pPr>
      <w:r>
        <w:rPr>
          <w:rFonts w:ascii="Arial" w:cs="Arial" w:eastAsia="Arial" w:hAnsi="Arial"/>
          <w:sz w:val="18"/>
          <w:szCs w:val="18"/>
          <w:color w:val="auto"/>
        </w:rPr>
        <w:t>Series A Preferred shares were included within Liabilities in the Consolidated Balance Sheets and preferred share dividends included within interest expense in the Consolidated Statements of Income as their nature was similar to that of a liability rather than equity. Holders of these mandatorily redeemable preferred shares were entitled to receive a dividend equal to 3-month U.S. dollar LIBOR plus 2% on the original issue price and ranked senior to the Class A and Class B common shares with respect to dividend rights and rights upon liquidation, dissolution or winding up of the Company.</w:t>
      </w:r>
    </w:p>
    <w:p>
      <w:pPr>
        <w:spacing w:after="0" w:line="80" w:lineRule="exact"/>
        <w:rPr>
          <w:sz w:val="20"/>
          <w:szCs w:val="20"/>
          <w:color w:val="auto"/>
        </w:rPr>
      </w:pPr>
    </w:p>
    <w:p>
      <w:pPr>
        <w:ind w:left="920" w:right="40"/>
        <w:spacing w:after="0" w:line="276" w:lineRule="auto"/>
        <w:rPr>
          <w:sz w:val="20"/>
          <w:szCs w:val="20"/>
          <w:color w:val="auto"/>
        </w:rPr>
      </w:pPr>
      <w:r>
        <w:rPr>
          <w:rFonts w:ascii="Arial" w:cs="Arial" w:eastAsia="Arial" w:hAnsi="Arial"/>
          <w:sz w:val="17"/>
          <w:szCs w:val="17"/>
          <w:color w:val="auto"/>
        </w:rPr>
        <w:t>Series B Preferred shares have been included within Equity in the Consolidated Balance Sheets and preferred share dividends are presented as a reduction of Retained Earnings in the Consolidated Statement of Stockholders’ Equity as their nature is similar to that of an equity instrument rather than a liability. Holders of these redeemable perpetual preferred shares, which may only be redeemed at the discretion of the company, are entitled to receive a dividend equal to 8.75% on the original issue price and rank senior to the Class A and Class B common shares with respect to dividend rights and rights upon liquidation, dissolution or winding up of the Company.</w:t>
      </w:r>
    </w:p>
    <w:p>
      <w:pPr>
        <w:spacing w:after="0" w:line="78" w:lineRule="exact"/>
        <w:rPr>
          <w:sz w:val="20"/>
          <w:szCs w:val="20"/>
          <w:color w:val="auto"/>
        </w:rPr>
      </w:pPr>
    </w:p>
    <w:p>
      <w:pPr>
        <w:ind w:left="900" w:hanging="446"/>
        <w:spacing w:after="0"/>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76" w:lineRule="exact"/>
        <w:rPr>
          <w:sz w:val="20"/>
          <w:szCs w:val="20"/>
          <w:color w:val="auto"/>
        </w:rPr>
      </w:pPr>
    </w:p>
    <w:p>
      <w:pPr>
        <w:ind w:left="900" w:hanging="446"/>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117" w:lineRule="exact"/>
        <w:rPr>
          <w:sz w:val="20"/>
          <w:szCs w:val="20"/>
          <w:color w:val="auto"/>
        </w:rPr>
      </w:pPr>
    </w:p>
    <w:p>
      <w:pPr>
        <w:ind w:left="920" w:right="140"/>
        <w:spacing w:after="0" w:line="257" w:lineRule="auto"/>
        <w:rPr>
          <w:sz w:val="20"/>
          <w:szCs w:val="20"/>
          <w:color w:val="auto"/>
        </w:rPr>
      </w:pPr>
      <w:r>
        <w:rPr>
          <w:rFonts w:ascii="Arial" w:cs="Arial" w:eastAsia="Arial" w:hAnsi="Arial"/>
          <w:sz w:val="18"/>
          <w:szCs w:val="18"/>
          <w:color w:val="auto"/>
        </w:rPr>
        <w:t>Other comprehensive income (loss), which is reported in the Consolidated Statement of Stockholders’ Equity, consists of net income (loss) and other gains and losses affecting equity that, under U.S. GAAP, are excluded from net income (loss). Under ASU 2011-05, an entity reporting comprehensive income in a single continuous financial statement shall present its components in two sections, net income and other comprehensive income. As the Company does not, to date, have other comprehensive income, the accompanying consolidated financial statements only include Consolidated Statements of Income.</w:t>
      </w:r>
    </w:p>
    <w:p>
      <w:pPr>
        <w:spacing w:after="0" w:line="94"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117" w:lineRule="exact"/>
        <w:rPr>
          <w:sz w:val="20"/>
          <w:szCs w:val="20"/>
          <w:color w:val="auto"/>
        </w:rPr>
      </w:pPr>
    </w:p>
    <w:p>
      <w:pPr>
        <w:ind w:left="920" w:right="60"/>
        <w:spacing w:after="0" w:line="279" w:lineRule="auto"/>
        <w:rPr>
          <w:sz w:val="20"/>
          <w:szCs w:val="20"/>
          <w:color w:val="auto"/>
        </w:rPr>
      </w:pPr>
      <w:r>
        <w:rPr>
          <w:rFonts w:ascii="Arial" w:cs="Arial" w:eastAsia="Arial" w:hAnsi="Arial"/>
          <w:sz w:val="17"/>
          <w:szCs w:val="17"/>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Cash received in excess of earned revenue is recorded as deferred revenue.</w:t>
      </w:r>
    </w:p>
    <w:p>
      <w:pPr>
        <w:spacing w:after="0" w:line="63" w:lineRule="exact"/>
        <w:rPr>
          <w:sz w:val="20"/>
          <w:szCs w:val="20"/>
          <w:color w:val="auto"/>
        </w:rPr>
      </w:pPr>
    </w:p>
    <w:p>
      <w:pPr>
        <w:ind w:left="920" w:right="640"/>
        <w:spacing w:after="0" w:line="277"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380"/>
          </w:cols>
          <w:pgMar w:left="240" w:top="459" w:right="2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1" w:lineRule="exact"/>
        <w:rPr>
          <w:rFonts w:ascii="Arial" w:cs="Arial" w:eastAsia="Arial" w:hAnsi="Arial"/>
          <w:sz w:val="18"/>
          <w:szCs w:val="18"/>
          <w:b w:val="1"/>
          <w:bCs w:val="1"/>
          <w:color w:val="auto"/>
        </w:rPr>
      </w:pPr>
    </w:p>
    <w:p>
      <w:pPr>
        <w:ind w:left="900" w:hanging="446"/>
        <w:spacing w:after="0"/>
        <w:tabs>
          <w:tab w:leader="none" w:pos="90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158"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 (loss).</w:t>
      </w:r>
    </w:p>
    <w:p>
      <w:pPr>
        <w:spacing w:after="0" w:line="92" w:lineRule="exact"/>
        <w:rPr>
          <w:sz w:val="20"/>
          <w:szCs w:val="20"/>
          <w:color w:val="auto"/>
        </w:rPr>
      </w:pPr>
    </w:p>
    <w:p>
      <w:pPr>
        <w:ind w:left="900" w:hanging="446"/>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131" w:lineRule="exact"/>
        <w:rPr>
          <w:sz w:val="20"/>
          <w:szCs w:val="20"/>
          <w:color w:val="auto"/>
        </w:rPr>
      </w:pPr>
    </w:p>
    <w:p>
      <w:pPr>
        <w:ind w:left="900" w:hanging="446"/>
        <w:spacing w:after="0"/>
        <w:tabs>
          <w:tab w:leader="none" w:pos="9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Insurance</w:t>
      </w:r>
    </w:p>
    <w:p>
      <w:pPr>
        <w:spacing w:after="0" w:line="117" w:lineRule="exact"/>
        <w:rPr>
          <w:sz w:val="20"/>
          <w:szCs w:val="20"/>
          <w:color w:val="auto"/>
        </w:rPr>
      </w:pPr>
    </w:p>
    <w:p>
      <w:pPr>
        <w:ind w:left="920" w:right="20"/>
        <w:spacing w:after="0" w:line="259"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are expensed over the period covered by the insurance contract.</w:t>
      </w:r>
    </w:p>
    <w:p>
      <w:pPr>
        <w:spacing w:after="0" w:line="92" w:lineRule="exact"/>
        <w:rPr>
          <w:sz w:val="20"/>
          <w:szCs w:val="20"/>
          <w:color w:val="auto"/>
        </w:rPr>
      </w:pPr>
    </w:p>
    <w:p>
      <w:pPr>
        <w:ind w:left="900" w:hanging="446"/>
        <w:spacing w:after="0"/>
        <w:tabs>
          <w:tab w:leader="none" w:pos="9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awards restricted stock units to its management and Directors as part of their compensation.</w:t>
      </w:r>
    </w:p>
    <w:p>
      <w:pPr>
        <w:spacing w:after="0" w:line="117" w:lineRule="exact"/>
        <w:rPr>
          <w:sz w:val="20"/>
          <w:szCs w:val="20"/>
          <w:color w:val="auto"/>
        </w:rPr>
      </w:pPr>
    </w:p>
    <w:p>
      <w:pPr>
        <w:ind w:left="920" w:right="120"/>
        <w:spacing w:after="0" w:line="264"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expected vesting period.</w:t>
      </w:r>
    </w:p>
    <w:p>
      <w:pPr>
        <w:spacing w:after="0" w:line="87" w:lineRule="exact"/>
        <w:rPr>
          <w:sz w:val="20"/>
          <w:szCs w:val="20"/>
          <w:color w:val="auto"/>
        </w:rPr>
      </w:pPr>
    </w:p>
    <w:p>
      <w:pPr>
        <w:ind w:left="900" w:hanging="446"/>
        <w:spacing w:after="0"/>
        <w:tabs>
          <w:tab w:leader="none" w:pos="9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17" w:lineRule="exact"/>
        <w:rPr>
          <w:sz w:val="20"/>
          <w:szCs w:val="20"/>
          <w:color w:val="auto"/>
        </w:rPr>
      </w:pPr>
    </w:p>
    <w:p>
      <w:pPr>
        <w:ind w:left="920"/>
        <w:spacing w:after="0" w:line="279" w:lineRule="auto"/>
        <w:rPr>
          <w:sz w:val="20"/>
          <w:szCs w:val="20"/>
          <w:color w:val="auto"/>
        </w:rPr>
      </w:pPr>
      <w:r>
        <w:rPr>
          <w:rFonts w:ascii="Arial" w:cs="Arial" w:eastAsia="Arial" w:hAnsi="Arial"/>
          <w:sz w:val="17"/>
          <w:szCs w:val="17"/>
          <w:color w:val="auto"/>
        </w:rPr>
        <w:t>The Company and its Marshall Island subsidiaries are exempt from taxation in the Marshall Islands. The Company’s vessels are flagged in Bahamas, Cyprus, Hong Kong and Panama and are liable for tax based on the tonnage of the vessel. The cost, which is included within operating expenses, amounted to $126, $169 and $146 for the years ended December 31, 2014, 2013 and 2012, respectively. The Cyprus and Hong Kong subsidiaries are liable for income tax on any interest income earned from non-shipping activity.</w:t>
      </w:r>
    </w:p>
    <w:p>
      <w:pPr>
        <w:spacing w:after="0" w:line="63"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21% (2013: 23%, 2012: 24%). This subsidiary earns management and other fees from fellow group companies.</w:t>
      </w:r>
    </w:p>
    <w:p>
      <w:pPr>
        <w:spacing w:after="0" w:line="62" w:lineRule="exact"/>
        <w:rPr>
          <w:sz w:val="20"/>
          <w:szCs w:val="20"/>
          <w:color w:val="auto"/>
        </w:rPr>
      </w:pPr>
    </w:p>
    <w:p>
      <w:pPr>
        <w:ind w:left="920" w:right="60"/>
        <w:spacing w:after="0" w:line="272" w:lineRule="auto"/>
        <w:rPr>
          <w:sz w:val="20"/>
          <w:szCs w:val="20"/>
          <w:color w:val="auto"/>
        </w:rPr>
      </w:pPr>
      <w:r>
        <w:rPr>
          <w:rFonts w:ascii="Arial" w:cs="Arial" w:eastAsia="Arial" w:hAnsi="Arial"/>
          <w:sz w:val="17"/>
          <w:szCs w:val="17"/>
          <w:color w:val="auto"/>
        </w:rPr>
        <w:t>The Company accounts for deferred income taxes using the liability method which requires the determination of deferred tax assets and liabilities, based upon temporary timing differences that arise between the financial statement and tax bases of recorded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2014 a deferred tax liability of $34 (2013: $43) was recognized relating to stock based compensation costs charged to the Consolidated Statements of Income in respect of unvested shares and timing differences between the carrying amounts of assets for financial reporting purposes and their tax bases.</w:t>
      </w:r>
    </w:p>
    <w:p>
      <w:pPr>
        <w:spacing w:after="0" w:line="70"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ind w:left="460" w:hanging="452"/>
        <w:spacing w:after="0"/>
        <w:tabs>
          <w:tab w:leader="none" w:pos="4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(continued)</w:t>
      </w:r>
    </w:p>
    <w:p>
      <w:pPr>
        <w:spacing w:after="0" w:line="162" w:lineRule="exact"/>
        <w:rPr>
          <w:sz w:val="20"/>
          <w:szCs w:val="20"/>
          <w:color w:val="auto"/>
        </w:rPr>
      </w:pPr>
    </w:p>
    <w:p>
      <w:pPr>
        <w:ind w:left="900" w:hanging="446"/>
        <w:spacing w:after="0"/>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117" w:lineRule="exact"/>
        <w:rPr>
          <w:sz w:val="20"/>
          <w:szCs w:val="20"/>
          <w:color w:val="auto"/>
        </w:rPr>
      </w:pPr>
    </w:p>
    <w:p>
      <w:pPr>
        <w:ind w:left="920" w:right="600"/>
        <w:spacing w:after="0" w:line="277" w:lineRule="auto"/>
        <w:rPr>
          <w:sz w:val="20"/>
          <w:szCs w:val="20"/>
          <w:color w:val="auto"/>
        </w:rPr>
      </w:pPr>
      <w:r>
        <w:rPr>
          <w:rFonts w:ascii="Arial" w:cs="Arial" w:eastAsia="Arial" w:hAnsi="Arial"/>
          <w:sz w:val="18"/>
          <w:szCs w:val="18"/>
          <w:color w:val="auto"/>
        </w:rPr>
        <w:t>Inventories consist of bunkers and lubricants on board certain of the vessels. Inventories are stated at the lower of cost or market value as determined using the first-in, first-out method.</w:t>
      </w:r>
    </w:p>
    <w:p>
      <w:pPr>
        <w:spacing w:after="0" w:line="76" w:lineRule="exact"/>
        <w:rPr>
          <w:sz w:val="20"/>
          <w:szCs w:val="20"/>
          <w:color w:val="auto"/>
        </w:rPr>
      </w:pPr>
    </w:p>
    <w:p>
      <w:pPr>
        <w:ind w:left="900" w:hanging="446"/>
        <w:spacing w:after="0"/>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Dividends</w:t>
      </w:r>
    </w:p>
    <w:p>
      <w:pPr>
        <w:spacing w:after="0" w:line="117" w:lineRule="exact"/>
        <w:rPr>
          <w:sz w:val="20"/>
          <w:szCs w:val="20"/>
          <w:color w:val="auto"/>
        </w:rPr>
      </w:pPr>
    </w:p>
    <w:p>
      <w:pPr>
        <w:ind w:left="920" w:right="120"/>
        <w:spacing w:after="0" w:line="277"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Consolidated Balance Sheets in the line item “Dividends payable”.</w:t>
      </w:r>
    </w:p>
    <w:p>
      <w:pPr>
        <w:spacing w:after="0" w:line="76" w:lineRule="exact"/>
        <w:rPr>
          <w:sz w:val="20"/>
          <w:szCs w:val="20"/>
          <w:color w:val="auto"/>
        </w:rPr>
      </w:pPr>
    </w:p>
    <w:p>
      <w:pPr>
        <w:ind w:left="900" w:hanging="446"/>
        <w:spacing w:after="0"/>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left="920" w:right="160"/>
        <w:spacing w:after="0" w:line="302" w:lineRule="auto"/>
        <w:rPr>
          <w:sz w:val="20"/>
          <w:szCs w:val="20"/>
          <w:color w:val="auto"/>
        </w:rPr>
      </w:pPr>
      <w:r>
        <w:rPr>
          <w:rFonts w:ascii="Arial" w:cs="Arial" w:eastAsia="Arial" w:hAnsi="Arial"/>
          <w:sz w:val="16"/>
          <w:szCs w:val="16"/>
          <w:color w:val="auto"/>
        </w:rPr>
        <w:t>Basic earnings per common share are based on income available to common shareholders divided by the weighted-average number of common shares outstanding during the period, excluding unvested restricted stock units. Diluted earnings per common share are calculated by applying the treasury stock method. All unvested restricted stock units that have a dilutive effect are included in the calculation. The basic and diluted earnings per share for the period are presented for each category of participating common shares under the two-class method.</w:t>
      </w:r>
    </w:p>
    <w:p>
      <w:pPr>
        <w:spacing w:after="0" w:line="60" w:lineRule="exact"/>
        <w:rPr>
          <w:sz w:val="20"/>
          <w:szCs w:val="20"/>
          <w:color w:val="auto"/>
        </w:rPr>
      </w:pPr>
    </w:p>
    <w:p>
      <w:pPr>
        <w:ind w:left="900" w:hanging="446"/>
        <w:spacing w:after="0"/>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117" w:lineRule="exact"/>
        <w:rPr>
          <w:sz w:val="20"/>
          <w:szCs w:val="20"/>
          <w:color w:val="auto"/>
        </w:rPr>
      </w:pPr>
    </w:p>
    <w:p>
      <w:pPr>
        <w:ind w:left="920" w:right="40"/>
        <w:spacing w:after="0" w:line="264" w:lineRule="auto"/>
        <w:rPr>
          <w:sz w:val="20"/>
          <w:szCs w:val="20"/>
          <w:color w:val="auto"/>
        </w:rPr>
      </w:pPr>
      <w:r>
        <w:rPr>
          <w:rFonts w:ascii="Arial" w:cs="Arial" w:eastAsia="Arial" w:hAnsi="Arial"/>
          <w:sz w:val="18"/>
          <w:szCs w:val="18"/>
          <w:color w:val="auto"/>
        </w:rPr>
        <w:t>In May 2014, the Financial Accounting Standards Board (“FASB”) issued an accounting standards update in respect of revenue from contracts with customers (Topic 606). The update is effective for annual periods beginning after December 15, 2016 and early application is not permitted. The Company is currently assessing the impact of adopting this update on its financial statements.</w:t>
      </w:r>
    </w:p>
    <w:p>
      <w:pPr>
        <w:spacing w:after="0" w:line="73" w:lineRule="exact"/>
        <w:rPr>
          <w:sz w:val="20"/>
          <w:szCs w:val="20"/>
          <w:color w:val="auto"/>
        </w:rPr>
      </w:pPr>
    </w:p>
    <w:p>
      <w:pPr>
        <w:ind w:left="920"/>
        <w:spacing w:after="0" w:line="293" w:lineRule="auto"/>
        <w:rPr>
          <w:sz w:val="20"/>
          <w:szCs w:val="20"/>
          <w:color w:val="auto"/>
        </w:rPr>
      </w:pPr>
      <w:r>
        <w:rPr>
          <w:rFonts w:ascii="Arial" w:cs="Arial" w:eastAsia="Arial" w:hAnsi="Arial"/>
          <w:sz w:val="16"/>
          <w:szCs w:val="16"/>
          <w:color w:val="auto"/>
        </w:rPr>
        <w:t>In June 2014, FASB issued an update in respect of Stock Compensation (Topic 718). The amendment requires that a performance target that affects vesting and that could be achieved after the requisite service period be treated as a performance condition. The performance condition should not be reflected in estimating the grant-date fair value of the award and the compensation cost should be recognized in the period in which it becomes probable that the performance target will be achieved and should represent the compensation cost attributable to the periods for which the requisite service has already been rendered. The amendment is effective for annual periods beginning after December 15, 2015 and early adoption is permitted. The adoption of this amendment is not expected to lead to any changes to the Company’s financial statements.</w:t>
      </w:r>
    </w:p>
    <w:p>
      <w:pPr>
        <w:spacing w:after="0" w:line="57" w:lineRule="exact"/>
        <w:rPr>
          <w:sz w:val="20"/>
          <w:szCs w:val="20"/>
          <w:color w:val="auto"/>
        </w:rPr>
      </w:pPr>
    </w:p>
    <w:p>
      <w:pPr>
        <w:ind w:left="920" w:right="160"/>
        <w:spacing w:after="0" w:line="277"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consolidated financial statements of the Company.</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5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94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1,070,627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1,014,473</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(234,146)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(196,598)</w:t>
            </w: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Drydock expenditure – in progress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300" w:type="dxa"/>
            <w:vAlign w:val="bottom"/>
          </w:tcPr>
          <w:p>
            <w:pPr>
              <w:spacing w:after="0"/>
              <w:rPr>
                <w:sz w:val="19"/>
                <w:szCs w:val="19"/>
                <w:color w:val="auto"/>
              </w:rPr>
            </w:pPr>
          </w:p>
        </w:tc>
        <w:tc>
          <w:tcPr>
            <w:tcW w:w="75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book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817,875</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20"/>
        <w:spacing w:after="0" w:line="449" w:lineRule="auto"/>
        <w:rPr>
          <w:sz w:val="20"/>
          <w:szCs w:val="20"/>
          <w:color w:val="auto"/>
        </w:rPr>
      </w:pPr>
      <w:r>
        <w:rPr>
          <w:rFonts w:ascii="Arial" w:cs="Arial" w:eastAsia="Arial" w:hAnsi="Arial"/>
          <w:sz w:val="18"/>
          <w:szCs w:val="18"/>
          <w:color w:val="auto"/>
        </w:rPr>
        <w:t>On October 28, 2014, the Company acquired an 8,063 TEU containership (OOCL Tianjin) from OOCL for a purchase price of $55 million. Page 14</w:t>
      </w:r>
    </w:p>
    <w:p>
      <w:pPr>
        <w:sectPr>
          <w:pgSz w:w="11900" w:h="16838" w:orient="portrait"/>
          <w:cols w:equalWidth="0" w:num="1">
            <w:col w:w="11400"/>
          </w:cols>
          <w:pgMar w:left="240" w:top="459" w:right="2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340" w:type="dxa"/>
            <w:vAlign w:val="bottom"/>
          </w:tcPr>
          <w:p>
            <w:pPr>
              <w:ind w:left="2880"/>
              <w:spacing w:after="0"/>
              <w:rPr>
                <w:sz w:val="20"/>
                <w:szCs w:val="20"/>
                <w:color w:val="auto"/>
              </w:rPr>
            </w:pPr>
            <w:r>
              <w:rPr>
                <w:rFonts w:ascii="Arial" w:cs="Arial" w:eastAsia="Arial" w:hAnsi="Arial"/>
                <w:sz w:val="18"/>
                <w:szCs w:val="18"/>
                <w:color w:val="auto"/>
              </w:rPr>
              <w:t>(Expressed 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5"/>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4</w:t>
            </w:r>
            <w:r>
              <w:rPr>
                <w:rFonts w:ascii="Arial" w:cs="Arial" w:eastAsia="Arial" w:hAnsi="Arial"/>
                <w:sz w:val="18"/>
                <w:szCs w:val="18"/>
                <w:color w:val="auto"/>
                <w:w w:val="79"/>
              </w:rPr>
              <w:t>.</w:t>
            </w:r>
          </w:p>
        </w:tc>
        <w:tc>
          <w:tcPr>
            <w:tcW w:w="742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 (continued)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300" w:type="dxa"/>
            <w:vAlign w:val="bottom"/>
          </w:tcPr>
          <w:p>
            <w:pPr>
              <w:spacing w:after="0"/>
              <w:rPr>
                <w:sz w:val="24"/>
                <w:szCs w:val="24"/>
                <w:color w:val="auto"/>
              </w:rPr>
            </w:pPr>
          </w:p>
        </w:tc>
        <w:tc>
          <w:tcPr>
            <w:tcW w:w="7420" w:type="dxa"/>
            <w:vAlign w:val="bottom"/>
            <w:gridSpan w:val="2"/>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1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80" w:type="dxa"/>
            <w:vAlign w:val="bottom"/>
            <w:gridSpan w:val="4"/>
          </w:tcPr>
          <w:p>
            <w:pPr>
              <w:jc w:val="right"/>
              <w:ind w:right="120"/>
              <w:spacing w:after="0"/>
              <w:rPr>
                <w:sz w:val="20"/>
                <w:szCs w:val="20"/>
                <w:color w:val="auto"/>
              </w:rPr>
            </w:pPr>
            <w:r>
              <w:rPr>
                <w:rFonts w:ascii="Arial" w:cs="Arial" w:eastAsia="Arial" w:hAnsi="Arial"/>
                <w:sz w:val="14"/>
                <w:szCs w:val="14"/>
                <w:color w:val="auto"/>
              </w:rPr>
              <w:t>December 31,</w:t>
            </w: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817,875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856,394</w:t>
            </w:r>
          </w:p>
        </w:tc>
        <w:tc>
          <w:tcPr>
            <w:tcW w:w="12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(41,059)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(40,385)</w:t>
            </w:r>
          </w:p>
        </w:tc>
      </w:tr>
      <w:tr>
        <w:trPr>
          <w:trHeight w:val="223"/>
        </w:trPr>
        <w:tc>
          <w:tcPr>
            <w:tcW w:w="300" w:type="dxa"/>
            <w:vAlign w:val="bottom"/>
          </w:tcPr>
          <w:p>
            <w:pPr>
              <w:spacing w:after="0"/>
              <w:rPr>
                <w:sz w:val="19"/>
                <w:szCs w:val="19"/>
                <w:color w:val="auto"/>
              </w:rPr>
            </w:pPr>
          </w:p>
        </w:tc>
        <w:tc>
          <w:tcPr>
            <w:tcW w:w="7420" w:type="dxa"/>
            <w:vAlign w:val="bottom"/>
            <w:gridSpan w:val="2"/>
          </w:tcPr>
          <w:p>
            <w:pPr>
              <w:ind w:left="108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836,537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817,875</w:t>
            </w:r>
          </w:p>
        </w:tc>
        <w:tc>
          <w:tcPr>
            <w:tcW w:w="12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December 31, 2014, 17 of the 18 vessels were pledged as collateral under the 2019 Notes and Revolving Credit Facility (see note 9).</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5</w:t>
            </w:r>
            <w:r>
              <w:rPr>
                <w:rFonts w:ascii="Arial" w:cs="Arial" w:eastAsia="Arial" w:hAnsi="Arial"/>
                <w:sz w:val="18"/>
                <w:szCs w:val="18"/>
                <w:color w:val="auto"/>
                <w:w w:val="79"/>
              </w:rPr>
              <w:t>.</w:t>
            </w:r>
          </w:p>
        </w:tc>
        <w:tc>
          <w:tcPr>
            <w:tcW w:w="4940" w:type="dxa"/>
            <w:vAlign w:val="bottom"/>
            <w:gridSpan w:val="2"/>
          </w:tcPr>
          <w:p>
            <w:pPr>
              <w:ind w:left="160"/>
              <w:spacing w:after="0"/>
              <w:rPr>
                <w:sz w:val="20"/>
                <w:szCs w:val="20"/>
                <w:color w:val="auto"/>
              </w:rPr>
            </w:pPr>
            <w:r>
              <w:rPr>
                <w:rFonts w:ascii="Arial" w:cs="Arial" w:eastAsia="Arial" w:hAnsi="Arial"/>
                <w:sz w:val="18"/>
                <w:szCs w:val="18"/>
                <w:b w:val="1"/>
                <w:bCs w:val="1"/>
                <w:color w:val="auto"/>
              </w:rPr>
              <w:t>Intangible Assets</w:t>
            </w:r>
          </w:p>
        </w:tc>
        <w:tc>
          <w:tcPr>
            <w:tcW w:w="2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80" w:type="dxa"/>
            <w:vAlign w:val="bottom"/>
            <w:gridSpan w:val="4"/>
          </w:tcPr>
          <w:p>
            <w:pPr>
              <w:ind w:left="2180"/>
              <w:spacing w:after="0"/>
              <w:rPr>
                <w:sz w:val="20"/>
                <w:szCs w:val="20"/>
                <w:color w:val="auto"/>
              </w:rPr>
            </w:pPr>
            <w:r>
              <w:rPr>
                <w:rFonts w:ascii="Arial" w:cs="Arial" w:eastAsia="Arial" w:hAnsi="Arial"/>
                <w:sz w:val="14"/>
                <w:szCs w:val="14"/>
                <w:b w:val="1"/>
                <w:bCs w:val="1"/>
                <w:color w:val="auto"/>
              </w:rPr>
              <w:t>December 31,</w:t>
            </w:r>
          </w:p>
        </w:tc>
        <w:tc>
          <w:tcPr>
            <w:tcW w:w="1340" w:type="dxa"/>
            <w:vAlign w:val="bottom"/>
            <w:gridSpan w:val="4"/>
          </w:tcPr>
          <w:p>
            <w:pPr>
              <w:ind w:left="42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Software development:</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Opening balance</w:t>
            </w:r>
          </w:p>
        </w:tc>
        <w:tc>
          <w:tcPr>
            <w:tcW w:w="2360" w:type="dxa"/>
            <w:vAlign w:val="bottom"/>
            <w:gridSpan w:val="2"/>
          </w:tcPr>
          <w:p>
            <w:pPr>
              <w:ind w:left="21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w:t>
            </w:r>
          </w:p>
        </w:tc>
        <w:tc>
          <w:tcPr>
            <w:tcW w:w="4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Depreciation</w:t>
            </w:r>
          </w:p>
        </w:tc>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08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fair value of derivative financial instruments contracted by the Company is as follows:</w:t>
      </w:r>
    </w:p>
    <w:p>
      <w:pPr>
        <w:spacing w:after="0" w:line="24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420" w:type="dxa"/>
            <w:vAlign w:val="bottom"/>
            <w:gridSpan w:val="3"/>
          </w:tcPr>
          <w:p>
            <w:pPr>
              <w:ind w:left="580"/>
              <w:spacing w:after="0"/>
              <w:rPr>
                <w:sz w:val="20"/>
                <w:szCs w:val="20"/>
                <w:color w:val="auto"/>
              </w:rPr>
            </w:pPr>
            <w:r>
              <w:rPr>
                <w:rFonts w:ascii="Arial" w:cs="Arial" w:eastAsia="Arial" w:hAnsi="Arial"/>
                <w:sz w:val="14"/>
                <w:szCs w:val="14"/>
                <w:b w:val="1"/>
                <w:bCs w:val="1"/>
                <w:color w:val="auto"/>
                <w:w w:val="90"/>
              </w:rPr>
              <w:t>December 31,</w:t>
            </w:r>
          </w:p>
        </w:tc>
        <w:tc>
          <w:tcPr>
            <w:tcW w:w="1680" w:type="dxa"/>
            <w:vAlign w:val="bottom"/>
            <w:gridSpan w:val="3"/>
          </w:tcPr>
          <w:p>
            <w:pPr>
              <w:ind w:left="76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5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1580" w:type="dxa"/>
            <w:vAlign w:val="bottom"/>
            <w:gridSpan w:val="2"/>
          </w:tcPr>
          <w:p>
            <w:pPr>
              <w:jc w:val="right"/>
              <w:ind w:right="26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Fair value of interest rate swap hedging instruments - current and non</w:t>
            </w:r>
          </w:p>
        </w:tc>
        <w:tc>
          <w:tcPr>
            <w:tcW w:w="76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portions</w:t>
            </w:r>
          </w:p>
        </w:tc>
        <w:tc>
          <w:tcPr>
            <w:tcW w:w="760" w:type="dxa"/>
            <w:vAlign w:val="bottom"/>
            <w:gridSpan w:val="2"/>
            <w:vMerge w:val="continue"/>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21,289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The Company had entered into certain derivative interest rate agreements to fix the interest rate on debt drawn or anticipated to be drawn under its secured credit facility. On March 19, 2014 the secured credit facility was fully repaid and was replaced with the 10.0% First Priority Secured Notes due 2019 (the “2019 Notes”), which have a fixed interest rate (see note 9(b)). The $277,000 nominal amount of outstanding interest rate swaps which had hedged the Company’s interest rate risk as at December 31, 2013,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85"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color w:val="auto"/>
        </w:rPr>
        <w:t>As at December 31, 2013, none of the Company’s derivative instruments qualified for hedge accounting and the maximum length of time over which the Company had hedged its interest rate exposure was approximately three years.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380"/>
          </w:cols>
          <w:pgMar w:left="240" w:top="459" w:right="2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7</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Deferred Financing Costs</w:t>
      </w:r>
    </w:p>
    <w:p>
      <w:pPr>
        <w:spacing w:after="0" w:line="121"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Costs amounting to $4,800 incurred up to December 31, 2013 in connection with the Company’s refinancing were recorded within prepaid expenses as at that date. On March 19, 2014, the Company completed this refinancing by the issue of 10.0% First Priority Secured Notes due 2019 disclosed in note 9(b) and by agreeing the Revolving Credit Facility disclosed in note 9(c). On completion of the refinancing, these deferred financing costs were reclassified from prepaid expenses to deferred financing costs, together with additional costs incurred during the first quarter.</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660" w:type="dxa"/>
            <w:vAlign w:val="bottom"/>
            <w:gridSpan w:val="4"/>
          </w:tcPr>
          <w:p>
            <w:pPr>
              <w:ind w:left="1440"/>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4"/>
          </w:tcPr>
          <w:p>
            <w:pPr>
              <w:ind w:left="34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62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Reclassification from prepaid expenses</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4,800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Expenditure in the period</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10,979</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Amortization included within interest expense</w:t>
            </w: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(5,732)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620" w:type="dxa"/>
            <w:vAlign w:val="bottom"/>
            <w:gridSpan w:val="2"/>
            <w:shd w:val="clear" w:color="auto" w:fill="CCEEFF"/>
          </w:tcPr>
          <w:p>
            <w:pPr>
              <w:ind w:left="144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13,320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deferred finance costs are being amortised on an effective interest rate basis over the life of the financings for which they were incurred.</w:t>
      </w:r>
    </w:p>
    <w:p>
      <w:pPr>
        <w:spacing w:after="0" w:line="129" w:lineRule="exact"/>
        <w:rPr>
          <w:sz w:val="20"/>
          <w:szCs w:val="20"/>
          <w:color w:val="auto"/>
        </w:rPr>
      </w:pPr>
    </w:p>
    <w:p>
      <w:pPr>
        <w:ind w:left="460" w:right="100"/>
        <w:spacing w:after="0" w:line="308" w:lineRule="auto"/>
        <w:rPr>
          <w:sz w:val="20"/>
          <w:szCs w:val="20"/>
          <w:color w:val="auto"/>
        </w:rPr>
      </w:pPr>
      <w:r>
        <w:rPr>
          <w:rFonts w:ascii="Arial" w:cs="Arial" w:eastAsia="Arial" w:hAnsi="Arial"/>
          <w:sz w:val="17"/>
          <w:szCs w:val="17"/>
          <w:color w:val="auto"/>
        </w:rPr>
        <w:t>The remaining unamortized balance of deferred financing costs relating to the credit facility which was fully repaid and terminated on March 19, 2014 amounting to $2,986 was written off and recorded within interest expense within the Consolidated Statements of Income.</w:t>
      </w:r>
    </w:p>
    <w:p>
      <w:pPr>
        <w:spacing w:after="0" w:line="291"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Liability – Charter Agreements</w:t>
      </w:r>
    </w:p>
    <w:p>
      <w:pPr>
        <w:spacing w:after="0" w:line="12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500" w:type="dxa"/>
            <w:vAlign w:val="bottom"/>
            <w:gridSpan w:val="4"/>
          </w:tcPr>
          <w:p>
            <w:pPr>
              <w:ind w:left="2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4"/>
          </w:tcPr>
          <w:p>
            <w:pPr>
              <w:ind w:left="3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Amortization in period</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(2,119)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2480" w:type="dxa"/>
            <w:vAlign w:val="bottom"/>
            <w:gridSpan w:val="2"/>
            <w:shd w:val="clear" w:color="auto" w:fill="CCEEFF"/>
          </w:tcPr>
          <w:p>
            <w:pPr>
              <w:ind w:left="23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15,812</w:t>
            </w:r>
          </w:p>
        </w:tc>
        <w:tc>
          <w:tcPr>
            <w:tcW w:w="3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right="40"/>
        <w:spacing w:after="0" w:line="297" w:lineRule="auto"/>
        <w:rPr>
          <w:sz w:val="20"/>
          <w:szCs w:val="20"/>
          <w:color w:val="auto"/>
        </w:rPr>
      </w:pPr>
      <w:r>
        <w:rPr>
          <w:rFonts w:ascii="Arial" w:cs="Arial" w:eastAsia="Arial" w:hAnsi="Arial"/>
          <w:sz w:val="16"/>
          <w:szCs w:val="16"/>
          <w:color w:val="auto"/>
        </w:rPr>
        <w:t>Intangible liabilities relate to management’s estimate of the fair value of below-market charters on August 14, 2008, the date of the merger (see note 1).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market lease rates for similar vessels. The intangible liabilities were determined by discounting the difference in the projected lease cash flows using a discount rate of 8.0% and the remaining length of the charter as the relevant time period.</w:t>
      </w:r>
    </w:p>
    <w:p>
      <w:pPr>
        <w:spacing w:after="0" w:line="50"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upon delivery. These intangible liabilities are amortized as an increase of time charter revenue over the remaining term of the relevant charter.</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w:t>
      </w:r>
    </w:p>
    <w:p>
      <w:pPr>
        <w:spacing w:after="0" w:line="131" w:lineRule="exact"/>
        <w:rPr>
          <w:sz w:val="20"/>
          <w:szCs w:val="20"/>
          <w:color w:val="auto"/>
        </w:rPr>
      </w:pPr>
    </w:p>
    <w:p>
      <w:pPr>
        <w:ind w:left="900" w:hanging="446"/>
        <w:spacing w:after="0"/>
        <w:tabs>
          <w:tab w:leader="none" w:pos="90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w:t>
      </w:r>
    </w:p>
    <w:p>
      <w:pPr>
        <w:spacing w:after="0" w:line="121"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From December 2007 the Company was financed by a senior secured credit facility with a final maturity date of August 2016. This credit facility was fully repaid and terminated on March 19, 2014 using the proceeds of the issue of the 2019 Notes (see note 9(b)).</w:t>
      </w:r>
    </w:p>
    <w:p>
      <w:pPr>
        <w:spacing w:after="0" w:line="62" w:lineRule="exact"/>
        <w:rPr>
          <w:sz w:val="20"/>
          <w:szCs w:val="20"/>
          <w:color w:val="auto"/>
        </w:rPr>
      </w:pPr>
    </w:p>
    <w:p>
      <w:pPr>
        <w:ind w:left="460" w:right="80"/>
        <w:spacing w:after="0" w:line="308" w:lineRule="auto"/>
        <w:rPr>
          <w:sz w:val="20"/>
          <w:szCs w:val="20"/>
          <w:color w:val="auto"/>
        </w:rPr>
      </w:pPr>
      <w:r>
        <w:rPr>
          <w:rFonts w:ascii="Arial" w:cs="Arial" w:eastAsia="Arial" w:hAnsi="Arial"/>
          <w:sz w:val="17"/>
          <w:szCs w:val="17"/>
          <w:color w:val="auto"/>
        </w:rPr>
        <w:t>Amounts borrowed under the credit facility bore interest at USD LIBOR plus a margin of between 2.50% and 3.75% depending on the Leverage Ratio (being the ratio of the balance outstanding on the credit facility to the aggregate charter free market value of the secured vessels).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00"/>
          </w:cols>
          <w:pgMar w:left="240" w:top="459" w:right="2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 (continued)</w:t>
      </w:r>
    </w:p>
    <w:p>
      <w:pPr>
        <w:spacing w:after="0" w:line="158"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Credit Facility (continued)</w:t>
      </w:r>
    </w:p>
    <w:p>
      <w:pPr>
        <w:spacing w:after="0" w:line="162" w:lineRule="exact"/>
        <w:rPr>
          <w:sz w:val="20"/>
          <w:szCs w:val="20"/>
          <w:color w:val="auto"/>
        </w:rPr>
      </w:pPr>
    </w:p>
    <w:p>
      <w:pPr>
        <w:ind w:left="460"/>
        <w:spacing w:after="0" w:line="257" w:lineRule="auto"/>
        <w:rPr>
          <w:sz w:val="20"/>
          <w:szCs w:val="20"/>
          <w:color w:val="auto"/>
        </w:rPr>
      </w:pPr>
      <w:r>
        <w:rPr>
          <w:rFonts w:ascii="Arial" w:cs="Arial" w:eastAsia="Arial" w:hAnsi="Arial"/>
          <w:sz w:val="18"/>
          <w:szCs w:val="18"/>
          <w:color w:val="auto"/>
        </w:rPr>
        <w:t>Due to the downturn after April 2011 in charter free market values of containerships, the Company obtained waivers from its lenders of the requirement to perform the Leverage Ratio test, the last of which had extended the waiver to April 30, 2015. Under the terms of the waivers, the Company paid a margin of 3.75% over USD LIBOR and made quarterly repayments of the credit facility in an amount equal to cash in excess of $20,000 determined as at the previous month end, subject to a minimum of $40,000 repayment a year on a rolling 12 month trailing basis. Additionally the Company was unable to make dividend payments to common shareholders.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240" w:type="dxa"/>
            <w:vAlign w:val="bottom"/>
            <w:gridSpan w:val="3"/>
          </w:tcPr>
          <w:p>
            <w:pPr>
              <w:ind w:left="1400"/>
              <w:spacing w:after="0"/>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ind w:left="700"/>
              <w:spacing w:after="0"/>
              <w:rPr>
                <w:sz w:val="20"/>
                <w:szCs w:val="20"/>
                <w:color w:val="auto"/>
              </w:rPr>
            </w:pPr>
            <w:r>
              <w:rPr>
                <w:rFonts w:ascii="Arial" w:cs="Arial" w:eastAsia="Arial" w:hAnsi="Arial"/>
                <w:sz w:val="14"/>
                <w:szCs w:val="14"/>
                <w:color w:val="auto"/>
              </w:rPr>
              <w:t>December 31,</w:t>
            </w:r>
          </w:p>
        </w:tc>
      </w:tr>
      <w:tr>
        <w:trPr>
          <w:trHeight w:val="176"/>
        </w:trPr>
        <w:tc>
          <w:tcPr>
            <w:tcW w:w="4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color w:val="auto"/>
              </w:rPr>
              <w:t>2013</w:t>
            </w:r>
          </w:p>
        </w:tc>
        <w:tc>
          <w:tcPr>
            <w:tcW w:w="120" w:type="dxa"/>
            <w:vAlign w:val="bottom"/>
          </w:tcPr>
          <w:p>
            <w:pPr>
              <w:spacing w:after="0"/>
              <w:rPr>
                <w:sz w:val="15"/>
                <w:szCs w:val="15"/>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Secured credit facility, at USD LIBOR + 3.75%</w:t>
            </w: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366,366</w:t>
            </w:r>
          </w:p>
        </w:tc>
        <w:tc>
          <w:tcPr>
            <w:tcW w:w="12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Less current instalments</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(50,110)</w:t>
            </w:r>
          </w:p>
        </w:tc>
      </w:tr>
      <w:tr>
        <w:trPr>
          <w:trHeight w:val="27"/>
        </w:trPr>
        <w:tc>
          <w:tcPr>
            <w:tcW w:w="4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316,256</w:t>
            </w:r>
          </w:p>
        </w:tc>
        <w:tc>
          <w:tcPr>
            <w:tcW w:w="120" w:type="dxa"/>
            <w:vAlign w:val="bottom"/>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10.0% First Priority Secured Notes Due 2019</w:t>
      </w:r>
    </w:p>
    <w:p>
      <w:pPr>
        <w:spacing w:after="0" w:line="121"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color w:val="auto"/>
        </w:rPr>
        <w:t>On March 19, 2014 the Company completed the sale of $420,000 of 10.0% First Priority Secured Notes (the “2019 Notes”) which mature on April 1, 2019. Proceeds after the deduction of the original issue discount, but before expenses, amounted to $413,700.</w:t>
      </w:r>
    </w:p>
    <w:p>
      <w:pPr>
        <w:spacing w:after="0" w:line="62" w:lineRule="exact"/>
        <w:rPr>
          <w:sz w:val="20"/>
          <w:szCs w:val="20"/>
          <w:color w:val="auto"/>
        </w:rPr>
      </w:pPr>
    </w:p>
    <w:p>
      <w:pPr>
        <w:ind w:left="460"/>
        <w:spacing w:after="0" w:line="302" w:lineRule="auto"/>
        <w:rPr>
          <w:sz w:val="20"/>
          <w:szCs w:val="20"/>
          <w:color w:val="auto"/>
        </w:rPr>
      </w:pPr>
      <w:r>
        <w:rPr>
          <w:rFonts w:ascii="Arial" w:cs="Arial" w:eastAsia="Arial" w:hAnsi="Arial"/>
          <w:sz w:val="16"/>
          <w:szCs w:val="16"/>
          <w:color w:val="auto"/>
        </w:rPr>
        <w:t>Interest on the 2019 Notes is payable semi-annually on April 1 and October 1 of each year, commencing on October 1, 2014. The 2019 Notes are secured by first priority ship mortgages on 17 of the Company’s 18 vessels (the “Mortgaged Vessels”) and by assignments of earnings and insurances, a pledge over certain bank accounts, as well as share pledges over each subsidiary owning a Mortgaged Vessel. The 2019 Notes are fully and unconditionally guaranteed, jointly and severally, by the Company’s 18 vessel owning subsidiaries and Global Ship Lease Services Limited.</w:t>
      </w:r>
    </w:p>
    <w:p>
      <w:pPr>
        <w:spacing w:after="0" w:line="17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240" w:type="dxa"/>
            <w:vAlign w:val="bottom"/>
            <w:gridSpan w:val="4"/>
          </w:tcPr>
          <w:p>
            <w:pPr>
              <w:ind w:left="320"/>
              <w:spacing w:after="0"/>
              <w:rPr>
                <w:sz w:val="20"/>
                <w:szCs w:val="20"/>
                <w:color w:val="auto"/>
              </w:rPr>
            </w:pPr>
            <w:r>
              <w:rPr>
                <w:rFonts w:ascii="Arial" w:cs="Arial" w:eastAsia="Arial" w:hAnsi="Arial"/>
                <w:sz w:val="14"/>
                <w:szCs w:val="14"/>
                <w:color w:val="auto"/>
              </w:rPr>
              <w:t>December 31,</w:t>
            </w:r>
          </w:p>
        </w:tc>
      </w:tr>
      <w:tr>
        <w:trPr>
          <w:trHeight w:val="176"/>
        </w:trPr>
        <w:tc>
          <w:tcPr>
            <w:tcW w:w="6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ind w:left="80"/>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5"/>
                <w:szCs w:val="15"/>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2019 Notes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420,000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Less original issue discount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(6,300)</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original issue discount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414,782</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original issue discount is being amortised on an effective interest rate basis over the life of the 2019 Notes.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Under the 2019 Notes we are required within 120 days following the end of each financial year, in which we have at least $1,000 of Excess Cash Flow, to offer to purchase up to a maximum offer amount of $20,000, such amount being the aggregate of 102% of the principal amount plus any accrued and unpaid interest to, but not including, the purchase date.</w:t>
      </w:r>
    </w:p>
    <w:p>
      <w:pPr>
        <w:spacing w:after="0" w:line="326" w:lineRule="exact"/>
        <w:rPr>
          <w:sz w:val="20"/>
          <w:szCs w:val="20"/>
          <w:color w:val="auto"/>
        </w:rPr>
      </w:pPr>
    </w:p>
    <w:p>
      <w:pPr>
        <w:ind w:left="900" w:hanging="446"/>
        <w:spacing w:after="0"/>
        <w:tabs>
          <w:tab w:leader="none" w:pos="9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121"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On March 19, 2014, and in connection with the 2019 Notes, the Company entered into a new $40.0 million senior secured revolving credit facility with Citibank N.A. (the “Revolving Credit Facility”). This facility matures on October 1, 2018. The interest rate under the facility is USD LIBOR plus a margin of 3.25% and is payable at least quarterly. A commitment fee of 1.30% per annum is due quarterly on undrawn amounts.</w:t>
      </w:r>
    </w:p>
    <w:p>
      <w:pPr>
        <w:spacing w:after="0" w:line="57" w:lineRule="exact"/>
        <w:rPr>
          <w:sz w:val="20"/>
          <w:szCs w:val="20"/>
          <w:color w:val="auto"/>
        </w:rPr>
      </w:pPr>
    </w:p>
    <w:p>
      <w:pPr>
        <w:ind w:left="460" w:right="20"/>
        <w:spacing w:after="0" w:line="286" w:lineRule="auto"/>
        <w:rPr>
          <w:sz w:val="20"/>
          <w:szCs w:val="20"/>
          <w:color w:val="auto"/>
        </w:rPr>
      </w:pPr>
      <w:r>
        <w:rPr>
          <w:rFonts w:ascii="Arial" w:cs="Arial" w:eastAsia="Arial" w:hAnsi="Arial"/>
          <w:sz w:val="17"/>
          <w:szCs w:val="17"/>
          <w:color w:val="auto"/>
        </w:rPr>
        <w:t>The collateral provided to the 2019 Notes also secures on a first priority basis the Revolving Credit Facility. There is a Cash Balance financial covenant which is tested each six months, commencing June 30, 2014. Up to and including December 31, 2015, the Company must have a minimum cash balance of $15,000 on each test date. After this date, the minimum cash balance on each test date increases to $20,000.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00"/>
          </w:cols>
          <w:pgMar w:left="240" w:top="459"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(Expressed in thousands of U.S. dollars)</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Long Term Debt (continued)</w:t>
      </w:r>
    </w:p>
    <w:p>
      <w:pPr>
        <w:spacing w:after="0" w:line="158"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 (continued)</w:t>
      </w:r>
    </w:p>
    <w:p>
      <w:pPr>
        <w:spacing w:after="0" w:line="162"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color w:val="auto"/>
        </w:rPr>
        <w:t>Amounts outstanding under this facility can be prepaid without penalty, other than breakage costs in certain circumstances. At December 31, 2014 no amounts had been drawn down under the Revolving Credit Facility.</w:t>
      </w:r>
    </w:p>
    <w:p>
      <w:pPr>
        <w:spacing w:after="0" w:line="3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Other Operating Income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operating income is summarized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40" w:type="dxa"/>
            <w:vAlign w:val="bottom"/>
            <w:gridSpan w:val="8"/>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71"/>
        </w:trPr>
        <w:tc>
          <w:tcPr>
            <w:tcW w:w="470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540" w:type="dxa"/>
            <w:vAlign w:val="bottom"/>
            <w:gridSpan w:val="2"/>
          </w:tcPr>
          <w:p>
            <w:pPr>
              <w:jc w:val="center"/>
              <w:ind w:left="96"/>
              <w:spacing w:after="0"/>
              <w:rPr>
                <w:sz w:val="20"/>
                <w:szCs w:val="20"/>
                <w:color w:val="auto"/>
              </w:rPr>
            </w:pPr>
            <w:r>
              <w:rPr>
                <w:rFonts w:ascii="Arial" w:cs="Arial" w:eastAsia="Arial" w:hAnsi="Arial"/>
                <w:sz w:val="14"/>
                <w:szCs w:val="14"/>
                <w:color w:val="auto"/>
                <w:w w:val="89"/>
              </w:rPr>
              <w:t>2013</w:t>
            </w:r>
          </w:p>
        </w:tc>
        <w:tc>
          <w:tcPr>
            <w:tcW w:w="200" w:type="dxa"/>
            <w:vAlign w:val="bottom"/>
          </w:tcPr>
          <w:p>
            <w:pPr>
              <w:spacing w:after="0"/>
              <w:rPr>
                <w:sz w:val="14"/>
                <w:szCs w:val="14"/>
                <w:color w:val="auto"/>
              </w:rPr>
            </w:pPr>
          </w:p>
        </w:tc>
        <w:tc>
          <w:tcPr>
            <w:tcW w:w="540" w:type="dxa"/>
            <w:vAlign w:val="bottom"/>
            <w:gridSpan w:val="2"/>
          </w:tcPr>
          <w:p>
            <w:pPr>
              <w:jc w:val="center"/>
              <w:ind w:left="94"/>
              <w:spacing w:after="0"/>
              <w:rPr>
                <w:sz w:val="20"/>
                <w:szCs w:val="20"/>
                <w:color w:val="auto"/>
              </w:rPr>
            </w:pPr>
            <w:r>
              <w:rPr>
                <w:rFonts w:ascii="Arial" w:cs="Arial" w:eastAsia="Arial" w:hAnsi="Arial"/>
                <w:sz w:val="14"/>
                <w:szCs w:val="14"/>
                <w:color w:val="auto"/>
                <w:w w:val="89"/>
              </w:rPr>
              <w:t>2012</w:t>
            </w:r>
          </w:p>
        </w:tc>
        <w:tc>
          <w:tcPr>
            <w:tcW w:w="10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3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$420</w:t>
            </w:r>
          </w:p>
        </w:tc>
        <w:tc>
          <w:tcPr>
            <w:tcW w:w="7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89"/>
              </w:rPr>
              <w:t>$411</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$329</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sundry income</w:t>
            </w:r>
          </w:p>
        </w:tc>
        <w:tc>
          <w:tcPr>
            <w:tcW w:w="29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7"/>
        </w:trPr>
        <w:tc>
          <w:tcPr>
            <w:tcW w:w="47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0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510</w:t>
            </w:r>
          </w:p>
        </w:tc>
        <w:tc>
          <w:tcPr>
            <w:tcW w:w="74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411</w:t>
            </w:r>
          </w:p>
        </w:tc>
        <w:tc>
          <w:tcPr>
            <w:tcW w:w="640" w:type="dxa"/>
            <w:vAlign w:val="bottom"/>
            <w:gridSpan w:val="3"/>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342</w:t>
            </w:r>
          </w:p>
        </w:tc>
      </w:tr>
      <w:tr>
        <w:trPr>
          <w:trHeight w:val="20"/>
        </w:trPr>
        <w:tc>
          <w:tcPr>
            <w:tcW w:w="47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Related Party Transactions</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CMA CGM is considered to be a related party as it was, until the merger referred to in note 1, the parent company of Global Ship Lease, Inc. and at December 31, 2014 is a significant shareholder of the Company, owning Class A and Class B common shares representing a 44.43% voting interest in the Company.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and from CMA CGM companies are summarized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jc w:val="right"/>
              <w:ind w:right="100"/>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5"/>
        </w:trPr>
        <w:tc>
          <w:tcPr>
            <w:tcW w:w="6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CMA CGM companies presented within current liabilities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2,366</w:t>
            </w:r>
          </w:p>
        </w:tc>
        <w:tc>
          <w:tcPr>
            <w:tcW w:w="8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Amounts due from CMA CGM companies presented within current assets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7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300"/>
        <w:spacing w:after="0" w:line="264" w:lineRule="auto"/>
        <w:rPr>
          <w:sz w:val="20"/>
          <w:szCs w:val="20"/>
          <w:color w:val="auto"/>
        </w:rPr>
      </w:pPr>
      <w:r>
        <w:rPr>
          <w:rFonts w:ascii="Arial" w:cs="Arial" w:eastAsia="Arial" w:hAnsi="Arial"/>
          <w:sz w:val="18"/>
          <w:szCs w:val="18"/>
          <w:color w:val="auto"/>
        </w:rPr>
        <w:t>The current account balances at December 31, 2014 and December 31, 2013 relate to amounts payable to or recoverable from CMA CGM group companies. The majority of the Company’s charter arrangements are with CMA CGM and one of its subsidiaries provides the Company with ship management services on all but one of its vessels.</w:t>
      </w:r>
    </w:p>
    <w:p>
      <w:pPr>
        <w:spacing w:after="0" w:line="73"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has from time to time experienced delays in receiving charterhire from CMA CGM. Under the charter contracts charterhire is due to be paid every 15 days in advance on the 1st and 16th of each month. Up to two instalments were outstanding at times during 2014. As at December 31, 2014, no charterhire was outstanding. As at close of business on April 17, 2015, the latest practicable date prior to the issuance of these consolidated financial statements, no charterhire was outstanding.</w:t>
      </w:r>
    </w:p>
    <w:p>
      <w:pPr>
        <w:spacing w:after="0" w:line="79" w:lineRule="exact"/>
        <w:rPr>
          <w:sz w:val="20"/>
          <w:szCs w:val="20"/>
          <w:color w:val="auto"/>
        </w:rPr>
      </w:pPr>
    </w:p>
    <w:p>
      <w:pPr>
        <w:jc w:val="both"/>
        <w:ind w:left="460" w:right="240"/>
        <w:spacing w:after="0" w:line="264" w:lineRule="auto"/>
        <w:rPr>
          <w:sz w:val="20"/>
          <w:szCs w:val="20"/>
          <w:color w:val="auto"/>
        </w:rPr>
      </w:pPr>
      <w:r>
        <w:rPr>
          <w:rFonts w:ascii="Arial" w:cs="Arial" w:eastAsia="Arial" w:hAnsi="Arial"/>
          <w:sz w:val="18"/>
          <w:szCs w:val="18"/>
          <w:color w:val="auto"/>
        </w:rPr>
        <w:t>CMA CGM held all of the Series A preferred shares of the Company until they were fully redeemed, at a discount, pursuant to a Share Repurchase Agreement on August 22, 2014 (see note 13). Dividends on these preferred shares for the year ended December 31, 2014 amounted to $653 (2013: $1,037, 2012: $1,161). Dividends on these preferred shares are included within interest expense.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80"/>
          </w:cols>
          <w:pgMar w:left="240" w:top="459" w:right="3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Related Party Transactions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121"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The majority of the Company’s time charter arrangements are with CMA CGM. Under these time charters, hire is payable in advance and the daily rate is fixed for the duration of the charter. The charters are for remaining periods as at December 31, 2014 of between 3.00 and 11.00 years (see note 2(a)). Of the $871,639 maximum contracted future charter hire receivable for the fleet set out in note 12, $832,492 relates to the 15 vessels that were chartered to CMA CGM as at December 31, 2014. Revenues generated from charters to CMA CGM are summarized as follows: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Year ended December 31,</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0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2013</w:t>
            </w:r>
          </w:p>
        </w:tc>
        <w:tc>
          <w:tcPr>
            <w:tcW w:w="44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 generated from charters to CMA CGM</w:t>
            </w:r>
          </w:p>
        </w:tc>
        <w:tc>
          <w:tcPr>
            <w:tcW w:w="2200" w:type="dxa"/>
            <w:vAlign w:val="bottom"/>
            <w:gridSpan w:val="2"/>
            <w:shd w:val="clear" w:color="auto" w:fill="CCEEFF"/>
          </w:tcPr>
          <w:p>
            <w:pPr>
              <w:jc w:val="center"/>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133,426</w:t>
            </w:r>
          </w:p>
        </w:tc>
        <w:tc>
          <w:tcPr>
            <w:tcW w:w="1580" w:type="dxa"/>
            <w:vAlign w:val="bottom"/>
            <w:gridSpan w:val="3"/>
            <w:shd w:val="clear" w:color="auto" w:fill="CCEEFF"/>
          </w:tcPr>
          <w:p>
            <w:pPr>
              <w:jc w:val="center"/>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143,212</w:t>
            </w:r>
          </w:p>
        </w:tc>
        <w:tc>
          <w:tcPr>
            <w:tcW w:w="80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153,205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121" w:lineRule="exact"/>
        <w:rPr>
          <w:sz w:val="20"/>
          <w:szCs w:val="20"/>
          <w:color w:val="auto"/>
        </w:rPr>
      </w:pPr>
    </w:p>
    <w:p>
      <w:pPr>
        <w:ind w:left="460"/>
        <w:spacing w:after="0" w:line="273" w:lineRule="auto"/>
        <w:rPr>
          <w:sz w:val="20"/>
          <w:szCs w:val="20"/>
          <w:color w:val="auto"/>
        </w:rPr>
      </w:pPr>
      <w:r>
        <w:rPr>
          <w:rFonts w:ascii="Arial" w:cs="Arial" w:eastAsia="Arial" w:hAnsi="Arial"/>
          <w:sz w:val="17"/>
          <w:szCs w:val="17"/>
          <w:color w:val="auto"/>
        </w:rPr>
        <w:t>The Company outsources day to day technical management of 17 of its vessels to a ship manager, CMA Ships Limited, a wholly owned subsidiary of CMA CGM. The Company pays CMA Ships Limited an annual management fee of $123 per vessel (2013: $114, 2012: $114) and reimburses costs incurred by CMA Ships on its behalf, mainly being for the provision of crew, lubricating oils and routine maintenance. Such reimbursement is subject to a cap of between $5.9 and $9.0 (2013: between $5.4 and $8.8) per day per vessel depending on the vessel. The impact of the cap is determined annually on a vessel by vessel basis for so long as the initial charters remain in place. Ship management fees expensed for the year ended December 31, 2014 amounted to $2,091 (2013: $1,938, 2012: $1,938).</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37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12</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Commitments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Charter Hire Receivable</w:t>
      </w:r>
    </w:p>
    <w:p>
      <w:pPr>
        <w:spacing w:after="0" w:line="121"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color w:val="auto"/>
        </w:rPr>
        <w:t>The Company has entered into time charters for its vessels. The charter hire is fixed for the duration of the charter. The maximum contracted annual future charter hire receivable (not allowing for any offhire and assuming expiry at the mid-point between the earliest and latest possible end dates) for the 18 vessels subject to charters as at December 31, 2014 is as follows:</w:t>
      </w:r>
    </w:p>
    <w:p>
      <w:pPr>
        <w:spacing w:after="0" w:line="18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Fleet as at</w:t>
            </w:r>
          </w:p>
        </w:tc>
      </w:tr>
      <w:tr>
        <w:trPr>
          <w:trHeight w:val="149"/>
        </w:trPr>
        <w:tc>
          <w:tcPr>
            <w:tcW w:w="20" w:type="dxa"/>
            <w:vAlign w:val="bottom"/>
          </w:tcPr>
          <w:p>
            <w:pPr>
              <w:spacing w:after="0"/>
              <w:rPr>
                <w:sz w:val="12"/>
                <w:szCs w:val="12"/>
                <w:color w:val="auto"/>
              </w:rPr>
            </w:pPr>
          </w:p>
        </w:tc>
        <w:tc>
          <w:tcPr>
            <w:tcW w:w="77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144,317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104,372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103,285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231,665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871,639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400"/>
          </w:cols>
          <w:pgMar w:left="240" w:top="459"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2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Share Capital</w:t>
      </w:r>
    </w:p>
    <w:p>
      <w:pPr>
        <w:spacing w:after="0" w:line="121" w:lineRule="exact"/>
        <w:rPr>
          <w:sz w:val="20"/>
          <w:szCs w:val="20"/>
          <w:color w:val="auto"/>
        </w:rPr>
      </w:pPr>
    </w:p>
    <w:p>
      <w:pPr>
        <w:ind w:left="460"/>
        <w:spacing w:after="0" w:line="264" w:lineRule="auto"/>
        <w:rPr>
          <w:sz w:val="20"/>
          <w:szCs w:val="20"/>
          <w:color w:val="auto"/>
        </w:rPr>
      </w:pPr>
      <w:r>
        <w:rPr>
          <w:rFonts w:ascii="Arial" w:cs="Arial" w:eastAsia="Arial" w:hAnsi="Arial"/>
          <w:sz w:val="18"/>
          <w:szCs w:val="18"/>
          <w:color w:val="auto"/>
        </w:rPr>
        <w:t>At December 31, 2014 the Company had two classes of common shares outstanding. The rights of holders of Class B common shares are identical to those of holders of Class A common shares, except that the dividend rights of holders of Class B common shares are subordinated to those of holders of Class A common shares. Dividends, when declared, must be paid as follows:</w:t>
      </w:r>
    </w:p>
    <w:p>
      <w:pPr>
        <w:spacing w:after="0" w:line="87" w:lineRule="exact"/>
        <w:rPr>
          <w:sz w:val="20"/>
          <w:szCs w:val="20"/>
          <w:color w:val="auto"/>
        </w:rPr>
      </w:pPr>
    </w:p>
    <w:p>
      <w:pPr>
        <w:ind w:left="1480" w:hanging="446"/>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firstly, to all Class A common shares at the applicable rate for the quarter;</w:t>
      </w:r>
    </w:p>
    <w:p>
      <w:pPr>
        <w:spacing w:after="0" w:line="130" w:lineRule="exact"/>
        <w:rPr>
          <w:rFonts w:ascii="Arial" w:cs="Arial" w:eastAsia="Arial" w:hAnsi="Arial"/>
          <w:sz w:val="18"/>
          <w:szCs w:val="18"/>
          <w:color w:val="auto"/>
        </w:rPr>
      </w:pPr>
    </w:p>
    <w:p>
      <w:pPr>
        <w:ind w:left="1480" w:right="400" w:hanging="446"/>
        <w:spacing w:after="0" w:line="277" w:lineRule="auto"/>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secondly, to all Class A common shares until they have received payment for all preceding quarters at the rate of $0.23 per share per quarter;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thirdly, to all Class B common shares at the applicable rate for the quarter;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then, to all Class A and B common shares as if they were a single class.</w:t>
      </w:r>
    </w:p>
    <w:p>
      <w:pPr>
        <w:spacing w:after="0" w:line="117"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The Class B common shares remain subordinated until the Company has paid a dividend at least equal to $0.23 per quarter per share on both the Class A and Class B common shares for the immediately preceding four-quarter period. Due to the requirements described above, Class B common shares cannot receive any dividend until all Class A common shares have received dividends representing $0.23 per share per quarter for all preceding quarters. The last quarter for which a dividend was paid was fourth quarter 2008. Should the notional arrearages of dividend on the Class A common shares be made up and a dividend at the rate of $0.23 per share be paid for four consecutive quarters, the Class B common shares convert to Class A common shares on a one-for-one basis. Also, each Class B common share will convert into a Class A common share on a change of control of the Company.</w:t>
      </w:r>
    </w:p>
    <w:p>
      <w:pPr>
        <w:spacing w:after="0" w:line="81" w:lineRule="exact"/>
        <w:rPr>
          <w:sz w:val="20"/>
          <w:szCs w:val="20"/>
          <w:color w:val="auto"/>
        </w:rPr>
      </w:pPr>
    </w:p>
    <w:p>
      <w:pPr>
        <w:ind w:left="460" w:right="300"/>
        <w:spacing w:after="0" w:line="277" w:lineRule="auto"/>
        <w:rPr>
          <w:sz w:val="20"/>
          <w:szCs w:val="20"/>
          <w:color w:val="auto"/>
        </w:rPr>
      </w:pPr>
      <w:r>
        <w:rPr>
          <w:rFonts w:ascii="Arial" w:cs="Arial" w:eastAsia="Arial" w:hAnsi="Arial"/>
          <w:sz w:val="18"/>
          <w:szCs w:val="18"/>
          <w:color w:val="auto"/>
        </w:rPr>
        <w:t>Restricted stock units have been granted periodically to the Directors and management, under the Company’s 2008 Equity Incentive Plan, as part of their compensation arrangements (see note 15).</w:t>
      </w:r>
    </w:p>
    <w:p>
      <w:pPr>
        <w:spacing w:after="0" w:line="62" w:lineRule="exact"/>
        <w:rPr>
          <w:sz w:val="20"/>
          <w:szCs w:val="20"/>
          <w:color w:val="auto"/>
        </w:rPr>
      </w:pPr>
    </w:p>
    <w:p>
      <w:pPr>
        <w:ind w:left="460" w:right="60"/>
        <w:spacing w:after="0" w:line="271" w:lineRule="auto"/>
        <w:rPr>
          <w:sz w:val="20"/>
          <w:szCs w:val="20"/>
          <w:color w:val="auto"/>
        </w:rPr>
      </w:pPr>
      <w:r>
        <w:rPr>
          <w:rFonts w:ascii="Arial" w:cs="Arial" w:eastAsia="Arial" w:hAnsi="Arial"/>
          <w:sz w:val="17"/>
          <w:szCs w:val="17"/>
          <w:color w:val="auto"/>
        </w:rPr>
        <w:t>The Series A Preferred Shares ranked senior to the common shares and were mandatorily redeemable in 12 quarterly instalments commencing August 31, 2016. They were classified as a long-term liability. The dividend that the Series A Preferred shareholders were entitled to was presented as part of interest expense. Total proceeds received in 2008, and recorded as restricted cash, from the exercise of Public Warrants prior to their expiry was $3,027. These proceeds were only to be used to redeem the Series A Preferred Shares with a minimum redemption amount of $5,000. As part of the replacement time charters agreed in September 2012 for the Ville d’Aquarius and the Ville d’Orion, the Company accelerated the redemption of 63 Series A Preferred Shares of $48 each for $3,024. The remaining Series A Preferred Shares, which had a liquidation value at maturity of $44,976, were redeemed at a discount pursuant to a Share Repurchase Agreement for $36,400 on August 22, 2014, using the proceeds received from the issuance of the Series B Preferred Shares, the balance of the restricted cash and cash on hand.</w:t>
      </w:r>
    </w:p>
    <w:p>
      <w:pPr>
        <w:spacing w:after="0" w:line="71" w:lineRule="exact"/>
        <w:rPr>
          <w:sz w:val="20"/>
          <w:szCs w:val="20"/>
          <w:color w:val="auto"/>
        </w:rPr>
      </w:pPr>
    </w:p>
    <w:p>
      <w:pPr>
        <w:ind w:left="460" w:right="20"/>
        <w:spacing w:after="0" w:line="254" w:lineRule="auto"/>
        <w:rPr>
          <w:sz w:val="20"/>
          <w:szCs w:val="20"/>
          <w:color w:val="auto"/>
        </w:rPr>
      </w:pPr>
      <w:r>
        <w:rPr>
          <w:rFonts w:ascii="Arial" w:cs="Arial" w:eastAsia="Arial" w:hAnsi="Arial"/>
          <w:sz w:val="18"/>
          <w:szCs w:val="18"/>
          <w:color w:val="auto"/>
        </w:rPr>
        <w:t>On August 20, 2014, the Company issued 1,400,000 depositary shares, each of which represents 1/100</w:t>
      </w:r>
      <w:r>
        <w:rPr>
          <w:rFonts w:ascii="Arial" w:cs="Arial" w:eastAsia="Arial" w:hAnsi="Arial"/>
          <w:sz w:val="15"/>
          <w:szCs w:val="15"/>
          <w:color w:val="auto"/>
        </w:rPr>
        <w:t>th</w:t>
      </w:r>
      <w:r>
        <w:rPr>
          <w:rFonts w:ascii="Arial" w:cs="Arial" w:eastAsia="Arial" w:hAnsi="Arial"/>
          <w:sz w:val="18"/>
          <w:szCs w:val="18"/>
          <w:color w:val="auto"/>
        </w:rPr>
        <w:t xml:space="preserve"> of one share of the Company’s 8.75% Series B Cumulative Redeemable Perpetual Preferred Shares (the “Series B Preferred Shares”).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 The net proceeds from the offering were $33,497. These shares are classified as Equity in the Consolidated Balance Sheet. The dividends payable on the Series B Preferred Shares are presented as a reduction of Retained Earnings in the Consolidated Statement of Equity, when and if declared by the Board of Directors. A dividend was declared on September 22, 2014 for the third quarter 2014 and on December 10, 2014 for the fourth quarter 2014.</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Interest Rate Derivatives and Fair Value Measurements</w:t>
      </w:r>
    </w:p>
    <w:p>
      <w:pPr>
        <w:spacing w:after="0" w:line="121" w:lineRule="exact"/>
        <w:rPr>
          <w:sz w:val="20"/>
          <w:szCs w:val="20"/>
          <w:color w:val="auto"/>
        </w:rPr>
      </w:pPr>
    </w:p>
    <w:p>
      <w:pPr>
        <w:ind w:left="460" w:right="240"/>
        <w:spacing w:after="0" w:line="264" w:lineRule="auto"/>
        <w:rPr>
          <w:sz w:val="20"/>
          <w:szCs w:val="20"/>
          <w:color w:val="auto"/>
        </w:rPr>
      </w:pPr>
      <w:r>
        <w:rPr>
          <w:rFonts w:ascii="Arial" w:cs="Arial" w:eastAsia="Arial" w:hAnsi="Arial"/>
          <w:sz w:val="18"/>
          <w:szCs w:val="18"/>
          <w:color w:val="auto"/>
        </w:rPr>
        <w:t>Prior to the issue of the 2019 Notes (see note 9(b)) the Company had been exposed to the impact of changes to interest rates on the floating rate debt drawn under the credit facility (see note 9(a)) which also required the Company to hedge at least 50% of any drawings. Accordingly, the Company entered into interest rate swap agreements to manage the exposure.</w:t>
      </w:r>
    </w:p>
    <w:p>
      <w:pPr>
        <w:spacing w:after="0" w:line="73" w:lineRule="exact"/>
        <w:rPr>
          <w:sz w:val="20"/>
          <w:szCs w:val="20"/>
          <w:color w:val="auto"/>
        </w:rPr>
      </w:pPr>
    </w:p>
    <w:p>
      <w:pPr>
        <w:ind w:left="460" w:right="240"/>
        <w:spacing w:after="0" w:line="279" w:lineRule="auto"/>
        <w:rPr>
          <w:sz w:val="20"/>
          <w:szCs w:val="20"/>
          <w:color w:val="auto"/>
        </w:rPr>
      </w:pPr>
      <w:r>
        <w:rPr>
          <w:rFonts w:ascii="Arial" w:cs="Arial" w:eastAsia="Arial" w:hAnsi="Arial"/>
          <w:sz w:val="17"/>
          <w:szCs w:val="17"/>
          <w:color w:val="auto"/>
        </w:rPr>
        <w:t>On March 19, 2014 the secured credit facility was fully repaid and was replaced with the 2019 Notes, which have a fixed interest rate. The $277,000 nominal amount of outstanding interest rate swaps which had hedged the Company’s interest rate risk were terminated accordingly. The cost of the termination included an element of unsettled payments due under the swap agreements up to March 19, 2014 amounting to $307. This amount is included in the Consolidated Statements of Income as a realised loss on derivative instruments.</w:t>
      </w:r>
    </w:p>
    <w:p>
      <w:pPr>
        <w:spacing w:after="0" w:line="63" w:lineRule="exact"/>
        <w:rPr>
          <w:sz w:val="20"/>
          <w:szCs w:val="20"/>
          <w:color w:val="auto"/>
        </w:rPr>
      </w:pPr>
    </w:p>
    <w:p>
      <w:pPr>
        <w:jc w:val="both"/>
        <w:ind w:left="460" w:right="180"/>
        <w:spacing w:after="0" w:line="264" w:lineRule="auto"/>
        <w:rPr>
          <w:sz w:val="20"/>
          <w:szCs w:val="20"/>
          <w:color w:val="auto"/>
        </w:rPr>
      </w:pPr>
      <w:r>
        <w:rPr>
          <w:rFonts w:ascii="Arial" w:cs="Arial" w:eastAsia="Arial" w:hAnsi="Arial"/>
          <w:sz w:val="18"/>
          <w:szCs w:val="18"/>
          <w:color w:val="auto"/>
        </w:rPr>
        <w:t>During the periods when the interest rate swaps were outstanding, they were “marked to market” at each reporting date end and recorded at their fair values. This generated unrealized gains and losses. The unrealized gain on interest rate derivatives for the year ended December 31, 2014 was $1,944 (2013: $14,302, 2012: $9,725).</w:t>
      </w:r>
    </w:p>
    <w:p>
      <w:pPr>
        <w:spacing w:after="0" w:line="73" w:lineRule="exact"/>
        <w:rPr>
          <w:sz w:val="20"/>
          <w:szCs w:val="20"/>
          <w:color w:val="auto"/>
        </w:rPr>
      </w:pPr>
    </w:p>
    <w:p>
      <w:pPr>
        <w:ind w:left="460" w:right="260"/>
        <w:spacing w:after="0" w:line="279" w:lineRule="auto"/>
        <w:rPr>
          <w:sz w:val="20"/>
          <w:szCs w:val="20"/>
          <w:color w:val="auto"/>
        </w:rPr>
      </w:pPr>
      <w:r>
        <w:rPr>
          <w:rFonts w:ascii="Arial" w:cs="Arial" w:eastAsia="Arial" w:hAnsi="Arial"/>
          <w:sz w:val="17"/>
          <w:szCs w:val="17"/>
          <w:color w:val="auto"/>
        </w:rPr>
        <w:t>None of the Company’s interest rate agreements qualified for hedge accounting and therefore the net changes in the fair value of the interest rate derivative assets and liabilities at each reporting period were reflected in the current period operations as unrealized gains and losses on derivatives. Cash flows related to interest rate derivatives (initial payments for the derivatives, periodic cash settlements and termination payments) are included within cash flows from investing activities in the Consolidated Statements of Cash Flows.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has three levels based on the reliability of the inputs used to determine fair value as follows:</w:t>
      </w:r>
    </w:p>
    <w:p>
      <w:pPr>
        <w:spacing w:after="0" w:line="239"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w:t>
      </w:r>
    </w:p>
    <w:p>
      <w:pPr>
        <w:spacing w:after="0" w:line="117"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6"/>
          <w:szCs w:val="16"/>
          <w:color w:val="auto"/>
        </w:rPr>
        <w:t>Inputs, other than the quoted prices in active markets, that are observable either directly or indirectly; and</w:t>
      </w:r>
    </w:p>
    <w:p>
      <w:pPr>
        <w:spacing w:after="0" w:line="117" w:lineRule="exact"/>
        <w:rPr>
          <w:sz w:val="20"/>
          <w:szCs w:val="20"/>
          <w:color w:val="auto"/>
        </w:rPr>
      </w:pPr>
    </w:p>
    <w:p>
      <w:pPr>
        <w:ind w:left="460"/>
        <w:spacing w:after="0"/>
        <w:tabs>
          <w:tab w:leader="none" w:pos="14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Company’s derivative instruments were categorized as level 2 in the fair value hierarchy. Due to the termination of these instruments in the current year, the fair value at the reporting date was $ nil (December 31, 2013: liability of $21,289). Within the consolidated balance sheets, there are no offsets of recognized assets or liabilities related to these derivatives.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left="460" w:right="160"/>
        <w:spacing w:after="0" w:line="308" w:lineRule="auto"/>
        <w:rPr>
          <w:sz w:val="20"/>
          <w:szCs w:val="20"/>
          <w:color w:val="auto"/>
        </w:rPr>
      </w:pPr>
      <w:r>
        <w:rPr>
          <w:rFonts w:ascii="Arial" w:cs="Arial" w:eastAsia="Arial" w:hAnsi="Arial"/>
          <w:sz w:val="17"/>
          <w:szCs w:val="17"/>
          <w:color w:val="auto"/>
        </w:rPr>
        <w:t>In August 2008, the Company’s Board adopted the 2008 Equity Incentive Plan (the “Plan”), which enables management, consultants and Directors of the Company and its subsidiaries to receive options, stock appreciation rights, stock grants, stock units and dividend equivalents.</w:t>
      </w:r>
    </w:p>
    <w:p>
      <w:pPr>
        <w:spacing w:after="0" w:line="38"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As at December 31, 2014, the remaining number of Class A common shares available to be awarded under the Plan was 1,877.</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 (continued)</w:t>
      </w:r>
    </w:p>
    <w:p>
      <w:pPr>
        <w:spacing w:after="0" w:line="162" w:lineRule="exact"/>
        <w:rPr>
          <w:sz w:val="20"/>
          <w:szCs w:val="20"/>
          <w:color w:val="auto"/>
        </w:rPr>
      </w:pPr>
    </w:p>
    <w:p>
      <w:pPr>
        <w:ind w:left="460" w:right="360"/>
        <w:spacing w:after="0" w:line="277" w:lineRule="auto"/>
        <w:rPr>
          <w:sz w:val="20"/>
          <w:szCs w:val="20"/>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plan, the Company has issued the following share based awards since January 1, 2012:</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Restricted Stock Units</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700"/>
              <w:spacing w:after="0" w:line="123" w:lineRule="exact"/>
              <w:rPr>
                <w:sz w:val="20"/>
                <w:szCs w:val="20"/>
                <w:color w:val="auto"/>
              </w:rPr>
            </w:pPr>
            <w:r>
              <w:rPr>
                <w:rFonts w:ascii="Arial" w:cs="Arial" w:eastAsia="Arial" w:hAnsi="Arial"/>
                <w:sz w:val="14"/>
                <w:szCs w:val="14"/>
                <w:color w:val="auto"/>
                <w:w w:val="91"/>
              </w:rPr>
              <w:t>Weighted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600" w:type="dxa"/>
            <w:vAlign w:val="bottom"/>
            <w:gridSpan w:val="4"/>
          </w:tcPr>
          <w:p>
            <w:pPr>
              <w:ind w:left="500"/>
              <w:spacing w:after="0" w:line="149" w:lineRule="exact"/>
              <w:rPr>
                <w:sz w:val="20"/>
                <w:szCs w:val="20"/>
                <w:color w:val="auto"/>
              </w:rPr>
            </w:pPr>
            <w:r>
              <w:rPr>
                <w:rFonts w:ascii="Arial" w:cs="Arial" w:eastAsia="Arial" w:hAnsi="Arial"/>
                <w:sz w:val="14"/>
                <w:szCs w:val="14"/>
                <w:color w:val="auto"/>
              </w:rPr>
              <w:t>Number of Units</w:t>
            </w:r>
          </w:p>
        </w:tc>
        <w:tc>
          <w:tcPr>
            <w:tcW w:w="100" w:type="dxa"/>
            <w:vAlign w:val="bottom"/>
          </w:tcPr>
          <w:p>
            <w:pPr>
              <w:spacing w:after="0"/>
              <w:rPr>
                <w:sz w:val="12"/>
                <w:szCs w:val="12"/>
                <w:color w:val="auto"/>
              </w:rPr>
            </w:pPr>
          </w:p>
        </w:tc>
        <w:tc>
          <w:tcPr>
            <w:tcW w:w="13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1"/>
              </w:rPr>
              <w:t>Average</w:t>
            </w:r>
          </w:p>
        </w:tc>
        <w:tc>
          <w:tcPr>
            <w:tcW w:w="10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0"/>
              </w:rPr>
              <w:t>Fair Value</w:t>
            </w:r>
          </w:p>
        </w:tc>
        <w:tc>
          <w:tcPr>
            <w:tcW w:w="10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360" w:type="dxa"/>
            <w:vAlign w:val="bottom"/>
            <w:gridSpan w:val="2"/>
          </w:tcPr>
          <w:p>
            <w:pPr>
              <w:spacing w:after="0"/>
              <w:rPr>
                <w:sz w:val="20"/>
                <w:szCs w:val="20"/>
                <w:color w:val="auto"/>
              </w:rPr>
            </w:pPr>
            <w:r>
              <w:rPr>
                <w:rFonts w:ascii="Arial" w:cs="Arial" w:eastAsia="Arial" w:hAnsi="Arial"/>
                <w:sz w:val="14"/>
                <w:szCs w:val="14"/>
                <w:color w:val="auto"/>
              </w:rPr>
              <w:t>Management</w:t>
            </w: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w w:val="99"/>
              </w:rPr>
              <w:t>Directors</w:t>
            </w:r>
          </w:p>
        </w:tc>
        <w:tc>
          <w:tcPr>
            <w:tcW w:w="1420" w:type="dxa"/>
            <w:vAlign w:val="bottom"/>
            <w:gridSpan w:val="3"/>
          </w:tcPr>
          <w:p>
            <w:pPr>
              <w:spacing w:after="0"/>
              <w:rPr>
                <w:sz w:val="20"/>
                <w:szCs w:val="20"/>
                <w:color w:val="auto"/>
              </w:rPr>
            </w:pPr>
            <w:r>
              <w:rPr>
                <w:rFonts w:ascii="Arial" w:cs="Arial" w:eastAsia="Arial" w:hAnsi="Arial"/>
                <w:sz w:val="14"/>
                <w:szCs w:val="14"/>
                <w:color w:val="auto"/>
              </w:rPr>
              <w:t>on Grant Date</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on Vesting Date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2012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150,000</w:t>
            </w:r>
          </w:p>
        </w:tc>
        <w:tc>
          <w:tcPr>
            <w:tcW w:w="6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17,886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3.40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Vested in January 2012</w:t>
            </w:r>
          </w:p>
        </w:tc>
        <w:tc>
          <w:tcPr>
            <w:tcW w:w="13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(17,886)</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6.15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13, 2012</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75,000</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32,070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2012</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225,000</w:t>
            </w:r>
          </w:p>
        </w:tc>
        <w:tc>
          <w:tcPr>
            <w:tcW w:w="6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32,070</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6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2013</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(32,070)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Granted on March 7, 2013</w:t>
            </w:r>
          </w:p>
        </w:tc>
        <w:tc>
          <w:tcPr>
            <w:tcW w:w="760" w:type="dxa"/>
            <w:vAlign w:val="bottom"/>
          </w:tcPr>
          <w:p>
            <w:pPr>
              <w:jc w:val="right"/>
              <w:spacing w:after="0"/>
              <w:rPr>
                <w:sz w:val="20"/>
                <w:szCs w:val="20"/>
                <w:color w:val="auto"/>
              </w:rPr>
            </w:pPr>
            <w:r>
              <w:rPr>
                <w:rFonts w:ascii="Arial" w:cs="Arial" w:eastAsia="Arial" w:hAnsi="Arial"/>
                <w:sz w:val="18"/>
                <w:szCs w:val="18"/>
                <w:color w:val="auto"/>
              </w:rPr>
              <w:t>75,000</w:t>
            </w:r>
          </w:p>
        </w:tc>
        <w:tc>
          <w:tcPr>
            <w:tcW w:w="6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27,550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27,550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3.26</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Vested in January 2014</w:t>
            </w:r>
          </w:p>
        </w:tc>
        <w:tc>
          <w:tcPr>
            <w:tcW w:w="760" w:type="dxa"/>
            <w:vAlign w:val="bottom"/>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(27,550)</w:t>
            </w:r>
          </w:p>
        </w:tc>
        <w:tc>
          <w:tcPr>
            <w:tcW w:w="10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3.43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2014</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3.25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460" w:right="500"/>
        <w:spacing w:after="0" w:line="277" w:lineRule="auto"/>
        <w:rPr>
          <w:sz w:val="20"/>
          <w:szCs w:val="20"/>
          <w:color w:val="auto"/>
        </w:rPr>
      </w:pPr>
      <w:r>
        <w:rPr>
          <w:rFonts w:ascii="Arial" w:cs="Arial" w:eastAsia="Arial" w:hAnsi="Arial"/>
          <w:sz w:val="18"/>
          <w:szCs w:val="18"/>
          <w:color w:val="auto"/>
        </w:rPr>
        <w:t>The restricted stock units granted to Directors on March 17, 2011, March 13, 2012 and March 7, 2013 vested in January 2012, January 2013 and January 2014 respectively.</w:t>
      </w:r>
    </w:p>
    <w:p>
      <w:pPr>
        <w:spacing w:after="0" w:line="62" w:lineRule="exact"/>
        <w:rPr>
          <w:sz w:val="20"/>
          <w:szCs w:val="20"/>
          <w:color w:val="auto"/>
        </w:rPr>
      </w:pPr>
    </w:p>
    <w:p>
      <w:pPr>
        <w:ind w:left="460"/>
        <w:spacing w:after="0" w:line="272" w:lineRule="auto"/>
        <w:rPr>
          <w:sz w:val="20"/>
          <w:szCs w:val="20"/>
          <w:color w:val="auto"/>
        </w:rPr>
      </w:pPr>
      <w:r>
        <w:rPr>
          <w:rFonts w:ascii="Arial" w:cs="Arial" w:eastAsia="Arial" w:hAnsi="Arial"/>
          <w:sz w:val="17"/>
          <w:szCs w:val="17"/>
          <w:color w:val="auto"/>
        </w:rPr>
        <w:t>The restricted stock units granted to four members of management on September 2, 2011 were to vest over two years; half during September and October 2012 and the remaining half during September and October 2013. In March 2012, these grants were amended and restated to provide that vesting would occur only when the individual leaves employment, for whatever reason, provided that this was after September 30, 2012 in respect of half of the grant and after September 30, 2013 for the other half of the grant. The restricted stock units granted to management on March 13, 2012 are expected to vest when the individual leaves employment, provided that this is after September 30, 2014 and is not as a result of resignation or termination for cause. The restricted stock units granted to management on March 7, 2013 are expected to vest when the individual leaves employment, provided that this is after September 30, 2015 and is not as a result of resignation or termination for cause.</w:t>
      </w:r>
    </w:p>
    <w:p>
      <w:pPr>
        <w:spacing w:after="0" w:line="70"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consolidated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46"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For the grants issued on September 2, 2011, March 13, 2012 and March 7, 2013, the fair value at the grant date was the closing price for the common stock on that date. The share value has not been discounted as no dividends were expected to be paid on the common stock at that time.</w:t>
      </w:r>
    </w:p>
    <w:p>
      <w:pPr>
        <w:spacing w:after="0" w:line="16"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During the year ended December 31, 2014 the Company recognized a total of $177 (2013: $360, 2012: $460) in respect of share based compensation costs. As at December 31, 2014 there was a total of $75 (2013: $252) unrecognized compensation costs relating to the above share based awards. The remaining costs are expected to be recognized over a period of nine months.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380"/>
          </w:cols>
          <w:pgMar w:left="240" w:top="459" w:right="27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Risks Associated with Concentration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131" w:lineRule="exact"/>
        <w:rPr>
          <w:sz w:val="20"/>
          <w:szCs w:val="20"/>
          <w:color w:val="auto"/>
        </w:rPr>
      </w:pPr>
    </w:p>
    <w:p>
      <w:pPr>
        <w:ind w:left="900" w:hanging="446"/>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Company derives the majority of its revenue from CMA CGM which is exposed to the cyclicality of the container shipping industry.</w:t>
      </w:r>
    </w:p>
    <w:p>
      <w:pPr>
        <w:spacing w:after="0" w:line="142" w:lineRule="exact"/>
        <w:rPr>
          <w:rFonts w:ascii="Arial" w:cs="Arial" w:eastAsia="Arial" w:hAnsi="Arial"/>
          <w:sz w:val="17"/>
          <w:szCs w:val="17"/>
          <w:color w:val="auto"/>
        </w:rPr>
      </w:pPr>
    </w:p>
    <w:p>
      <w:pPr>
        <w:ind w:left="900" w:right="280" w:hanging="446"/>
        <w:spacing w:after="0" w:line="264" w:lineRule="auto"/>
        <w:tabs>
          <w:tab w:leader="none" w:pos="9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2014 to the extent that substantially all of the amounts are deposited with three banks (2013; three banks). However, the Company believes this risk is remote as the banks are high credit quality financial institutions.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17</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Basic earnings per common share is presented under the two-class method and is computed by dividing the earnings applicable to common stockholders by the weighted average number of common shares outstanding for the period.</w:t>
      </w:r>
    </w:p>
    <w:p>
      <w:pPr>
        <w:spacing w:after="0" w:line="62" w:lineRule="exact"/>
        <w:rPr>
          <w:sz w:val="20"/>
          <w:szCs w:val="20"/>
          <w:color w:val="auto"/>
        </w:rPr>
      </w:pPr>
    </w:p>
    <w:p>
      <w:pPr>
        <w:ind w:left="460"/>
        <w:spacing w:after="0" w:line="293" w:lineRule="auto"/>
        <w:rPr>
          <w:sz w:val="20"/>
          <w:szCs w:val="20"/>
          <w:color w:val="auto"/>
        </w:rPr>
      </w:pPr>
      <w:r>
        <w:rPr>
          <w:rFonts w:ascii="Arial" w:cs="Arial" w:eastAsia="Arial" w:hAnsi="Arial"/>
          <w:sz w:val="16"/>
          <w:szCs w:val="16"/>
          <w:color w:val="auto"/>
        </w:rPr>
        <w:t>Under the two class method, net income available to common stockholders,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years ended December 31, 2014, December 31, 2013 and December 31, 2012 no dividend was declared. The Class B common shareholders’ dividend rights are subordinated to those of holders of Class A common shares. Net income for the relevant period is allocated based on the contractual rights of each class of security and as there was insufficient net income to allow any dividend on the Class B common shares no earnings were allocated to Class B common shares.</w:t>
      </w:r>
    </w:p>
    <w:p>
      <w:pPr>
        <w:spacing w:after="0" w:line="57" w:lineRule="exact"/>
        <w:rPr>
          <w:sz w:val="20"/>
          <w:szCs w:val="20"/>
          <w:color w:val="auto"/>
        </w:rPr>
      </w:pPr>
    </w:p>
    <w:p>
      <w:pPr>
        <w:jc w:val="both"/>
        <w:ind w:left="460" w:right="60"/>
        <w:spacing w:after="0" w:line="264" w:lineRule="auto"/>
        <w:rPr>
          <w:sz w:val="20"/>
          <w:szCs w:val="20"/>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losses would only be allocated to the Class A common shareholders.</w:t>
      </w:r>
    </w:p>
    <w:p>
      <w:pPr>
        <w:spacing w:after="0" w:line="73" w:lineRule="exact"/>
        <w:rPr>
          <w:sz w:val="20"/>
          <w:szCs w:val="20"/>
          <w:color w:val="auto"/>
        </w:rPr>
      </w:pPr>
    </w:p>
    <w:p>
      <w:pPr>
        <w:ind w:left="460" w:right="880"/>
        <w:spacing w:after="0" w:line="277" w:lineRule="auto"/>
        <w:rPr>
          <w:sz w:val="20"/>
          <w:szCs w:val="20"/>
          <w:color w:val="auto"/>
        </w:rPr>
      </w:pPr>
      <w:r>
        <w:rPr>
          <w:rFonts w:ascii="Arial" w:cs="Arial" w:eastAsia="Arial" w:hAnsi="Arial"/>
          <w:sz w:val="18"/>
          <w:szCs w:val="18"/>
          <w:color w:val="auto"/>
        </w:rPr>
        <w:t>At December 31, 2014, there were 300,000 restricted stock units granted and unvested as part of management’s equity incentive plan. As of December 31, 2014 only Class A and B common shares are participating securities.</w:t>
      </w:r>
    </w:p>
    <w:p>
      <w:pPr>
        <w:spacing w:after="0" w:line="62"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For the years ended December 31, 2014, December 31, 2013 and December 31, 2012, the diluted weighted average number of shares includes the incremental effect of outstanding stock based incentive awards.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Global Ship Lease,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Consolidated Financial Statements (continued)</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3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Year ended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5360" w:type="dxa"/>
            <w:vAlign w:val="bottom"/>
          </w:tcPr>
          <w:p>
            <w:pPr>
              <w:spacing w:after="0"/>
              <w:rPr>
                <w:sz w:val="12"/>
                <w:szCs w:val="12"/>
                <w:color w:val="auto"/>
              </w:rPr>
            </w:pPr>
          </w:p>
        </w:tc>
        <w:tc>
          <w:tcPr>
            <w:tcW w:w="12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6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2"/>
                <w:szCs w:val="12"/>
                <w:color w:val="auto"/>
              </w:rPr>
            </w:pP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360" w:type="dxa"/>
            <w:vAlign w:val="bottom"/>
          </w:tcPr>
          <w:p>
            <w:pPr>
              <w:spacing w:after="0"/>
              <w:rPr>
                <w:sz w:val="20"/>
                <w:szCs w:val="20"/>
                <w:color w:val="auto"/>
              </w:rPr>
            </w:pPr>
            <w:r>
              <w:rPr>
                <w:rFonts w:ascii="Arial" w:cs="Arial" w:eastAsia="Arial" w:hAnsi="Arial"/>
                <w:sz w:val="14"/>
                <w:szCs w:val="14"/>
                <w:color w:val="auto"/>
              </w:rPr>
              <w:t>(In thousands, except share data)</w:t>
            </w:r>
          </w:p>
        </w:tc>
        <w:tc>
          <w:tcPr>
            <w:tcW w:w="100" w:type="dxa"/>
            <w:vAlign w:val="bottom"/>
          </w:tcPr>
          <w:p>
            <w:pPr>
              <w:spacing w:after="0"/>
              <w:rPr>
                <w:sz w:val="14"/>
                <w:szCs w:val="14"/>
                <w:color w:val="auto"/>
              </w:rPr>
            </w:pPr>
          </w:p>
        </w:tc>
        <w:tc>
          <w:tcPr>
            <w:tcW w:w="82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2014</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47,541,409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47,513,846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47,481,766</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RSU’s without service conditions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15) (B)</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168,904</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93,904</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18,904</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113,423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159,516</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110,987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and common share equivalents (F)</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47,823,736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47,767,266</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47,611,657</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Class B common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Dilutive effect of share-based awards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(H)</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7,405,956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80"/>
              <w:spacing w:after="0"/>
              <w:rPr>
                <w:sz w:val="20"/>
                <w:szCs w:val="20"/>
                <w:color w:val="auto"/>
              </w:rPr>
            </w:pPr>
            <w:r>
              <w:rPr>
                <w:rFonts w:ascii="Arial" w:cs="Arial" w:eastAsia="Arial" w:hAnsi="Arial"/>
                <w:sz w:val="18"/>
                <w:szCs w:val="18"/>
                <w:color w:val="auto"/>
                <w:w w:val="87"/>
              </w:rPr>
              <w:t>7,405,956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Available to:</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allocate pro-rata between Class A and B</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income available for Class B (C)</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Class A (A/B)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(C/D)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color w:val="auto"/>
              </w:rPr>
              <w:t>Available to:</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 Class A shareholders for arrears</w:t>
            </w:r>
          </w:p>
        </w:tc>
        <w:tc>
          <w:tcPr>
            <w:tcW w:w="10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 allocate pro rata between Class A and B</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Class A (E)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32,518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income available for Class B (G)</w:t>
            </w: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5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60"/>
              <w:spacing w:after="0"/>
              <w:rPr>
                <w:sz w:val="20"/>
                <w:szCs w:val="20"/>
                <w:color w:val="auto"/>
              </w:rPr>
            </w:pPr>
            <w:r>
              <w:rPr>
                <w:rFonts w:ascii="Arial" w:cs="Arial" w:eastAsia="Arial" w:hAnsi="Arial"/>
                <w:sz w:val="18"/>
                <w:szCs w:val="18"/>
                <w:color w:val="auto"/>
              </w:rPr>
              <w:t>Class A (E/F)</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0.68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(G/H)</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18</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Company acquired an 8,063 TEU containership from Orient Overseas Container Lines Limited (“OOCL”) on March 11, 2015. The vessel, OOCL Qingdao, had a purchase price of $53.6 million, which was settled by fully utilising the $40.0 million Revolving Credit Facility and existing cash on hand. The vessel was immediately time chartered back to OOCL for a period of 36 to 39 months, at charterer’s option, at a gross rate of $34,500 per day.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300"/>
          </w:cols>
          <w:pgMar w:left="240" w:top="459" w:right="35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ADDITIONAL GUARANTOR</w:t>
      </w:r>
    </w:p>
    <w:p>
      <w:pPr>
        <w:spacing w:after="0" w:line="207" w:lineRule="exact"/>
        <w:rPr>
          <w:sz w:val="20"/>
          <w:szCs w:val="20"/>
          <w:color w:val="auto"/>
        </w:rPr>
      </w:pPr>
    </w:p>
    <w:p>
      <w:pPr>
        <w:ind w:right="400"/>
        <w:spacing w:after="0" w:line="303" w:lineRule="auto"/>
        <w:rPr>
          <w:sz w:val="20"/>
          <w:szCs w:val="20"/>
          <w:color w:val="auto"/>
        </w:rPr>
      </w:pPr>
      <w:r>
        <w:rPr>
          <w:rFonts w:ascii="Arial" w:cs="Arial" w:eastAsia="Arial" w:hAnsi="Arial"/>
          <w:sz w:val="16"/>
          <w:szCs w:val="16"/>
          <w:b w:val="1"/>
          <w:bCs w:val="1"/>
          <w:color w:val="auto"/>
        </w:rPr>
        <w:t xml:space="preserve">SUPPLEMENTAL INDENTURE </w:t>
      </w:r>
      <w:r>
        <w:rPr>
          <w:rFonts w:ascii="Arial" w:cs="Arial" w:eastAsia="Arial" w:hAnsi="Arial"/>
          <w:sz w:val="16"/>
          <w:szCs w:val="16"/>
          <w:color w:val="auto"/>
        </w:rPr>
        <w:t>(this</w:t>
      </w:r>
      <w:r>
        <w:rPr>
          <w:rFonts w:ascii="Arial" w:cs="Arial" w:eastAsia="Arial" w:hAnsi="Arial"/>
          <w:sz w:val="16"/>
          <w:szCs w:val="16"/>
          <w:b w:val="1"/>
          <w:bCs w:val="1"/>
          <w:color w:val="auto"/>
        </w:rPr>
        <w:t xml:space="preserve"> Supplemental Indenture</w:t>
      </w:r>
      <w:r>
        <w:rPr>
          <w:rFonts w:ascii="Arial" w:cs="Arial" w:eastAsia="Arial" w:hAnsi="Arial"/>
          <w:sz w:val="16"/>
          <w:szCs w:val="16"/>
          <w:color w:val="auto"/>
        </w:rPr>
        <w:t>), dated as of 23 December 2014, among Global Ship Lease 20 Limited (the</w:t>
      </w:r>
      <w:r>
        <w:rPr>
          <w:rFonts w:ascii="Arial" w:cs="Arial" w:eastAsia="Arial" w:hAnsi="Arial"/>
          <w:sz w:val="16"/>
          <w:szCs w:val="16"/>
          <w:b w:val="1"/>
          <w:bCs w:val="1"/>
          <w:color w:val="auto"/>
        </w:rPr>
        <w:t xml:space="preserve"> Guaranteeing Subsidiary</w:t>
      </w:r>
      <w:r>
        <w:rPr>
          <w:rFonts w:ascii="Arial" w:cs="Arial" w:eastAsia="Arial" w:hAnsi="Arial"/>
          <w:sz w:val="16"/>
          <w:szCs w:val="16"/>
          <w:color w:val="auto"/>
        </w:rPr>
        <w:t>), a subsidiary of Global Ship Lease, Inc. (or its permitted successor), a Marshall Islands corporation, (the</w:t>
      </w:r>
      <w:r>
        <w:rPr>
          <w:rFonts w:ascii="Arial" w:cs="Arial" w:eastAsia="Arial" w:hAnsi="Arial"/>
          <w:sz w:val="16"/>
          <w:szCs w:val="16"/>
          <w:b w:val="1"/>
          <w:bCs w:val="1"/>
          <w:color w:val="auto"/>
        </w:rPr>
        <w:t xml:space="preserve"> Issuer</w:t>
      </w:r>
      <w:r>
        <w:rPr>
          <w:rFonts w:ascii="Arial" w:cs="Arial" w:eastAsia="Arial" w:hAnsi="Arial"/>
          <w:sz w:val="16"/>
          <w:szCs w:val="16"/>
          <w:color w:val="auto"/>
        </w:rPr>
        <w:t>),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Guarantors (as defined in the Indenture referred to herein) and Deutsche Bank Trust Company Americas, as trustee (or its permitted successor) under the Indenture referred to below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and as security agent (or its permitted successor) under the Indenture referred to below (the </w:t>
      </w:r>
      <w:r>
        <w:rPr>
          <w:rFonts w:ascii="Arial" w:cs="Arial" w:eastAsia="Arial" w:hAnsi="Arial"/>
          <w:sz w:val="16"/>
          <w:szCs w:val="16"/>
          <w:b w:val="1"/>
          <w:bCs w:val="1"/>
          <w:color w:val="auto"/>
        </w:rPr>
        <w:t>Security Agent</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 xml:space="preserve">WHEREAS, the Issuer and the other Guarantors have heretofore executed and delivered to the Trustee an indenture (the </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dated as of 19 March 2014 providing for the issuance of 10.000% First Priority Secured Notes due 2019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b w:val="1"/>
          <w:bCs w:val="1"/>
          <w:color w:val="auto"/>
        </w:rPr>
        <w:t>Guarantee</w:t>
      </w:r>
      <w:r>
        <w:rPr>
          <w:rFonts w:ascii="Arial" w:cs="Arial" w:eastAsia="Arial" w:hAnsi="Arial"/>
          <w:sz w:val="18"/>
          <w:szCs w:val="18"/>
          <w:color w:val="auto"/>
        </w:rPr>
        <w:t>); and</w:t>
      </w:r>
    </w:p>
    <w:p>
      <w:pPr>
        <w:spacing w:after="0" w:line="181"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WHEREAS, pursuant to Section 9.01 of the Indenture, each of the Trustee and the Security Agent is authorised to execute and deliver this Supplemental Indenture.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rateable benefit of the Holders as follows:</w:t>
      </w:r>
    </w:p>
    <w:p>
      <w:pPr>
        <w:spacing w:after="0" w:line="268"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TERMS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Capitalised terms used herein without definition shall have the meanings assigned to them in the Indenture.</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GUARANTEE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Guaranteeing Subsidiary hereby agrees to provide an unconditional Guarantee, on and subject to the terms, conditions and limitations set forth in the Indenture, including, but not limited to, Article 10 thereof.</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NEW YORK LAW TO GOVERN</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SUPPLEMENTAL INDENTURE SHALL BE GOVERNED BY AND CONSTRUED IN ACCORDANCE WITH THE LAWS OF THE STATE OF NEW YORK, WITHOUT GIVING EFFECT TO CONFLICTS OF LAW PRINCIPLES TO THE EXTENT THAT THE APPLICATION OF THE LAWS OF ANOTHER JURISDICTION WOULD BE REQUIRED THEREBY.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29" w:name="page130"/>
    <w:bookmarkEnd w:id="129"/>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EFFECT OF HEADINGS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Section headings herein are for convenience only and shall not affect the construction hereof.</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THE TRUSTEE AND THE SECURITY AGENT</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Neither the Trustee nor the Security Agent shall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 WITNESS </w:t>
      </w:r>
      <w:r>
        <w:rPr>
          <w:rFonts w:ascii="Arial" w:cs="Arial" w:eastAsia="Arial" w:hAnsi="Arial"/>
          <w:sz w:val="16"/>
          <w:szCs w:val="16"/>
          <w:color w:val="auto"/>
        </w:rPr>
        <w:t>whereof the parties hereto have caused this Supplemental Indenture to be duly executed and attested, all as of the date first above written.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23 December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20 LIMITED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Cook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Susan Cook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Person</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 J. Webber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 J. Webber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Officer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Cook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Susan Cook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Authorized Officer</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 AMERICAS, as Trustee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Debra A. Schwalb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Jeffrey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2588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Authorised Signatory</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DEUTSCHE BANK TRUST COMPANY AMERICAS, as Security Agent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National Trust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Debra A. Schwalb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Authorised Signatory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Jeffrey Schoenfeld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32588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Authorised Signatory</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Debra A. Schwalb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Jeffrey Schoenfeld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Debra A. Schwalb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Jeffrey Schoenfeld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Assistant Vice President</w:t>
      </w:r>
    </w:p>
    <w:p>
      <w:pPr>
        <w:sectPr>
          <w:pgSz w:w="11900" w:h="16838" w:orient="portrait"/>
          <w:cols w:equalWidth="0" w:num="2">
            <w:col w:w="5760" w:space="520"/>
            <w:col w:w="3939"/>
          </w:cols>
          <w:pgMar w:left="240" w:top="270"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4.11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ADDITIONAL GUARANTOR</w:t>
      </w:r>
    </w:p>
    <w:p>
      <w:pPr>
        <w:spacing w:after="0" w:line="207"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SUPPLEMENTAL INDENTURE </w:t>
      </w:r>
      <w:r>
        <w:rPr>
          <w:rFonts w:ascii="Arial" w:cs="Arial" w:eastAsia="Arial" w:hAnsi="Arial"/>
          <w:sz w:val="16"/>
          <w:szCs w:val="16"/>
          <w:color w:val="auto"/>
        </w:rPr>
        <w:t>(this</w:t>
      </w:r>
      <w:r>
        <w:rPr>
          <w:rFonts w:ascii="Arial" w:cs="Arial" w:eastAsia="Arial" w:hAnsi="Arial"/>
          <w:sz w:val="16"/>
          <w:szCs w:val="16"/>
          <w:b w:val="1"/>
          <w:bCs w:val="1"/>
          <w:color w:val="auto"/>
        </w:rPr>
        <w:t xml:space="preserve"> Supplemental Indenture</w:t>
      </w:r>
      <w:r>
        <w:rPr>
          <w:rFonts w:ascii="Arial" w:cs="Arial" w:eastAsia="Arial" w:hAnsi="Arial"/>
          <w:sz w:val="16"/>
          <w:szCs w:val="16"/>
          <w:color w:val="auto"/>
        </w:rPr>
        <w:t>), dated as of 23 February 2015, among Global Ship Lease 21 Limited (the</w:t>
      </w:r>
      <w:r>
        <w:rPr>
          <w:rFonts w:ascii="Arial" w:cs="Arial" w:eastAsia="Arial" w:hAnsi="Arial"/>
          <w:sz w:val="16"/>
          <w:szCs w:val="16"/>
          <w:b w:val="1"/>
          <w:bCs w:val="1"/>
          <w:color w:val="auto"/>
        </w:rPr>
        <w:t xml:space="preserve"> Guaranteeing Subsidiary</w:t>
      </w:r>
      <w:r>
        <w:rPr>
          <w:rFonts w:ascii="Arial" w:cs="Arial" w:eastAsia="Arial" w:hAnsi="Arial"/>
          <w:sz w:val="16"/>
          <w:szCs w:val="16"/>
          <w:color w:val="auto"/>
        </w:rPr>
        <w:t>), a subsidiary of Global Ship Lease, Inc. (or its permitted successor), a Marshall Islands corporation, (the</w:t>
      </w:r>
      <w:r>
        <w:rPr>
          <w:rFonts w:ascii="Arial" w:cs="Arial" w:eastAsia="Arial" w:hAnsi="Arial"/>
          <w:sz w:val="16"/>
          <w:szCs w:val="16"/>
          <w:b w:val="1"/>
          <w:bCs w:val="1"/>
          <w:color w:val="auto"/>
        </w:rPr>
        <w:t xml:space="preserve"> Issuer</w:t>
      </w:r>
      <w:r>
        <w:rPr>
          <w:rFonts w:ascii="Arial" w:cs="Arial" w:eastAsia="Arial" w:hAnsi="Arial"/>
          <w:sz w:val="16"/>
          <w:szCs w:val="16"/>
          <w:color w:val="auto"/>
        </w:rPr>
        <w:t>), the other Guarantors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defined in the Indenture referred to herein) and Deutsche Bank Trust Company Americas, as trustee (or its permitted successor) under the Indenture referred to below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and as security agent (or its permitted successor) under the Indenture referred to below (the </w:t>
      </w:r>
      <w:r>
        <w:rPr>
          <w:rFonts w:ascii="Arial" w:cs="Arial" w:eastAsia="Arial" w:hAnsi="Arial"/>
          <w:sz w:val="16"/>
          <w:szCs w:val="16"/>
          <w:b w:val="1"/>
          <w:bCs w:val="1"/>
          <w:color w:val="auto"/>
        </w:rPr>
        <w:t>Security Agent</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right="560" w:firstLine="456"/>
        <w:spacing w:after="0" w:line="282" w:lineRule="auto"/>
        <w:rPr>
          <w:sz w:val="20"/>
          <w:szCs w:val="20"/>
          <w:color w:val="auto"/>
        </w:rPr>
      </w:pPr>
      <w:r>
        <w:rPr>
          <w:rFonts w:ascii="Arial" w:cs="Arial" w:eastAsia="Arial" w:hAnsi="Arial"/>
          <w:sz w:val="18"/>
          <w:szCs w:val="18"/>
          <w:color w:val="auto"/>
        </w:rPr>
        <w:t xml:space="preserve">WHEREAS, the Issuer and the other Guarantors have heretofore executed and delivered to the Trustee an indenture (the </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dated as of 19 March 2014 providing for the issuance of 10.000% First Priority Secured Notes due 2019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66"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8"/>
          <w:szCs w:val="18"/>
          <w:b w:val="1"/>
          <w:bCs w:val="1"/>
          <w:color w:val="auto"/>
        </w:rPr>
        <w:t>Guarantee</w:t>
      </w:r>
      <w:r>
        <w:rPr>
          <w:rFonts w:ascii="Arial" w:cs="Arial" w:eastAsia="Arial" w:hAnsi="Arial"/>
          <w:sz w:val="18"/>
          <w:szCs w:val="18"/>
          <w:color w:val="auto"/>
        </w:rPr>
        <w:t>); and</w:t>
      </w:r>
    </w:p>
    <w:p>
      <w:pPr>
        <w:spacing w:after="0" w:line="181" w:lineRule="exact"/>
        <w:rPr>
          <w:sz w:val="20"/>
          <w:szCs w:val="20"/>
          <w:color w:val="auto"/>
        </w:rPr>
      </w:pPr>
    </w:p>
    <w:p>
      <w:pPr>
        <w:ind w:right="1000" w:firstLine="456"/>
        <w:spacing w:after="0" w:line="277" w:lineRule="auto"/>
        <w:rPr>
          <w:sz w:val="20"/>
          <w:szCs w:val="20"/>
          <w:color w:val="auto"/>
        </w:rPr>
      </w:pPr>
      <w:r>
        <w:rPr>
          <w:rFonts w:ascii="Arial" w:cs="Arial" w:eastAsia="Arial" w:hAnsi="Arial"/>
          <w:sz w:val="18"/>
          <w:szCs w:val="18"/>
          <w:color w:val="auto"/>
        </w:rPr>
        <w:t>WHEREAS, pursuant to Section 9.01 of the Indenture, each of the Trustee and the Security Agent is authorised to execute and deliver this Supplemental Indenture.</w:t>
      </w:r>
    </w:p>
    <w:p>
      <w:pPr>
        <w:spacing w:after="0" w:line="170"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of which is hereby acknowledged, the Guaranteeing Subsidiary and the Trustee mutually covenant and agree for the equal and rateable benefit of the Holders as follows:</w:t>
      </w:r>
    </w:p>
    <w:p>
      <w:pPr>
        <w:spacing w:after="0" w:line="268"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CAPITALIZED TERMS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Capitalised terms used herein without definition shall have the meanings assigned to them in the Indenture.</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AGREEMENT TO GUARANTEE</w:t>
      </w:r>
    </w:p>
    <w:p>
      <w:pPr>
        <w:spacing w:after="0" w:line="121" w:lineRule="exact"/>
        <w:rPr>
          <w:rFonts w:ascii="Arial" w:cs="Arial" w:eastAsia="Arial" w:hAnsi="Arial"/>
          <w:sz w:val="18"/>
          <w:szCs w:val="18"/>
          <w:b w:val="1"/>
          <w:bCs w:val="1"/>
          <w:color w:val="auto"/>
        </w:rPr>
      </w:pPr>
    </w:p>
    <w:p>
      <w:pPr>
        <w:ind w:left="4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Guaranteeing Subsidiary hereby agrees to provide an unconditional Guarantee, on and subject to the terms, conditions and limitations set forth in the Indenture, including, but not limited to, Article 10 thereof.</w:t>
      </w:r>
    </w:p>
    <w:p>
      <w:pPr>
        <w:spacing w:after="0" w:line="31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NEW YORK LAW TO GOVERN</w:t>
      </w:r>
    </w:p>
    <w:p>
      <w:pPr>
        <w:spacing w:after="0" w:line="121" w:lineRule="exact"/>
        <w:rPr>
          <w:rFonts w:ascii="Arial" w:cs="Arial" w:eastAsia="Arial" w:hAnsi="Arial"/>
          <w:sz w:val="18"/>
          <w:szCs w:val="18"/>
          <w:b w:val="1"/>
          <w:bCs w:val="1"/>
          <w:color w:val="auto"/>
        </w:rPr>
      </w:pPr>
    </w:p>
    <w:p>
      <w:pPr>
        <w:ind w:left="46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THIS SUPPLEMENTAL INDENTURE SHALL BE GOVERNED BY AND CONSTRUED IN ACCORDANCE WITH THE LAWS OF THE STATE OF NEW YORK, WITHOUT GIVING EFFECT TO CONFLICTS OF LAW PRINCIPLES TO THE EXTENT THAT THE APPLICATION OF THE LAWS OF ANOTHER JURISDICTION WOULD BE REQUIRED THEREBY.</w:t>
      </w:r>
    </w:p>
    <w:p>
      <w:pPr>
        <w:spacing w:after="0" w:line="325" w:lineRule="exact"/>
        <w:rPr>
          <w:rFonts w:ascii="Arial" w:cs="Arial" w:eastAsia="Arial" w:hAnsi="Arial"/>
          <w:sz w:val="18"/>
          <w:szCs w:val="18"/>
          <w:b w:val="1"/>
          <w:bCs w:val="1"/>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may sign any number of copies of this Supplemental Indenture. Each signed copy shall be an original, but all of them together represent the same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132" w:name="page133"/>
    <w:bookmarkEnd w:id="132"/>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 OF HEADINGS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Section headings herein are for convenience only and shall not affect the construction hereof.</w:t>
      </w:r>
    </w:p>
    <w:p>
      <w:pPr>
        <w:spacing w:after="0" w:line="369" w:lineRule="exact"/>
        <w:rPr>
          <w:rFonts w:ascii="Arial" w:cs="Arial" w:eastAsia="Arial" w:hAnsi="Arial"/>
          <w:sz w:val="18"/>
          <w:szCs w:val="18"/>
          <w:b w:val="1"/>
          <w:bCs w:val="1"/>
          <w:color w:val="auto"/>
        </w:rPr>
      </w:pPr>
    </w:p>
    <w:p>
      <w:pPr>
        <w:ind w:left="460" w:hanging="452"/>
        <w:spacing w:after="0"/>
        <w:tabs>
          <w:tab w:leader="none" w:pos="4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THE TRUSTEE AND THE SECURITY AGENT</w:t>
      </w:r>
    </w:p>
    <w:p>
      <w:pPr>
        <w:spacing w:after="0" w:line="121" w:lineRule="exact"/>
        <w:rPr>
          <w:rFonts w:ascii="Arial" w:cs="Arial" w:eastAsia="Arial" w:hAnsi="Arial"/>
          <w:sz w:val="18"/>
          <w:szCs w:val="18"/>
          <w:b w:val="1"/>
          <w:bCs w:val="1"/>
          <w:color w:val="auto"/>
        </w:rPr>
      </w:pPr>
    </w:p>
    <w:p>
      <w:pPr>
        <w:ind w:left="4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Neither the Trustee nor the Security Agent shall be responsible in any manner whatsoever for or in respect of the validity or sufficiency of this Supplemental Indenture or for or in respect of the recitals contained herein, all of which recitals are made solely by the Guaranteeing Subsidiary and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caused this Supplemental Indenture to be duly executed and attested, all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23 February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 21 LIMITED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Mathew James Davies</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Mathew James Davies</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Sole Director</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GLOBAL SHIP LEASE, INC.</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Ian Webber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Ian Webber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Authorised Officer</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Susan Cook</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Susan Cook</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Authorised Officer</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DEUTSCHE BANK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AMERICAS, as Trustee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Debra A. Schwalb</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Debra A. Schwalb</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Vice President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Schoenfeld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Jeffrey Schoenfeld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Assistant Vice President, Vice President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DEUTSCHE BANK TRUST COMPANY AMERICAS,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 Agent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Debra A. Schwalb</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Debra A. Schwalb</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Vice President, Vice President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Schoenfeld</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Jeffrey Schoenfeld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Assistant Vice President, Vice President</w:t>
            </w:r>
          </w:p>
        </w:tc>
      </w:tr>
    </w:tbl>
    <w:p>
      <w:pPr>
        <w:spacing w:after="0" w:line="134"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274"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LIST OF SUBSIDIARIES OF GLOBAL SHIP LEASE, INC.</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3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Jurisdiction of Incorporation</w:t>
            </w:r>
          </w:p>
        </w:tc>
      </w:tr>
      <w:tr>
        <w:trPr>
          <w:trHeight w:val="189"/>
        </w:trPr>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Global Ship Lease Services Limited</w:t>
            </w:r>
          </w:p>
        </w:tc>
        <w:tc>
          <w:tcPr>
            <w:tcW w:w="920" w:type="dxa"/>
            <w:vAlign w:val="bottom"/>
          </w:tcPr>
          <w:p>
            <w:pPr>
              <w:spacing w:after="0"/>
              <w:rPr>
                <w:sz w:val="16"/>
                <w:szCs w:val="16"/>
                <w:color w:val="auto"/>
              </w:rPr>
            </w:pPr>
          </w:p>
        </w:tc>
        <w:tc>
          <w:tcPr>
            <w:tcW w:w="3320" w:type="dxa"/>
            <w:vAlign w:val="bottom"/>
          </w:tcPr>
          <w:p>
            <w:pPr>
              <w:spacing w:after="0" w:line="189" w:lineRule="exact"/>
              <w:rPr>
                <w:sz w:val="20"/>
                <w:szCs w:val="20"/>
                <w:color w:val="auto"/>
              </w:rPr>
            </w:pPr>
            <w:r>
              <w:rPr>
                <w:rFonts w:ascii="Arial" w:cs="Arial" w:eastAsia="Arial" w:hAnsi="Arial"/>
                <w:sz w:val="18"/>
                <w:szCs w:val="18"/>
                <w:color w:val="auto"/>
              </w:rPr>
              <w:t>United Kingdom</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2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3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4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5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6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7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8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9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10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11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12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13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14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15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16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17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Cyprus</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18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Republic of the Marshall Islands</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19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Republic of the Marshall Islands</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20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Hong Kong</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21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Global Ship Lease 22 Limited</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Hong Kong</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GSL Alcazar Inc.</w:t>
            </w:r>
          </w:p>
        </w:tc>
        <w:tc>
          <w:tcPr>
            <w:tcW w:w="4240" w:type="dxa"/>
            <w:vAlign w:val="bottom"/>
            <w:gridSpan w:val="2"/>
          </w:tcPr>
          <w:p>
            <w:pPr>
              <w:ind w:left="900"/>
              <w:spacing w:after="0"/>
              <w:rPr>
                <w:sz w:val="20"/>
                <w:szCs w:val="20"/>
                <w:color w:val="auto"/>
              </w:rPr>
            </w:pPr>
            <w:r>
              <w:rPr>
                <w:rFonts w:ascii="Arial" w:cs="Arial" w:eastAsia="Arial" w:hAnsi="Arial"/>
                <w:sz w:val="18"/>
                <w:szCs w:val="18"/>
                <w:color w:val="auto"/>
              </w:rPr>
              <w:t>Republic of the Marshall Islands</w:t>
            </w:r>
          </w:p>
        </w:tc>
      </w:tr>
    </w:tbl>
    <w:p>
      <w:pPr>
        <w:sectPr>
          <w:pgSz w:w="11900" w:h="16838" w:orient="portrait"/>
          <w:cols w:equalWidth="0" w:num="1">
            <w:col w:w="10220"/>
          </w:cols>
          <w:pgMar w:left="1440" w:top="12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jc w:val="both"/>
        <w:ind w:left="900" w:right="300" w:hanging="446"/>
        <w:spacing w:after="0" w:line="264"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00" w:hanging="446"/>
        <w:spacing w:after="0" w:line="286" w:lineRule="auto"/>
        <w:tabs>
          <w:tab w:leader="none" w:pos="90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900" w:right="800" w:hanging="446"/>
        <w:spacing w:after="0" w:line="342" w:lineRule="auto"/>
        <w:tabs>
          <w:tab w:leader="none" w:pos="9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00" w:hanging="446"/>
        <w:spacing w:after="0" w:line="342" w:lineRule="auto"/>
        <w:tabs>
          <w:tab w:leader="none" w:pos="900" w:val="left"/>
        </w:tabs>
        <w:numPr>
          <w:ilvl w:val="1"/>
          <w:numId w:val="14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360" w:hanging="452"/>
        <w:spacing w:after="0" w:line="308" w:lineRule="auto"/>
        <w:tabs>
          <w:tab w:leader="none" w:pos="4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40" w:val="left"/>
          <w:tab w:leader="none" w:pos="6380" w:val="left"/>
        </w:tabs>
        <w:rPr>
          <w:sz w:val="20"/>
          <w:szCs w:val="20"/>
          <w:color w:val="auto"/>
        </w:rPr>
      </w:pPr>
      <w:r>
        <w:rPr>
          <w:rFonts w:ascii="Arial" w:cs="Arial" w:eastAsia="Arial" w:hAnsi="Arial"/>
          <w:sz w:val="18"/>
          <w:szCs w:val="18"/>
          <w:color w:val="auto"/>
        </w:rPr>
        <w:t>Dated: April 21,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14605</wp:posOffset>
            </wp:positionV>
            <wp:extent cx="318135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131" w:lineRule="exact"/>
        <w:rPr>
          <w:sz w:val="20"/>
          <w:szCs w:val="20"/>
          <w:color w:val="auto"/>
        </w:rPr>
      </w:pPr>
    </w:p>
    <w:p>
      <w:pPr>
        <w:ind w:left="460" w:hanging="452"/>
        <w:spacing w:after="0"/>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00" w:hanging="452"/>
        <w:spacing w:after="0" w:line="342" w:lineRule="auto"/>
        <w:tabs>
          <w:tab w:leader="none" w:pos="4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9" w:lineRule="exact"/>
        <w:rPr>
          <w:rFonts w:ascii="Arial" w:cs="Arial" w:eastAsia="Arial" w:hAnsi="Arial"/>
          <w:sz w:val="16"/>
          <w:szCs w:val="16"/>
          <w:color w:val="auto"/>
        </w:rPr>
      </w:pPr>
    </w:p>
    <w:p>
      <w:pPr>
        <w:ind w:left="460" w:right="80" w:hanging="452"/>
        <w:spacing w:after="0" w:line="264" w:lineRule="auto"/>
        <w:tabs>
          <w:tab w:leader="none" w:pos="4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6" w:lineRule="exact"/>
        <w:rPr>
          <w:rFonts w:ascii="Arial" w:cs="Arial" w:eastAsia="Arial" w:hAnsi="Arial"/>
          <w:sz w:val="18"/>
          <w:szCs w:val="18"/>
          <w:color w:val="auto"/>
        </w:rPr>
      </w:pPr>
    </w:p>
    <w:p>
      <w:pPr>
        <w:jc w:val="both"/>
        <w:ind w:left="900" w:right="300" w:hanging="446"/>
        <w:spacing w:after="0" w:line="264"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700" w:hanging="446"/>
        <w:spacing w:after="0" w:line="286" w:lineRule="auto"/>
        <w:tabs>
          <w:tab w:leader="none" w:pos="90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70" w:lineRule="exact"/>
        <w:rPr>
          <w:rFonts w:ascii="Arial" w:cs="Arial" w:eastAsia="Arial" w:hAnsi="Arial"/>
          <w:sz w:val="17"/>
          <w:szCs w:val="17"/>
          <w:color w:val="auto"/>
        </w:rPr>
      </w:pPr>
    </w:p>
    <w:p>
      <w:pPr>
        <w:jc w:val="both"/>
        <w:ind w:left="900" w:right="800" w:hanging="446"/>
        <w:spacing w:after="0" w:line="342"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00" w:hanging="446"/>
        <w:spacing w:after="0" w:line="342" w:lineRule="auto"/>
        <w:tabs>
          <w:tab w:leader="none" w:pos="90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29" w:lineRule="exact"/>
        <w:rPr>
          <w:rFonts w:ascii="Arial" w:cs="Arial" w:eastAsia="Arial" w:hAnsi="Arial"/>
          <w:sz w:val="16"/>
          <w:szCs w:val="16"/>
          <w:color w:val="auto"/>
        </w:rPr>
      </w:pPr>
    </w:p>
    <w:p>
      <w:pPr>
        <w:ind w:left="460" w:right="360" w:hanging="452"/>
        <w:spacing w:after="0" w:line="308" w:lineRule="auto"/>
        <w:tabs>
          <w:tab w:leader="none" w:pos="4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5" w:lineRule="exact"/>
        <w:rPr>
          <w:rFonts w:ascii="Arial" w:cs="Arial" w:eastAsia="Arial" w:hAnsi="Arial"/>
          <w:sz w:val="18"/>
          <w:szCs w:val="18"/>
          <w:color w:val="auto"/>
        </w:rPr>
      </w:pPr>
    </w:p>
    <w:p>
      <w:pPr>
        <w:ind w:left="900" w:right="140" w:hanging="446"/>
        <w:spacing w:after="0" w:line="277" w:lineRule="auto"/>
        <w:tabs>
          <w:tab w:leader="none" w:pos="9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tabs>
          <w:tab w:leader="none" w:pos="5820" w:val="left"/>
          <w:tab w:leader="none" w:pos="6260" w:val="left"/>
        </w:tabs>
        <w:rPr>
          <w:sz w:val="20"/>
          <w:szCs w:val="20"/>
          <w:color w:val="auto"/>
        </w:rPr>
      </w:pPr>
      <w:r>
        <w:rPr>
          <w:rFonts w:ascii="Arial" w:cs="Arial" w:eastAsia="Arial" w:hAnsi="Arial"/>
          <w:sz w:val="18"/>
          <w:szCs w:val="18"/>
          <w:color w:val="auto"/>
        </w:rPr>
        <w:t>Dated: April 21,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2014 as filed with the Securities and Exchange Commission on the date hereof (the “Form 20-F”), I Ian J. Webber, Chief Executive Officer of the Company, certify, pursuant to 18 U.S.C. §1350, as adopted pursuant to §906 of the Sarbanes-Oxley Act of 2002, that:</w:t>
      </w:r>
    </w:p>
    <w:p>
      <w:pPr>
        <w:spacing w:after="0" w:line="87" w:lineRule="exact"/>
        <w:rPr>
          <w:sz w:val="20"/>
          <w:szCs w:val="20"/>
          <w:color w:val="auto"/>
        </w:rPr>
      </w:pPr>
    </w:p>
    <w:p>
      <w:pPr>
        <w:ind w:left="1480" w:right="60" w:hanging="567"/>
        <w:spacing w:after="0" w:line="277"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21, 2015</w:t>
      </w:r>
      <w:r>
        <w:rPr>
          <w:sz w:val="20"/>
          <w:szCs w:val="20"/>
          <w:color w:val="auto"/>
        </w:rPr>
        <w:tab/>
      </w:r>
      <w:r>
        <w:rPr>
          <w:rFonts w:ascii="Arial" w:cs="Arial" w:eastAsia="Arial" w:hAnsi="Arial"/>
          <w:sz w:val="16"/>
          <w:szCs w:val="16"/>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9"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In connection with the Annual Report of Global Ship Lease, Inc. (the “Company”) on Form 20-F for the year ended December 31, 2014 as filed with the Securities and Exchange Commission on the date hereof (the “Form 20-F”), I Susan J. Cook, Chief Financial Officer of the Company, certify, pursuant to 18 U.S.C. §1350, as adopted pursuant to §906 of the Sarbanes-Oxley Act of 2002, that:</w:t>
      </w:r>
    </w:p>
    <w:p>
      <w:pPr>
        <w:spacing w:after="0" w:line="87" w:lineRule="exact"/>
        <w:rPr>
          <w:sz w:val="20"/>
          <w:szCs w:val="20"/>
          <w:color w:val="auto"/>
        </w:rPr>
      </w:pPr>
    </w:p>
    <w:p>
      <w:pPr>
        <w:ind w:left="1480" w:right="60" w:hanging="567"/>
        <w:spacing w:after="0" w:line="277"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75"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information contained in the Form 20-F fairly presents, in all material respects, the financial condition and results of operations of the Company.</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April 21, 2015</w:t>
      </w:r>
      <w:r>
        <w:rPr>
          <w:sz w:val="20"/>
          <w:szCs w:val="20"/>
          <w:color w:val="auto"/>
        </w:rPr>
        <w:tab/>
      </w:r>
      <w:r>
        <w:rPr>
          <w:rFonts w:ascii="Arial" w:cs="Arial" w:eastAsia="Arial" w:hAnsi="Arial"/>
          <w:sz w:val="16"/>
          <w:szCs w:val="16"/>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20" w:firstLine="913"/>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333-156454) and the Registration Statement on Form F-3 (No. 333-197518-13), each of Global Ship Lease, Inc. of our report dated April 20, 2015 relating to the consolidated financial statements and the effectiveness of internal control over financial reporting, which appears in this Form 20-F.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
      <w:numFmt w:val="bullet"/>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upperLetter"/>
      <w:start w:val="1"/>
    </w:lvl>
  </w:abstractNum>
  <w:abstractNum w:abstractNumId="6">
    <w:nsid w:val="7BD3EE7B"/>
    <w:multiLevelType w:val="hybridMultilevel"/>
    <w:lvl w:ilvl="0">
      <w:lvlJc w:val="left"/>
      <w:lvlText w:val="(%1)"/>
      <w:numFmt w:val="decimal"/>
      <w:start w:val="1"/>
    </w:lvl>
  </w:abstractNum>
  <w:abstractNum w:abstractNumId="7">
    <w:nsid w:val="51D9C564"/>
    <w:multiLevelType w:val="hybridMultilevel"/>
    <w:lvl w:ilvl="0">
      <w:lvlJc w:val="left"/>
      <w:lvlText w:val="(%1)"/>
      <w:numFmt w:val="decimal"/>
      <w:start w:val="3"/>
    </w:lvl>
  </w:abstractNum>
  <w:abstractNum w:abstractNumId="8">
    <w:nsid w:val="613EFDC5"/>
    <w:multiLevelType w:val="hybridMultilevel"/>
    <w:lvl w:ilvl="0">
      <w:lvlJc w:val="left"/>
      <w:lvlText w:val="%1."/>
      <w:numFmt w:val="upperLetter"/>
      <w:start w:val="2"/>
    </w:lvl>
  </w:abstractNum>
  <w:abstractNum w:abstractNumId="9">
    <w:nsid w:val="BF72B14"/>
    <w:multiLevelType w:val="hybridMultilevel"/>
    <w:lvl w:ilvl="0">
      <w:lvlJc w:val="left"/>
      <w:lvlText w:val="%1."/>
      <w:numFmt w:val="upperLetter"/>
      <w:start w:val="3"/>
    </w:lvl>
  </w:abstractNum>
  <w:abstractNum w:abstractNumId="10">
    <w:nsid w:val="11447B73"/>
    <w:multiLevelType w:val="hybridMultilevel"/>
    <w:lvl w:ilvl="0">
      <w:lvlJc w:val="left"/>
      <w:lvlText w:val="%1."/>
      <w:numFmt w:val="upperLetter"/>
      <w:start w:val="4"/>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1."/>
      <w:numFmt w:val="upperLetter"/>
      <w:start w:val="1"/>
    </w:lvl>
  </w:abstractNum>
  <w:abstractNum w:abstractNumId="34">
    <w:nsid w:val="3222E7CD"/>
    <w:multiLevelType w:val="hybridMultilevel"/>
    <w:lvl w:ilvl="0">
      <w:lvlJc w:val="left"/>
      <w:lvlText w:val="%1."/>
      <w:numFmt w:val="upperLetter"/>
      <w:start w:val="2"/>
    </w:lvl>
  </w:abstractNum>
  <w:abstractNum w:abstractNumId="35">
    <w:nsid w:val="74DE0EE3"/>
    <w:multiLevelType w:val="hybridMultilevel"/>
    <w:lvl w:ilvl="0">
      <w:lvlJc w:val="left"/>
      <w:lvlText w:val="(%1)"/>
      <w:numFmt w:val="decimal"/>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1)"/>
      <w:numFmt w:val="decimal"/>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1."/>
      <w:numFmt w:val="upperLetter"/>
      <w:start w:val="3"/>
    </w:lvl>
  </w:abstractNum>
  <w:abstractNum w:abstractNumId="43">
    <w:nsid w:val="43F18422"/>
    <w:multiLevelType w:val="hybridMultilevel"/>
    <w:lvl w:ilvl="0">
      <w:lvlJc w:val="left"/>
      <w:lvlText w:val="%1."/>
      <w:numFmt w:val="upperLetter"/>
      <w:start w:val="4"/>
    </w:lvl>
  </w:abstractNum>
  <w:abstractNum w:abstractNumId="44">
    <w:nsid w:val="60EF0119"/>
    <w:multiLevelType w:val="hybridMultilevel"/>
    <w:lvl w:ilvl="0">
      <w:lvlJc w:val="left"/>
      <w:lvlText w:val="%1."/>
      <w:numFmt w:val="upperLetter"/>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lowerLetter"/>
      <w:start w:val="1"/>
    </w:lvl>
  </w:abstractNum>
  <w:abstractNum w:abstractNumId="47">
    <w:nsid w:val="49DA307D"/>
    <w:multiLevelType w:val="hybridMultilevel"/>
    <w:lvl w:ilvl="0">
      <w:lvlJc w:val="left"/>
      <w:lvlText w:val="•"/>
      <w:numFmt w:val="bullet"/>
      <w:start w:val="1"/>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upperLetter"/>
      <w:start w:val="7"/>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
      <w:numFmt w:val="bullet"/>
      <w:start w:val="1"/>
    </w:lvl>
  </w:abstractNum>
  <w:abstractNum w:abstractNumId="53">
    <w:nsid w:val="6AA78F7F"/>
    <w:multiLevelType w:val="hybridMultilevel"/>
    <w:lvl w:ilvl="0">
      <w:lvlJc w:val="left"/>
      <w:lvlText w:val="•"/>
      <w:numFmt w:val="bullet"/>
      <w:start w:val="1"/>
    </w:lvl>
  </w:abstractNum>
  <w:abstractNum w:abstractNumId="54">
    <w:nsid w:val="7672BD23"/>
    <w:multiLevelType w:val="hybridMultilevel"/>
    <w:lvl w:ilvl="0">
      <w:lvlJc w:val="left"/>
      <w:lvlText w:val="%1."/>
      <w:numFmt w:val="upperLetter"/>
      <w:start w:val="2"/>
    </w:lvl>
  </w:abstractNum>
  <w:abstractNum w:abstractNumId="55">
    <w:nsid w:val="6FC75AF8"/>
    <w:multiLevelType w:val="hybridMultilevel"/>
    <w:lvl w:ilvl="0">
      <w:lvlJc w:val="left"/>
      <w:lvlText w:val="•"/>
      <w:numFmt w:val="bullet"/>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1."/>
      <w:numFmt w:val="upperLetter"/>
      <w:start w:val="3"/>
    </w:lvl>
  </w:abstractNum>
  <w:abstractNum w:abstractNumId="59">
    <w:nsid w:val="73A1821B"/>
    <w:multiLevelType w:val="hybridMultilevel"/>
    <w:lvl w:ilvl="0">
      <w:lvlJc w:val="left"/>
      <w:lvlText w:val="%1."/>
      <w:numFmt w:val="upperLetter"/>
      <w:start w:val="4"/>
    </w:lvl>
  </w:abstractNum>
  <w:abstractNum w:abstractNumId="60">
    <w:nsid w:val="7DE67713"/>
    <w:multiLevelType w:val="hybridMultilevel"/>
    <w:lvl w:ilvl="0">
      <w:lvlJc w:val="left"/>
      <w:lvlText w:val="%1."/>
      <w:numFmt w:val="upperLetter"/>
      <w:start w:val="5"/>
    </w:lvl>
  </w:abstractNum>
  <w:abstractNum w:abstractNumId="61">
    <w:nsid w:val="555C55B5"/>
    <w:multiLevelType w:val="hybridMultilevel"/>
    <w:lvl w:ilvl="0">
      <w:lvlJc w:val="left"/>
      <w:lvlText w:val="%1."/>
      <w:numFmt w:val="upperLetter"/>
      <w:start w:val="6"/>
    </w:lvl>
  </w:abstractNum>
  <w:abstractNum w:abstractNumId="62">
    <w:nsid w:val="3FA62ACA"/>
    <w:multiLevelType w:val="hybridMultilevel"/>
    <w:lvl w:ilvl="0">
      <w:lvlJc w:val="left"/>
      <w:lvlText w:val="(%1)"/>
      <w:numFmt w:val="decimal"/>
      <w:start w:val="1"/>
    </w:lvl>
  </w:abstractNum>
  <w:abstractNum w:abstractNumId="63">
    <w:nsid w:val="14FCE74E"/>
    <w:multiLevelType w:val="hybridMultilevel"/>
    <w:lvl w:ilvl="0">
      <w:lvlJc w:val="left"/>
      <w:lvlText w:val="%1."/>
      <w:numFmt w:val="upperLetter"/>
      <w:start w:val="1"/>
    </w:lvl>
  </w:abstractNum>
  <w:abstractNum w:abstractNumId="64">
    <w:nsid w:val="6A3DD3E8"/>
    <w:multiLevelType w:val="hybridMultilevel"/>
    <w:lvl w:ilvl="0">
      <w:lvlJc w:val="left"/>
      <w:lvlText w:val="%1."/>
      <w:numFmt w:val="upperLetter"/>
      <w:start w:val="2"/>
    </w:lvl>
  </w:abstractNum>
  <w:abstractNum w:abstractNumId="65">
    <w:nsid w:val="71C91298"/>
    <w:multiLevelType w:val="hybridMultilevel"/>
    <w:lvl w:ilvl="0">
      <w:lvlJc w:val="left"/>
      <w:lvlText w:val="%1."/>
      <w:numFmt w:val="upperLetter"/>
      <w:start w:val="3"/>
    </w:lvl>
  </w:abstractNum>
  <w:abstractNum w:abstractNumId="66">
    <w:nsid w:val="9DAF632"/>
    <w:multiLevelType w:val="hybridMultilevel"/>
    <w:lvl w:ilvl="0">
      <w:lvlJc w:val="left"/>
      <w:lvlText w:val="•"/>
      <w:numFmt w:val="bullet"/>
      <w:start w:val="1"/>
    </w:lvl>
  </w:abstractNum>
  <w:abstractNum w:abstractNumId="67">
    <w:nsid w:val="53299938"/>
    <w:multiLevelType w:val="hybridMultilevel"/>
    <w:lvl w:ilvl="0">
      <w:lvlJc w:val="left"/>
      <w:lvlText w:val="%1."/>
      <w:numFmt w:val="upperLetter"/>
      <w:start w:val="4"/>
    </w:lvl>
  </w:abstractNum>
  <w:abstractNum w:abstractNumId="68">
    <w:nsid w:val="1FBFE8E0"/>
    <w:multiLevelType w:val="hybridMultilevel"/>
    <w:lvl w:ilvl="0">
      <w:lvlJc w:val="left"/>
      <w:lvlText w:val="%1."/>
      <w:numFmt w:val="upperLetter"/>
      <w:start w:val="5"/>
    </w:lvl>
  </w:abstractNum>
  <w:abstractNum w:abstractNumId="69">
    <w:nsid w:val="5092CA79"/>
    <w:multiLevelType w:val="hybridMultilevel"/>
    <w:lvl w:ilvl="0">
      <w:lvlJc w:val="left"/>
      <w:lvlText w:val="%1."/>
      <w:numFmt w:val="upperLetter"/>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1)"/>
      <w:numFmt w:val="decimal"/>
      <w:start w:val="1"/>
    </w:lvl>
  </w:abstractNum>
  <w:abstractNum w:abstractNumId="72">
    <w:nsid w:val="288F1A34"/>
    <w:multiLevelType w:val="hybridMultilevel"/>
    <w:lvl w:ilvl="0">
      <w:lvlJc w:val="left"/>
      <w:lvlText w:val="%1."/>
      <w:numFmt w:val="upperLetter"/>
      <w:start w:val="2"/>
    </w:lvl>
  </w:abstractNum>
  <w:abstractNum w:abstractNumId="73">
    <w:nsid w:val="2A155DBC"/>
    <w:multiLevelType w:val="hybridMultilevel"/>
    <w:lvl w:ilvl="0">
      <w:lvlJc w:val="left"/>
      <w:lvlText w:val="%1."/>
      <w:numFmt w:val="upperLetter"/>
      <w:start w:val="1"/>
    </w:lvl>
  </w:abstractNum>
  <w:abstractNum w:abstractNumId="74">
    <w:nsid w:val="1D9F6E5F"/>
    <w:multiLevelType w:val="hybridMultilevel"/>
    <w:lvl w:ilvl="0">
      <w:lvlJc w:val="left"/>
      <w:lvlText w:val="%1."/>
      <w:numFmt w:val="upperLetter"/>
      <w:start w:val="2"/>
    </w:lvl>
  </w:abstractNum>
  <w:abstractNum w:abstractNumId="75">
    <w:nsid w:val="97E1B4E"/>
    <w:multiLevelType w:val="hybridMultilevel"/>
    <w:lvl w:ilvl="0">
      <w:lvlJc w:val="left"/>
      <w:lvlText w:val="%1."/>
      <w:numFmt w:val="upperLetter"/>
      <w:start w:val="1"/>
    </w:lvl>
  </w:abstractNum>
  <w:abstractNum w:abstractNumId="76">
    <w:nsid w:val="51088277"/>
    <w:multiLevelType w:val="hybridMultilevel"/>
    <w:lvl w:ilvl="0">
      <w:lvlJc w:val="left"/>
      <w:lvlText w:val="%1."/>
      <w:numFmt w:val="upperLetter"/>
      <w:start w:val="2"/>
    </w:lvl>
  </w:abstractNum>
  <w:abstractNum w:abstractNumId="77">
    <w:nsid w:val="1CA0C5FA"/>
    <w:multiLevelType w:val="hybridMultilevel"/>
    <w:lvl w:ilvl="0">
      <w:lvlJc w:val="left"/>
      <w:lvlText w:val="%1."/>
      <w:numFmt w:val="upperLetter"/>
      <w:start w:val="3"/>
    </w:lvl>
  </w:abstractNum>
  <w:abstractNum w:abstractNumId="78">
    <w:nsid w:val="53584BCB"/>
    <w:multiLevelType w:val="hybridMultilevel"/>
    <w:lvl w:ilvl="0">
      <w:lvlJc w:val="left"/>
      <w:lvlText w:val="%1."/>
      <w:numFmt w:val="upperLetter"/>
      <w:start w:val="4"/>
    </w:lvl>
  </w:abstractNum>
  <w:abstractNum w:abstractNumId="79">
    <w:nsid w:val="415E286C"/>
    <w:multiLevelType w:val="hybridMultilevel"/>
    <w:lvl w:ilvl="0">
      <w:lvlJc w:val="left"/>
      <w:lvlText w:val="%1."/>
      <w:numFmt w:val="upperLetter"/>
      <w:start w:val="5"/>
    </w:lvl>
  </w:abstractNum>
  <w:abstractNum w:abstractNumId="80">
    <w:nsid w:val="7C58FD05"/>
    <w:multiLevelType w:val="hybridMultilevel"/>
    <w:lvl w:ilvl="0">
      <w:lvlJc w:val="left"/>
      <w:lvlText w:val="•"/>
      <w:numFmt w:val="bullet"/>
      <w:start w:val="1"/>
    </w:lvl>
  </w:abstractNum>
  <w:abstractNum w:abstractNumId="81">
    <w:nsid w:val="23D86AAC"/>
    <w:multiLevelType w:val="hybridMultilevel"/>
    <w:lvl w:ilvl="0">
      <w:lvlJc w:val="left"/>
      <w:lvlText w:val="•"/>
      <w:numFmt w:val="bullet"/>
      <w:start w:val="1"/>
    </w:lvl>
  </w:abstractNum>
  <w:abstractNum w:abstractNumId="82">
    <w:nsid w:val="45E6D486"/>
    <w:multiLevelType w:val="hybridMultilevel"/>
    <w:lvl w:ilvl="0">
      <w:lvlJc w:val="left"/>
      <w:lvlText w:val="(%1)"/>
      <w:numFmt w:val="decimal"/>
      <w:start w:val="2"/>
    </w:lvl>
  </w:abstractNum>
  <w:abstractNum w:abstractNumId="83">
    <w:nsid w:val="5C10FE21"/>
    <w:multiLevelType w:val="hybridMultilevel"/>
    <w:lvl w:ilvl="0">
      <w:lvlJc w:val="left"/>
      <w:lvlText w:val="•"/>
      <w:numFmt w:val="bullet"/>
      <w:start w:val="1"/>
    </w:lvl>
  </w:abstractNum>
  <w:abstractNum w:abstractNumId="84">
    <w:nsid w:val="E7FFA2B"/>
    <w:multiLevelType w:val="hybridMultilevel"/>
    <w:lvl w:ilvl="0">
      <w:lvlJc w:val="left"/>
      <w:lvlText w:val="•"/>
      <w:numFmt w:val="bullet"/>
      <w:start w:val="1"/>
    </w:lvl>
  </w:abstractNum>
  <w:abstractNum w:abstractNumId="85">
    <w:nsid w:val="3C5991AA"/>
    <w:multiLevelType w:val="hybridMultilevel"/>
    <w:lvl w:ilvl="0">
      <w:lvlJc w:val="left"/>
      <w:lvlText w:val="(%1)"/>
      <w:numFmt w:val="decimal"/>
      <w:start w:val="1"/>
    </w:lvl>
  </w:abstractNum>
  <w:abstractNum w:abstractNumId="86">
    <w:nsid w:val="4BD8591A"/>
    <w:multiLevelType w:val="hybridMultilevel"/>
    <w:lvl w:ilvl="0">
      <w:lvlJc w:val="left"/>
      <w:lvlText w:val="%1."/>
      <w:numFmt w:val="upperLetter"/>
      <w:start w:val="6"/>
    </w:lvl>
  </w:abstractNum>
  <w:abstractNum w:abstractNumId="87">
    <w:nsid w:val="78DF6A55"/>
    <w:multiLevelType w:val="hybridMultilevel"/>
    <w:lvl w:ilvl="0">
      <w:lvlJc w:val="left"/>
      <w:lvlText w:val="%1."/>
      <w:numFmt w:val="upperLetter"/>
      <w:start w:val="7"/>
    </w:lvl>
  </w:abstractNum>
  <w:abstractNum w:abstractNumId="88">
    <w:nsid w:val="39B7AAA2"/>
    <w:multiLevelType w:val="hybridMultilevel"/>
    <w:lvl w:ilvl="0">
      <w:lvlJc w:val="left"/>
      <w:lvlText w:val="%1."/>
      <w:numFmt w:val="upperLetter"/>
      <w:start w:val="8"/>
    </w:lvl>
  </w:abstractNum>
  <w:abstractNum w:abstractNumId="89">
    <w:nsid w:val="2B0D8DBE"/>
    <w:multiLevelType w:val="hybridMultilevel"/>
    <w:lvl w:ilvl="0">
      <w:lvlJc w:val="left"/>
      <w:lvlText w:val="•"/>
      <w:numFmt w:val="bullet"/>
      <w:start w:val="1"/>
    </w:lvl>
  </w:abstractNum>
  <w:abstractNum w:abstractNumId="90">
    <w:nsid w:val="6C80EC70"/>
    <w:multiLevelType w:val="hybridMultilevel"/>
    <w:lvl w:ilvl="0">
      <w:lvlJc w:val="left"/>
      <w:lvlText w:val="•"/>
      <w:numFmt w:val="bullet"/>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decimal"/>
      <w:start w:val="1"/>
    </w:lvl>
  </w:abstractNum>
  <w:abstractNum w:abstractNumId="93">
    <w:nsid w:val="2C27173B"/>
    <w:multiLevelType w:val="hybridMultilevel"/>
    <w:lvl w:ilvl="0">
      <w:lvlJc w:val="left"/>
      <w:lvlText w:val="(%1)"/>
      <w:numFmt w:val="lowerLetter"/>
      <w:start w:val="2"/>
    </w:lvl>
  </w:abstractNum>
  <w:abstractNum w:abstractNumId="94">
    <w:nsid w:val="4C9B0904"/>
    <w:multiLevelType w:val="hybridMultilevel"/>
    <w:lvl w:ilvl="0">
      <w:lvlJc w:val="left"/>
      <w:lvlText w:val="(%1)"/>
      <w:numFmt w:val="lowerRoman"/>
      <w:start w:val="1"/>
    </w:lvl>
  </w:abstractNum>
  <w:abstractNum w:abstractNumId="95">
    <w:nsid w:val="6AA7B75C"/>
    <w:multiLevelType w:val="hybridMultilevel"/>
    <w:lvl w:ilvl="0">
      <w:lvlJc w:val="left"/>
      <w:lvlText w:val="%1."/>
      <w:numFmt w:val="decimal"/>
      <w:start w:val="3"/>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3"/>
    </w:lvl>
  </w:abstractNum>
  <w:abstractNum w:abstractNumId="99">
    <w:nsid w:val="3DB012B3"/>
    <w:multiLevelType w:val="hybridMultilevel"/>
    <w:lvl w:ilvl="0">
      <w:lvlJc w:val="left"/>
      <w:lvlText w:val="(%1)"/>
      <w:numFmt w:val="lowerLetter"/>
      <w:start w:val="4"/>
    </w:lvl>
  </w:abstractNum>
  <w:abstractNum w:abstractNumId="100">
    <w:nsid w:val="2708C9AF"/>
    <w:multiLevelType w:val="hybridMultilevel"/>
    <w:lvl w:ilvl="0">
      <w:lvlJc w:val="left"/>
      <w:lvlText w:val="(%1)"/>
      <w:numFmt w:val="lowerLetter"/>
      <w:start w:val="5"/>
    </w:lvl>
  </w:abstractNum>
  <w:abstractNum w:abstractNumId="101">
    <w:nsid w:val="5B25ACE2"/>
    <w:multiLevelType w:val="hybridMultilevel"/>
    <w:lvl w:ilvl="0">
      <w:lvlJc w:val="left"/>
      <w:lvlText w:val="(%1)"/>
      <w:numFmt w:val="lowerLetter"/>
      <w:start w:val="6"/>
    </w:lvl>
  </w:abstractNum>
  <w:abstractNum w:abstractNumId="102">
    <w:nsid w:val="175DFCF0"/>
    <w:multiLevelType w:val="hybridMultilevel"/>
    <w:lvl w:ilvl="0">
      <w:lvlJc w:val="left"/>
      <w:lvlText w:val="%1."/>
      <w:numFmt w:val="decimal"/>
      <w:start w:val="3"/>
    </w:lvl>
    <w:lvl w:ilvl="1">
      <w:lvlJc w:val="left"/>
      <w:lvlText w:val="(%2)"/>
      <w:numFmt w:val="lowerLetter"/>
      <w:start w:val="6"/>
    </w:lvl>
  </w:abstractNum>
  <w:abstractNum w:abstractNumId="103">
    <w:nsid w:val="4F97E3E4"/>
    <w:multiLevelType w:val="hybridMultilevel"/>
    <w:lvl w:ilvl="0">
      <w:lvlJc w:val="left"/>
      <w:lvlText w:val="(%1)"/>
      <w:numFmt w:val="lowerLetter"/>
      <w:start w:val="7"/>
    </w:lvl>
  </w:abstractNum>
  <w:abstractNum w:abstractNumId="104">
    <w:nsid w:val="53B0A9E"/>
    <w:multiLevelType w:val="hybridMultilevel"/>
    <w:lvl w:ilvl="0">
      <w:lvlJc w:val="left"/>
      <w:lvlText w:val="(%1)"/>
      <w:numFmt w:val="lowerLetter"/>
      <w:start w:val="8"/>
    </w:lvl>
  </w:abstractNum>
  <w:abstractNum w:abstractNumId="105">
    <w:nsid w:val="34FD6B4F"/>
    <w:multiLevelType w:val="hybridMultilevel"/>
    <w:lvl w:ilvl="0">
      <w:lvlJc w:val="left"/>
      <w:lvlText w:val="(%1)"/>
      <w:numFmt w:val="lowerRoman"/>
      <w:start w:val="2"/>
    </w:lvl>
  </w:abstractNum>
  <w:abstractNum w:abstractNumId="106">
    <w:nsid w:val="5915FF32"/>
    <w:multiLevelType w:val="hybridMultilevel"/>
    <w:lvl w:ilvl="0">
      <w:lvlJc w:val="left"/>
      <w:lvlText w:val="(%1)"/>
      <w:numFmt w:val="lowerRoman"/>
      <w:start w:val="1"/>
    </w:lvl>
  </w:abstractNum>
  <w:abstractNum w:abstractNumId="107">
    <w:nsid w:val="56438D15"/>
    <w:multiLevelType w:val="hybridMultilevel"/>
    <w:lvl w:ilvl="0">
      <w:lvlJc w:val="left"/>
      <w:lvlText w:val="(%1)"/>
      <w:numFmt w:val="lowerLetter"/>
      <w:start w:val="10"/>
    </w:lvl>
  </w:abstractNum>
  <w:abstractNum w:abstractNumId="108">
    <w:nsid w:val="519E3149"/>
    <w:multiLevelType w:val="hybridMultilevel"/>
    <w:lvl w:ilvl="0">
      <w:lvlJc w:val="left"/>
      <w:lvlText w:val="%1."/>
      <w:numFmt w:val="decimal"/>
      <w:start w:val="3"/>
    </w:lvl>
    <w:lvl w:ilvl="1">
      <w:lvlJc w:val="left"/>
      <w:lvlText w:val="(%2)"/>
      <w:numFmt w:val="lowerLetter"/>
      <w:start w:val="10"/>
    </w:lvl>
  </w:abstractNum>
  <w:abstractNum w:abstractNumId="109">
    <w:nsid w:val="2C6E4AFD"/>
    <w:multiLevelType w:val="hybridMultilevel"/>
    <w:lvl w:ilvl="0">
      <w:lvlJc w:val="left"/>
      <w:lvlText w:val="(%1)"/>
      <w:numFmt w:val="lowerLetter"/>
      <w:start w:val="11"/>
    </w:lvl>
  </w:abstractNum>
  <w:abstractNum w:abstractNumId="110">
    <w:nsid w:val="17A1B582"/>
    <w:multiLevelType w:val="hybridMultilevel"/>
    <w:lvl w:ilvl="0">
      <w:lvlJc w:val="left"/>
      <w:lvlText w:val="%1."/>
      <w:numFmt w:val="decimal"/>
      <w:start w:val="3"/>
    </w:lvl>
    <w:lvl w:ilvl="1">
      <w:lvlJc w:val="left"/>
      <w:lvlText w:val="(%2)"/>
      <w:numFmt w:val="lowerLetter"/>
      <w:start w:val="11"/>
    </w:lvl>
  </w:abstractNum>
  <w:abstractNum w:abstractNumId="111">
    <w:nsid w:val="4DF72E4E"/>
    <w:multiLevelType w:val="hybridMultilevel"/>
    <w:lvl w:ilvl="0">
      <w:lvlJc w:val="left"/>
      <w:lvlText w:val="(%1)"/>
      <w:numFmt w:val="lowerLetter"/>
      <w:start w:val="12"/>
    </w:lvl>
  </w:abstractNum>
  <w:abstractNum w:abstractNumId="112">
    <w:nsid w:val="5046B5A9"/>
    <w:multiLevelType w:val="hybridMultilevel"/>
    <w:lvl w:ilvl="0">
      <w:lvlJc w:val="left"/>
      <w:lvlText w:val="(%1)"/>
      <w:numFmt w:val="lowerLetter"/>
      <w:start w:val="13"/>
    </w:lvl>
  </w:abstractNum>
  <w:abstractNum w:abstractNumId="113">
    <w:nsid w:val="5D888A08"/>
    <w:multiLevelType w:val="hybridMultilevel"/>
    <w:lvl w:ilvl="0">
      <w:lvlJc w:val="left"/>
      <w:lvlText w:val="(%1)"/>
      <w:numFmt w:val="lowerLetter"/>
      <w:start w:val="14"/>
    </w:lvl>
  </w:abstractNum>
  <w:abstractNum w:abstractNumId="114">
    <w:nsid w:val="2A082C70"/>
    <w:multiLevelType w:val="hybridMultilevel"/>
    <w:lvl w:ilvl="0">
      <w:lvlJc w:val="left"/>
      <w:lvlText w:val="(%1)"/>
      <w:numFmt w:val="lowerLetter"/>
      <w:start w:val="15"/>
    </w:lvl>
  </w:abstractNum>
  <w:abstractNum w:abstractNumId="115">
    <w:nsid w:val="5EC6AFD4"/>
    <w:multiLevelType w:val="hybridMultilevel"/>
    <w:lvl w:ilvl="0">
      <w:lvlJc w:val="left"/>
      <w:lvlText w:val="(%1)"/>
      <w:numFmt w:val="lowerLetter"/>
      <w:start w:val="16"/>
    </w:lvl>
  </w:abstractNum>
  <w:abstractNum w:abstractNumId="116">
    <w:nsid w:val="19E21BB2"/>
    <w:multiLevelType w:val="hybridMultilevel"/>
    <w:lvl w:ilvl="0">
      <w:lvlJc w:val="left"/>
      <w:lvlText w:val="%1."/>
      <w:numFmt w:val="decimal"/>
      <w:start w:val="3"/>
    </w:lvl>
    <w:lvl w:ilvl="1">
      <w:lvlJc w:val="left"/>
      <w:lvlText w:val="(%2)"/>
      <w:numFmt w:val="lowerLetter"/>
      <w:start w:val="17"/>
    </w:lvl>
  </w:abstractNum>
  <w:abstractNum w:abstractNumId="117">
    <w:nsid w:val="75E0858A"/>
    <w:multiLevelType w:val="hybridMultilevel"/>
    <w:lvl w:ilvl="0">
      <w:lvlJc w:val="left"/>
      <w:lvlText w:val="(%1)"/>
      <w:numFmt w:val="lowerLetter"/>
      <w:start w:val="18"/>
    </w:lvl>
  </w:abstractNum>
  <w:abstractNum w:abstractNumId="118">
    <w:nsid w:val="57A61A29"/>
    <w:multiLevelType w:val="hybridMultilevel"/>
    <w:lvl w:ilvl="0">
      <w:lvlJc w:val="left"/>
      <w:lvlText w:val="(%1)"/>
      <w:numFmt w:val="lowerLetter"/>
      <w:start w:val="19"/>
    </w:lvl>
  </w:abstractNum>
  <w:abstractNum w:abstractNumId="119">
    <w:nsid w:val="5399C654"/>
    <w:multiLevelType w:val="hybridMultilevel"/>
    <w:lvl w:ilvl="0">
      <w:lvlJc w:val="left"/>
      <w:lvlText w:val="(%1)"/>
      <w:numFmt w:val="lowerLetter"/>
      <w:start w:val="20"/>
    </w:lvl>
  </w:abstractNum>
  <w:abstractNum w:abstractNumId="120">
    <w:nsid w:val="20EE1348"/>
    <w:multiLevelType w:val="hybridMultilevel"/>
    <w:lvl w:ilvl="0">
      <w:lvlJc w:val="left"/>
      <w:lvlText w:val="(%1)"/>
      <w:numFmt w:val="lowerLetter"/>
      <w:start w:val="21"/>
    </w:lvl>
  </w:abstractNum>
  <w:abstractNum w:abstractNumId="121">
    <w:nsid w:val="4427069A"/>
    <w:multiLevelType w:val="hybridMultilevel"/>
    <w:lvl w:ilvl="0">
      <w:lvlJc w:val="left"/>
      <w:lvlText w:val="%1."/>
      <w:numFmt w:val="decimal"/>
      <w:start w:val="3"/>
    </w:lvl>
  </w:abstractNum>
  <w:abstractNum w:abstractNumId="122">
    <w:nsid w:val="B37E80A"/>
    <w:multiLevelType w:val="hybridMultilevel"/>
    <w:lvl w:ilvl="0">
      <w:lvlJc w:val="left"/>
      <w:lvlText w:val="(%1)"/>
      <w:numFmt w:val="lowerRoman"/>
      <w:start w:val="5"/>
    </w:lvl>
  </w:abstractNum>
  <w:abstractNum w:abstractNumId="123">
    <w:nsid w:val="2157F6BC"/>
    <w:multiLevelType w:val="hybridMultilevel"/>
    <w:lvl w:ilvl="0">
      <w:lvlJc w:val="left"/>
      <w:lvlText w:val="(%1)"/>
      <w:numFmt w:val="lowerLetter"/>
      <w:start w:val="23"/>
    </w:lvl>
  </w:abstractNum>
  <w:abstractNum w:abstractNumId="124">
    <w:nsid w:val="704E1DD5"/>
    <w:multiLevelType w:val="hybridMultilevel"/>
    <w:lvl w:ilvl="0">
      <w:lvlJc w:val="left"/>
      <w:lvlText w:val="(%1)"/>
      <w:numFmt w:val="lowerRoman"/>
      <w:start w:val="10"/>
    </w:lvl>
  </w:abstractNum>
  <w:abstractNum w:abstractNumId="125">
    <w:nsid w:val="57D2F10E"/>
    <w:multiLevelType w:val="hybridMultilevel"/>
    <w:lvl w:ilvl="0">
      <w:lvlJc w:val="left"/>
      <w:lvlText w:val="(%1)"/>
      <w:numFmt w:val="lowerLetter"/>
      <w:start w:val="25"/>
    </w:lvl>
  </w:abstractNum>
  <w:abstractNum w:abstractNumId="126">
    <w:nsid w:val="BFFAE18"/>
    <w:multiLevelType w:val="hybridMultilevel"/>
    <w:lvl w:ilvl="0">
      <w:lvlJc w:val="left"/>
      <w:lvlText w:val="%1."/>
      <w:numFmt w:val="decimal"/>
      <w:start w:val="6"/>
    </w:lvl>
  </w:abstractNum>
  <w:abstractNum w:abstractNumId="127">
    <w:nsid w:val="E3E47A8"/>
    <w:multiLevelType w:val="hybridMultilevel"/>
    <w:lvl w:ilvl="0">
      <w:lvlJc w:val="left"/>
      <w:lvlText w:val="%1."/>
      <w:numFmt w:val="decimal"/>
      <w:start w:val="8"/>
    </w:lvl>
  </w:abstractNum>
  <w:abstractNum w:abstractNumId="128">
    <w:nsid w:val="2E48F044"/>
    <w:multiLevelType w:val="hybridMultilevel"/>
    <w:lvl w:ilvl="0">
      <w:lvlJc w:val="left"/>
      <w:lvlText w:val="%1)"/>
      <w:numFmt w:val="lowerLetter"/>
      <w:start w:val="1"/>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lowerLetter"/>
      <w:start w:val="2"/>
    </w:lvl>
  </w:abstractNum>
  <w:abstractNum w:abstractNumId="131">
    <w:nsid w:val="5551B9F3"/>
    <w:multiLevelType w:val="hybridMultilevel"/>
    <w:lvl w:ilvl="0">
      <w:lvlJc w:val="left"/>
      <w:lvlText w:val="%1)"/>
      <w:numFmt w:val="lowerLetter"/>
      <w:start w:val="3"/>
    </w:lvl>
  </w:abstractNum>
  <w:abstractNum w:abstractNumId="132">
    <w:nsid w:val="24F6AB8E"/>
    <w:multiLevelType w:val="hybridMultilevel"/>
    <w:lvl w:ilvl="0">
      <w:lvlJc w:val="left"/>
      <w:lvlText w:val="%1)"/>
      <w:numFmt w:val="lowerLetter"/>
      <w:start w:val="3"/>
    </w:lvl>
  </w:abstractNum>
  <w:abstractNum w:abstractNumId="133">
    <w:nsid w:val="634C574C"/>
    <w:multiLevelType w:val="hybridMultilevel"/>
    <w:lvl w:ilvl="0">
      <w:lvlJc w:val="left"/>
      <w:lvlText w:val="•"/>
      <w:numFmt w:val="bullet"/>
      <w:start w:val="1"/>
    </w:lvl>
  </w:abstractNum>
  <w:abstractNum w:abstractNumId="134">
    <w:nsid w:val="24E99DD7"/>
    <w:multiLevelType w:val="hybridMultilevel"/>
    <w:lvl w:ilvl="0">
      <w:lvlJc w:val="left"/>
      <w:lvlText w:val="(%1)"/>
      <w:numFmt w:val="lowerRoman"/>
      <w:start w:val="1"/>
    </w:lvl>
  </w:abstractNum>
  <w:abstractNum w:abstractNumId="135">
    <w:nsid w:val="2A31B62D"/>
    <w:multiLevelType w:val="hybridMultilevel"/>
    <w:lvl w:ilvl="0">
      <w:lvlJc w:val="left"/>
      <w:lvlText w:val="%1."/>
      <w:numFmt w:val="decimal"/>
      <w:start w:val="1"/>
    </w:lvl>
  </w:abstractNum>
  <w:abstractNum w:abstractNumId="136">
    <w:nsid w:val="1849C29B"/>
    <w:multiLevelType w:val="hybridMultilevel"/>
    <w:lvl w:ilvl="0">
      <w:lvlJc w:val="left"/>
      <w:lvlText w:val="%1."/>
      <w:numFmt w:val="decimal"/>
      <w:start w:val="5"/>
    </w:lvl>
  </w:abstractNum>
  <w:abstractNum w:abstractNumId="137">
    <w:nsid w:val="7DFF9D09"/>
    <w:multiLevelType w:val="hybridMultilevel"/>
    <w:lvl w:ilvl="0">
      <w:lvlJc w:val="left"/>
      <w:lvlText w:val="%1."/>
      <w:numFmt w:val="decimal"/>
      <w:start w:val="1"/>
    </w:lvl>
  </w:abstractNum>
  <w:abstractNum w:abstractNumId="138">
    <w:nsid w:val="754342"/>
    <w:multiLevelType w:val="hybridMultilevel"/>
    <w:lvl w:ilvl="0">
      <w:lvlJc w:val="left"/>
      <w:lvlText w:val="%1."/>
      <w:numFmt w:val="decimal"/>
      <w:start w:val="5"/>
    </w:lvl>
  </w:abstractNum>
  <w:abstractNum w:abstractNumId="139">
    <w:nsid w:val="69E7F3E5"/>
    <w:multiLevelType w:val="hybridMultilevel"/>
    <w:lvl w:ilvl="0">
      <w:lvlJc w:val="left"/>
      <w:lvlText w:val="%1."/>
      <w:numFmt w:val="decimal"/>
      <w:start w:val="1"/>
    </w:lvl>
    <w:lvl w:ilvl="1">
      <w:lvlJc w:val="left"/>
      <w:lvlText w:val="%2)"/>
      <w:numFmt w:val="lowerLetter"/>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2019-12-08T20:31:39Z</dcterms:created>
  <dcterms:modified xsi:type="dcterms:W3CDTF">2019-12-08T20:31:39Z</dcterms:modified>
</cp:coreProperties>
</file>