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3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Date of Report: November 14, 2012</w:t>
      </w:r>
    </w:p>
    <w:p>
      <w:pPr>
        <w:spacing w:after="0" w:line="17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p>
      <w:pPr>
        <w:ind w:right="3840"/>
        <w:spacing w:after="0" w:line="229"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37" w:lineRule="exact"/>
        <w:rPr>
          <w:sz w:val="24"/>
          <w:szCs w:val="24"/>
          <w:color w:val="auto"/>
        </w:rPr>
      </w:pPr>
    </w:p>
    <w:p>
      <w:pPr>
        <w:ind w:right="376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S-I Rule 101 (b)(1).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720"/>
        <w:spacing w:after="0" w:line="229"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 (b)(7).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Attached hereto as Exhibit I is a press release dated November 14, 2012 of Global Ship Lease, Inc. (the “Company”) reporting the Company’s financial results for the third quarter of 2012. Attached hereto as Exhibit II are the Company’s interim unaudited consolidated financial statements for the nine month period ended September 30, 2012. Attached as Exhibit III is the waiver letter relating to the Company’s credit facility.</w:t>
      </w: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6140" w:val="left"/>
          <w:tab w:leader="none" w:pos="8080" w:val="left"/>
          <w:tab w:leader="none" w:pos="8420" w:val="left"/>
        </w:tabs>
        <w:rPr>
          <w:sz w:val="20"/>
          <w:szCs w:val="20"/>
          <w:color w:val="auto"/>
        </w:rPr>
      </w:pPr>
      <w:r>
        <w:rPr>
          <w:rFonts w:ascii="Arial" w:cs="Arial" w:eastAsia="Arial" w:hAnsi="Arial"/>
          <w:sz w:val="18"/>
          <w:szCs w:val="18"/>
          <w:color w:val="auto"/>
        </w:rPr>
        <w:t>Date: 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120"/>
          </w:cols>
          <w:pgMar w:left="240" w:top="274"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Burke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Third Quarter of 2012</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LONDON, ENGLAND — November 14, 2012 </w:t>
      </w:r>
      <w:r>
        <w:rPr>
          <w:rFonts w:ascii="Arial" w:cs="Arial" w:eastAsia="Arial" w:hAnsi="Arial"/>
          <w:sz w:val="18"/>
          <w:szCs w:val="18"/>
          <w:color w:val="auto"/>
        </w:rPr>
        <w:t>- 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and nine months ended September 30,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Year To Date Highlights</w:t>
      </w:r>
    </w:p>
    <w:p>
      <w:pPr>
        <w:spacing w:after="0" w:line="96" w:lineRule="exact"/>
        <w:rPr>
          <w:sz w:val="20"/>
          <w:szCs w:val="20"/>
          <w:color w:val="auto"/>
        </w:rPr>
      </w:pPr>
    </w:p>
    <w:p>
      <w:pPr>
        <w:jc w:val="both"/>
        <w:ind w:right="220" w:firstLine="8"/>
        <w:spacing w:after="0" w:line="298"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revenue of $39.5 million for the third quarter 2012, up from $38.7 million for the third quarter 2011 mainly due to improved utilization from 47 less days offhire in the third quarter 2012 from fewer drydockings. Revenue for the nine months ended September 30, 2012 was $117.0 million compared to $116.6 million for the nine months ended September 30, 2011. There were 82 days offhire in nine months to September 30, 2012, of which 72 were for planned drydockings, compared to a total of 94 days offhire in the same period for 2011, of which 88 were for planned drydockings</w:t>
      </w:r>
    </w:p>
    <w:p>
      <w:pPr>
        <w:spacing w:after="0" w:line="112" w:lineRule="exact"/>
        <w:rPr>
          <w:rFonts w:ascii="Arial" w:cs="Arial" w:eastAsia="Arial" w:hAnsi="Arial"/>
          <w:sz w:val="16"/>
          <w:szCs w:val="16"/>
          <w:color w:val="auto"/>
        </w:rPr>
      </w:pPr>
    </w:p>
    <w:p>
      <w:pPr>
        <w:ind w:right="22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$8.3 million for the third quarter 2012, after a $1.5 million non-cash interest rate derivative mark-to-market gain. For the third quarter 2011 the reported net loss was $0.9 million, after a $6.1 million non-cash mark-to-market loss. Normalized net income</w:t>
      </w:r>
      <w:r>
        <w:rPr>
          <w:rFonts w:ascii="Arial" w:cs="Arial" w:eastAsia="Arial" w:hAnsi="Arial"/>
          <w:sz w:val="11"/>
          <w:szCs w:val="11"/>
          <w:color w:val="auto"/>
        </w:rPr>
        <w:t>(1)</w:t>
      </w:r>
      <w:r>
        <w:rPr>
          <w:rFonts w:ascii="Arial" w:cs="Arial" w:eastAsia="Arial" w:hAnsi="Arial"/>
          <w:sz w:val="18"/>
          <w:szCs w:val="18"/>
          <w:color w:val="auto"/>
        </w:rPr>
        <w:t xml:space="preserve"> was $6.9 million for the third quarter 2012 compared to $5.2 million for the third quarter 2011, which excludes the mark-to-market items</w:t>
      </w:r>
    </w:p>
    <w:p>
      <w:pPr>
        <w:spacing w:after="0" w:line="140" w:lineRule="exact"/>
        <w:rPr>
          <w:rFonts w:ascii="Arial" w:cs="Arial" w:eastAsia="Arial" w:hAnsi="Arial"/>
          <w:sz w:val="18"/>
          <w:szCs w:val="18"/>
          <w:color w:val="auto"/>
        </w:rPr>
      </w:pPr>
    </w:p>
    <w:p>
      <w:pPr>
        <w:ind w:right="10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nine months ended September 30, 2012, reported net income was $23.8 million, after a $5.1 million non-cash mark-to-market gain. The net loss of $1.8 million for the nine months ended September 30, 2011 was after a $13.6 million impairment charge relating to the fair value of purchase options on two vessels and a non-cash interest rate derivative mark-to-market loss of $4.9 million. Normalized net income for the nine months ended September 30, 2012 was $18.7 million, up from $16.8 million for the nine months September 30, 2011</w:t>
      </w:r>
    </w:p>
    <w:p>
      <w:pPr>
        <w:spacing w:after="0" w:line="143" w:lineRule="exact"/>
        <w:rPr>
          <w:rFonts w:ascii="Arial" w:cs="Arial" w:eastAsia="Arial" w:hAnsi="Arial"/>
          <w:sz w:val="18"/>
          <w:szCs w:val="18"/>
          <w:color w:val="auto"/>
        </w:rPr>
      </w:pPr>
    </w:p>
    <w:p>
      <w:pPr>
        <w:ind w:right="380" w:firstLine="8"/>
        <w:spacing w:after="0" w:line="332"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$26.9 million of Adjusted EBITDA</w:t>
      </w:r>
      <w:r>
        <w:rPr>
          <w:rFonts w:ascii="Arial" w:cs="Arial" w:eastAsia="Arial" w:hAnsi="Arial"/>
          <w:sz w:val="10"/>
          <w:szCs w:val="10"/>
          <w:color w:val="auto"/>
        </w:rPr>
        <w:t>(1)</w:t>
      </w:r>
      <w:r>
        <w:rPr>
          <w:rFonts w:ascii="Arial" w:cs="Arial" w:eastAsia="Arial" w:hAnsi="Arial"/>
          <w:sz w:val="16"/>
          <w:szCs w:val="16"/>
          <w:color w:val="auto"/>
        </w:rPr>
        <w:t xml:space="preserve"> for the third quarter 2012, up from $25.2 million for the third quarter 2011. Adjusted EBITDA for the nine months ended September 30, 2012 was $78.9 million, up from $77.1 million for the nine months ended September 30, 2011</w:t>
      </w:r>
    </w:p>
    <w:p>
      <w:pPr>
        <w:spacing w:after="0" w:line="85" w:lineRule="exact"/>
        <w:rPr>
          <w:rFonts w:ascii="Arial" w:cs="Arial" w:eastAsia="Arial" w:hAnsi="Arial"/>
          <w:sz w:val="16"/>
          <w:szCs w:val="16"/>
          <w:color w:val="auto"/>
        </w:rPr>
      </w:pPr>
    </w:p>
    <w:p>
      <w:pPr>
        <w:ind w:right="8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New charters for two 4,113 TEU vessels commenced on September 20 and September 21, 2012 immediately on expiry of previous charters at $9,962 per vessel per day expiring May 23, 2013 plus/minus 22 days at charterer’s option</w:t>
      </w:r>
    </w:p>
    <w:p>
      <w:pPr>
        <w:spacing w:after="0" w:line="131" w:lineRule="exact"/>
        <w:rPr>
          <w:rFonts w:ascii="Arial" w:cs="Arial" w:eastAsia="Arial" w:hAnsi="Arial"/>
          <w:sz w:val="18"/>
          <w:szCs w:val="18"/>
          <w:color w:val="auto"/>
        </w:rPr>
      </w:pPr>
    </w:p>
    <w:p>
      <w:pPr>
        <w:ind w:right="460" w:firstLine="8"/>
        <w:spacing w:after="0" w:line="268"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with lenders to waive the requirement to test the Leverage Ratio until December 1, 2014 and also to include all secured vessels in the test, whether subject to a charter or not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80" w:right="239" w:bottom="1440" w:gutter="0" w:footer="0" w:header="0"/>
        </w:sectPr>
      </w:pPr>
    </w:p>
    <w:bookmarkStart w:id="3" w:name="page4"/>
    <w:bookmarkEnd w:id="3"/>
    <w:p>
      <w:pPr>
        <w:ind w:right="40" w:firstLine="8"/>
        <w:spacing w:after="0" w:line="268" w:lineRule="auto"/>
        <w:tabs>
          <w:tab w:leader="none" w:pos="102"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Repaid $23.0 million of bank debt during the third quarter of 2012; repaid $46.9 million in the nine months ended September 30, 2012 and $162.3 million since the fourth quarter 2009</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Ian Webber, Chief Executive Officer of Global Ship Lease, stated, “We generated strong results for the third quarter, despite challenging conditions in the container shipping industry. We successfully maintained our entire fleet on charters during the quarter including two charter renewals, enabling us to achieve utilization of 99.2% and EBITDA of $26.9 million. With contracted revenue for our 17 vessels of $1.1 billion and an average remaining charter term of 7.6 years, we are optimistic about the outlook for our business.”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Webber continued, “We repaid $23 million of debt during the third quarter, further strengthening our balance sheet. Net bank debt at September 30, 2012 was $407.4 million and trailing 12 months Adjusted EBITDA was $105.4 million giving a net bank debt to Adjusted EBITDA ratio of 3.9. Due to continued pressure on asset values, we proactively approached our bank group to secure a waiver from our upcoming loan-to-value test due November 30, 2012. Our stable business model has enabled us to agree with our lenders to suspend this requirement for a further two years. With the new waiver in place, we have no exposure to the volatility of asset values and will continue to deploy our strong cash flow to aggressively repay debt. Importantly, the Leverage Ratio has no direct impact on our ability to generate stable revenue and predictable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32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14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Three</w:t>
            </w:r>
          </w:p>
        </w:tc>
        <w:tc>
          <w:tcPr>
            <w:tcW w:w="1400" w:type="dxa"/>
            <w:vAlign w:val="bottom"/>
            <w:gridSpan w:val="2"/>
            <w:vMerge w:val="restart"/>
          </w:tcPr>
          <w:p>
            <w:pPr>
              <w:jc w:val="center"/>
              <w:ind w:right="620"/>
              <w:spacing w:after="0"/>
              <w:rPr>
                <w:sz w:val="20"/>
                <w:szCs w:val="20"/>
                <w:color w:val="auto"/>
              </w:rPr>
            </w:pPr>
            <w:r>
              <w:rPr>
                <w:rFonts w:ascii="Arial" w:cs="Arial" w:eastAsia="Arial" w:hAnsi="Arial"/>
                <w:sz w:val="14"/>
                <w:szCs w:val="14"/>
                <w:color w:val="auto"/>
                <w:w w:val="81"/>
              </w:rPr>
              <w:t>Three</w:t>
            </w:r>
          </w:p>
        </w:tc>
        <w:tc>
          <w:tcPr>
            <w:tcW w:w="14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Nine</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23"/>
        </w:trPr>
        <w:tc>
          <w:tcPr>
            <w:tcW w:w="53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months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7"/>
              </w:rPr>
              <w:t>months</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months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2"/>
              </w:rPr>
              <w:t>ended</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4"/>
              </w:rPr>
              <w:t>September 30,</w:t>
            </w:r>
          </w:p>
        </w:tc>
        <w:tc>
          <w:tcPr>
            <w:tcW w:w="14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61"/>
        </w:trPr>
        <w:tc>
          <w:tcPr>
            <w:tcW w:w="53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39,454</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38,676</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117,037</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16,761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15,046</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48,583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8,343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(935)</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23,807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Adjusted EBITDA (1)</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26,905</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25,163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78,860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77,124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 (1)</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6,851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5,155</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18,732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17 vessel fleet generated revenue from fixed rate long-term time charters of $39.5 million in the three months ended September 30, 2012, up $0.8 million on revenue of $38.7 million for the comparative period in 2011 mainly due to improved utilization from 47 days less offhire from fewer drydockings. During the three months ended September 30, 2012, there were 1,564 ownership days, the same as the comparable period in 2011. The 12 days offhire in the three months ended September 30, 2012, all for planned drydockings, gives a utilization of 99.2. In the comparable period of 2011, there were 59 days offhire, including 58 for planned drydockings and one unplanned day offhire, for utilization of 96.2%.</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280" w:right="279" w:bottom="1440" w:gutter="0" w:footer="0" w:header="0"/>
        </w:sectPr>
      </w:pPr>
    </w:p>
    <w:bookmarkStart w:id="4" w:name="page5"/>
    <w:bookmarkEnd w:id="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nine months ended September 30, 2012, revenue was $117.0 million, up $0.4 million on revenue of $116.6 million in the comparative period, mainly due to 12 fewer days offhire and 17 additional ownership days in 2012 due to the leap year.</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table below shows fleet utilization for the three and nine months ended September 30, 2012 and 2011 and for the years ended December 31, 2011,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color w:val="auto"/>
                <w:w w:val="91"/>
              </w:rPr>
              <w:t>Three months ended</w:t>
            </w:r>
          </w:p>
        </w:tc>
        <w:tc>
          <w:tcPr>
            <w:tcW w:w="1680" w:type="dxa"/>
            <w:vAlign w:val="bottom"/>
            <w:gridSpan w:val="4"/>
          </w:tcPr>
          <w:p>
            <w:pPr>
              <w:jc w:val="right"/>
              <w:ind w:right="500"/>
              <w:spacing w:after="0"/>
              <w:rPr>
                <w:sz w:val="20"/>
                <w:szCs w:val="20"/>
                <w:color w:val="auto"/>
              </w:rPr>
            </w:pPr>
            <w:r>
              <w:rPr>
                <w:rFonts w:ascii="Arial" w:cs="Arial" w:eastAsia="Arial" w:hAnsi="Arial"/>
                <w:sz w:val="14"/>
                <w:szCs w:val="14"/>
                <w:color w:val="auto"/>
                <w:w w:val="95"/>
              </w:rPr>
              <w:t>Nine months ended</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86"/>
              </w:rPr>
              <w:t>Dec 31,</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w w:val="86"/>
              </w:rPr>
              <w:t>Dec 31,</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31"/>
        </w:trPr>
        <w:tc>
          <w:tcPr>
            <w:tcW w:w="300" w:type="dxa"/>
            <w:vAlign w:val="bottom"/>
            <w:vMerge w:val="restart"/>
          </w:tcPr>
          <w:p>
            <w:pPr>
              <w:spacing w:after="0"/>
              <w:rPr>
                <w:sz w:val="20"/>
                <w:szCs w:val="20"/>
                <w:color w:val="auto"/>
              </w:rPr>
            </w:pPr>
            <w:r>
              <w:rPr>
                <w:rFonts w:ascii="Arial" w:cs="Arial" w:eastAsia="Arial" w:hAnsi="Arial"/>
                <w:sz w:val="14"/>
                <w:szCs w:val="14"/>
                <w:color w:val="auto"/>
                <w:w w:val="87"/>
              </w:rPr>
              <w:t>Days</w:t>
            </w:r>
          </w:p>
        </w:tc>
        <w:tc>
          <w:tcPr>
            <w:tcW w:w="5440" w:type="dxa"/>
            <w:vAlign w:val="bottom"/>
            <w:vMerge w:val="restart"/>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0"/>
              </w:rPr>
              <w:t>Sept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0"/>
              </w:rPr>
              <w:t>Sept 30,</w:t>
            </w:r>
          </w:p>
        </w:tc>
        <w:tc>
          <w:tcPr>
            <w:tcW w:w="36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80"/>
              <w:spacing w:after="0" w:line="131" w:lineRule="exact"/>
              <w:rPr>
                <w:sz w:val="20"/>
                <w:szCs w:val="20"/>
                <w:color w:val="auto"/>
              </w:rPr>
            </w:pPr>
            <w:r>
              <w:rPr>
                <w:rFonts w:ascii="Arial" w:cs="Arial" w:eastAsia="Arial" w:hAnsi="Arial"/>
                <w:sz w:val="14"/>
                <w:szCs w:val="14"/>
                <w:color w:val="auto"/>
                <w:w w:val="84"/>
              </w:rPr>
              <w:t>Sept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Sept 30,</w:t>
            </w:r>
          </w:p>
        </w:tc>
        <w:tc>
          <w:tcPr>
            <w:tcW w:w="3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0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4"/>
                <w:szCs w:val="14"/>
                <w:color w:val="auto"/>
              </w:rPr>
            </w:pPr>
          </w:p>
        </w:tc>
        <w:tc>
          <w:tcPr>
            <w:tcW w:w="460" w:type="dxa"/>
            <w:vAlign w:val="bottom"/>
          </w:tcPr>
          <w:p>
            <w:pPr>
              <w:jc w:val="right"/>
              <w:ind w:right="18"/>
              <w:spacing w:after="0" w:line="146"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Ownership days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1,564</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1,564</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4,658</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4,641</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6,205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6,205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5,968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1,552</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1,505</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4,576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4,547</w:t>
            </w:r>
          </w:p>
        </w:tc>
        <w:tc>
          <w:tcPr>
            <w:tcW w:w="3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6,099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6,202</w:t>
            </w:r>
          </w:p>
        </w:tc>
        <w:tc>
          <w:tcPr>
            <w:tcW w:w="3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5,894</w:t>
            </w: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drydocking of five vessels had been completed in the nine months ended September 30, 2012. One further drydocking is anticipated before December 31, 2012 for a total of six vessels to be drydocked in the year. Three drydockings are scheduled for 2013, two in 2014, and none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Vessel operating expenses, which include costs of crew, lubricating oil, spares and insurance, were $11.2 million for the three months ended September 30, 2012. The average cost per ownership day was $7,159 down $249 or 3.4% on $7,408 for the rolling four quarters ended June 30, 2012. Increased spend on repairs, maintenance and supplies have been offset by a benefit from exchange rate movements on costs denominated in euros, fewer insurance deductibles and lower expenses from fewer drydockings. The third quarter 2012 average daily cost was down $354 or 4.7% from the average daily cost of $7,513 for the third quarter 2011 for broadly the same reasons.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2012 vessel operating expenses were essentially flat at $34.1 million or an average of $7,315 per day compared to</w:t>
      </w:r>
    </w:p>
    <w:p>
      <w:pPr>
        <w:spacing w:after="0" w:line="38"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$34.0 million in the comparative period or $7,337 per day. Increased spend on repairs, maintenance and supplies has been offset by benefits from exchange rate movements on costs denominated in euros, fewer insurance deductibles and less expense for bunkers consumed during unplanned offhire.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September 30, 2012 was $10.1 million, the same as in the comparative period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nine months ended September 30, 2012 was $30.3 million, compared to $30.1 million in the comparative period of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General and administrative costs were $1.4 million in the three months ended September 30, 2012, compared to $1.8 million in the third quarter of 2011 with the reduction due mainly to lower legal and professional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nine months ended September 30, 2012, general and administrative costs were $4.3 million compared to $5.6 million for 2011. The reduction is due mainly to lower legal and professional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 year to date Third Quarter 2011</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Purchase options in the Company’s favor to purchase two 4,250 TEU newbuildings at the end of 2011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obtaining committed finance on acceptable terms was going to be challenging, the Company wrote off the intangible assets relating to these purchase options in the Third Quarter 2011 and allowed the purchase options to expire.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September 30, 2012 was $68,000 compared to $38,000 in the third quarter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2012, other operating income was $0.2 million, the same as for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result of the above, Adjusted EBITDA was $26.9 million for the three months ended September 30, 2012 up $1.7 million from $25.2 million for the three months ended September 30,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nine months ended September 30, 2012 was $78.9 million, up $1.8 million from $77.1 million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expense, excluding the effect of interest rate derivatives, for the three months ended September 30, 2012 was $5.3 million. The Company’s borrowings under its credit facility averaged $459.8 million during the three months ended September 30, 2012. On July 23, 2012 in connection with the agreement regarding the new charters for the Ville d’Orion and Ville d’Aquarius, $3.0 million preferred shares were redeemed from the proceeds of warrants exercised in 2008 and which could only be used for this purpose. The average amount of preferred shares outstanding throughout the three months ended September 30, 2012 was $45.7 million, giving total average borrowings through the period of $505.5 million. Interest expense of $4.8 million in the comparative period in 2011 was lower due to a lower applicable margin, on average borrowings, including the preferred shares, of $557.0 million.</w:t>
      </w:r>
    </w:p>
    <w:p>
      <w:pPr>
        <w:spacing w:after="0" w:line="120"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For the nine months ended September 30, 2012, interest expense, excluding the effect of interest rate derivatives, was $16.1 million. The Company’s borrowings under its credit facility and including the preferred shares, averaged $518.9 million during the nine months ended September 30, 2012. Interest expense for the nine months ended September 30, 2011 was $15.4 million based on average borrowings in that period, including the preferred shares, of $568.1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nine months ended September 30, 2012 and 2011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marked-to-market at each period end with any change in the fair value being booked to the income and expenditure account.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80" w:right="239" w:bottom="1440" w:gutter="0" w:footer="0" w:header="0"/>
        </w:sectPr>
      </w:pPr>
    </w:p>
    <w:bookmarkStart w:id="6" w:name="page7"/>
    <w:bookmarkEnd w:id="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derivative hedging instruments gave a realized loss of $4.6 million in the three months ended September 30, 2012 for settlements of swaps in the period, as current LIBOR rates are lower than the average fixed rates. Further, there was a $1.5 million unrealized gain for revaluation of the balance sheet position given current LIBOR and movements in the forward curve for interest rates. This compares to a realized loss of $5.0 million for the settlement of swaps and an unrealized mark-to-market loss of $6.1 million in the three months ended September 30, 2011.</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nine months ended September 30, 2012, the realized loss from hedges was $13.7 million and the unrealized gain was $5.1 million. This compares to a realized loss of $14.6 million and an unrealized loss of $4.9 million in the nine months ended September 30, 2011.</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September 30, 2012, interest rate derivatives totaled $580.0 million against floating rate debt of $481.7 million, including the preferred shares. As a consequence, the Company is over hedged which arises from accelerated amortization of the credit facility debt and not incurring additional floating rate debt anticipated to be drawn in connection with the originally intended purchases of the two 4,250 TEU vessels at the end of 2011. $253.0 million of the interest rate derivatives at a fixed rate of 3.40% expire mid March 2013. The total mark-to-market unrealized loss recognized as a liability on the balance sheet at September 30, 2012 was $40.2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September 30, 2012 was $22,000, compared to $191,000 in the third quarter of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nine months ended September 30, 2012 was $0.1 million, compared to $0.3 million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income for the three months ended September 30, 2012 was $8.3 million after $1.5 million non-cash interest rate derivative mark-to-market gain. For the three months ended September 30, 2011 net loss was $0.9 million, after $6.1 million non-cash interest rate derivative mark-to-market loss. Normalized net income was $6.9 million for the three months ended September 30, 2012 and $5.2 million for the three months ended September 30, 2011, which excludes the effect of the non-cash interest rate derivative mark-to-market gains or losses.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income was $23.8 million for the nine months ended September 30, 2012 after a $5.1 million non-cash interest rate derivative mark-to-market gain. For the nine months ended September 30, 2011, net loss was $1.8 million after the $13.6 million non-cash impairment charge and a $4.9 million non-cash interest rate derivative mark-to-market loss. Normalized net income was $18.7 million for the nine months ended September 30, 2012 and $16.8 million for the nine months ended September 30,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 In November 2011 the Company agreed with its lenders to waive the requirement to perform the Leverage Ratio test until November 30, 2012.</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00"/>
          </w:cols>
          <w:pgMar w:left="240" w:top="280" w:right="359" w:bottom="1440" w:gutter="0" w:footer="0" w:header="0"/>
        </w:sectPr>
      </w:pPr>
    </w:p>
    <w:bookmarkStart w:id="7" w:name="page8"/>
    <w:bookmarkEnd w:id="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to the continuing excess supply of capacity, there has been a decline in charter free market values of containerships in recent months. The Company anticipated that the Leverage Ratio as at November 30, 2012 would, if tested, exceed 75%. Therefore, it has agreed with its lenders a further waiver for two years of the requirement to perform the Leverage Ratio test. The next scheduled test will be as at December 1, 2014. During the waiver period, the fixed interest margin to be paid over LIBOR will be 3.75%, prepayments will be based on cash flow, subject to a minimum of $40 million on a rolling 12 month basis, rather than a fixed amount, and dividends on common shares cannot be paid. It has also been agreed that all secured vessels will be included in the Leverage Ratio test, whether they are subject to a charter or not.</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three months ended September 30, 2012 a total of $23.0 million of debt was prepaid leaving a balance outstanding of $436.8 million. In the nine months ended September 30, 2012 a total of $46.9 million of debt was prepaid.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agreement with CMA CGM in July 2012, granting the Company the right but not the obligation to enter new charters of Ville d’Orion and Ville d’Aquarius on the expiry of the then current charters, the Company redeemed $3.0 million of preferred shares held by CMA CGM, out of restricted class derived from the exercise of warrants in 2008 and for which the sole use is the redemption of these preferred shares. The remaining balance outstanding of preferred shares is $45.0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Under the terms of the waivers of the requirement to perform the Leverage Ratio test, Global Ship Lease is not currently able to pay a dividend on common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September 30, 2012, about the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Remaining</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Capacity</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2"/>
              </w:rPr>
              <w:t>Purchase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Charter</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in TEUs</w:t>
            </w:r>
          </w:p>
        </w:tc>
        <w:tc>
          <w:tcPr>
            <w:tcW w:w="7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0"/>
                <w:szCs w:val="10"/>
                <w:b w:val="1"/>
                <w:bCs w:val="1"/>
                <w:color w:val="auto"/>
              </w:rPr>
              <w:t xml:space="preserve">Term </w:t>
            </w:r>
            <w:r>
              <w:rPr>
                <w:rFonts w:ascii="Arial" w:cs="Arial" w:eastAsia="Arial" w:hAnsi="Arial"/>
                <w:sz w:val="14"/>
                <w:szCs w:val="14"/>
                <w:b w:val="1"/>
                <w:bCs w:val="1"/>
                <w:color w:val="auto"/>
                <w:vertAlign w:val="superscript"/>
              </w:rPr>
              <w:t>(2)</w:t>
            </w: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Charter Expiry</w:t>
            </w: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1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5"/>
                <w:szCs w:val="15"/>
                <w:color w:val="auto"/>
              </w:rPr>
            </w:pPr>
          </w:p>
        </w:tc>
        <w:tc>
          <w:tcPr>
            <w:tcW w:w="700" w:type="dxa"/>
            <w:vAlign w:val="bottom"/>
            <w:gridSpan w:val="2"/>
          </w:tcPr>
          <w:p>
            <w:pPr>
              <w:ind w:left="60"/>
              <w:spacing w:after="0" w:line="154" w:lineRule="exact"/>
              <w:rPr>
                <w:sz w:val="20"/>
                <w:szCs w:val="20"/>
                <w:color w:val="auto"/>
              </w:rPr>
            </w:pPr>
            <w:r>
              <w:rPr>
                <w:rFonts w:ascii="Arial" w:cs="Arial" w:eastAsia="Arial" w:hAnsi="Arial"/>
                <w:sz w:val="14"/>
                <w:szCs w:val="14"/>
                <w:b w:val="1"/>
                <w:bCs w:val="1"/>
                <w:color w:val="auto"/>
              </w:rPr>
              <w:t>Built</w:t>
            </w:r>
          </w:p>
        </w:tc>
        <w:tc>
          <w:tcPr>
            <w:tcW w:w="106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by GSL</w:t>
            </w:r>
          </w:p>
        </w:tc>
        <w:tc>
          <w:tcPr>
            <w:tcW w:w="92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7"/>
              </w:rPr>
              <w:t>(years)</w:t>
            </w:r>
          </w:p>
        </w:tc>
        <w:tc>
          <w:tcPr>
            <w:tcW w:w="134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5"/>
              </w:rPr>
              <w:t>Date</w:t>
            </w:r>
          </w:p>
        </w:tc>
        <w:tc>
          <w:tcPr>
            <w:tcW w:w="64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0"/>
              </w:rPr>
              <w:t>Rate $</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1997</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Dec 2007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May 1, 2013</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May 1, 2013</w:t>
            </w:r>
          </w:p>
        </w:tc>
        <w:tc>
          <w:tcPr>
            <w:tcW w:w="54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14,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Sept 7,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Oct 18, 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Oct 11, 2020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 2025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17,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16, 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19,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Aug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May 28, 2021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As at September 30, 2012. Plus or minus 90 days (22 days for Ville d’Orion &amp; Ville d’Aquarius) at charterer’s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charters have come into effect for Ville d’Aquarius and Ville d’Orion. They expire May 23, 2013 plus or minus 22 days at charterer’s option and are at a rate of $9,962 per vessel per day.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 will hold a conference call to discuss the Company’s results for the three months ended September 30, 2012 today, Wednesday, November 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at 10:30 a.m. Eastern Time. There are two ways to access the conference call: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 Dial-in: : (866) 682-8490 or (631) 621-5256; Passcode: 38751544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jc w:val="both"/>
        <w:ind w:left="460" w:right="120"/>
        <w:spacing w:after="0" w:line="370" w:lineRule="auto"/>
        <w:rPr>
          <w:sz w:val="20"/>
          <w:szCs w:val="20"/>
          <w:color w:val="auto"/>
        </w:rPr>
      </w:pPr>
      <w:r>
        <w:rPr>
          <w:rFonts w:ascii="Arial" w:cs="Arial" w:eastAsia="Arial" w:hAnsi="Arial"/>
          <w:sz w:val="15"/>
          <w:szCs w:val="15"/>
          <w:color w:val="auto"/>
        </w:rPr>
        <w:t xml:space="preserve">If you are unable to participate at this time, a replay of the call will be available through Wednesday, November 28, 2012 at (866) 247-4222 or (631) 510-7499. Enter the code 38751544 to access the audio replay. The webcast will also be archived on the Company’s website: </w:t>
      </w:r>
      <w:r>
        <w:rPr>
          <w:rFonts w:ascii="Arial" w:cs="Arial" w:eastAsia="Arial" w:hAnsi="Arial"/>
          <w:sz w:val="15"/>
          <w:szCs w:val="15"/>
          <w:u w:val="single" w:color="auto"/>
          <w:color w:val="auto"/>
        </w:rPr>
        <w:t>http://www.globalshiplease.com</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2011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September 30, 2012 of 8.6 years. All of the current vessels are fixed on charters to CMA CGM with an average remaining term of 6.4 years, or 7.6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EBITDA represents Net income (loss) before interest income and expense including 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9" w:name="page10"/>
    <w:bookmarkEnd w:id="9"/>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3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1"/>
              </w:rPr>
              <w:t>Three</w:t>
            </w: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0"/>
              </w:rPr>
              <w:t>Nine</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Sept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23,807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Adjust: Depreciation</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10,144</w:t>
            </w:r>
          </w:p>
        </w:tc>
        <w:tc>
          <w:tcPr>
            <w:tcW w:w="3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10,117</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30,277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Impairment charge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Interest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16,087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Realized loss on interest rate derivatives</w:t>
            </w:r>
          </w:p>
        </w:tc>
        <w:tc>
          <w:tcPr>
            <w:tcW w:w="540" w:type="dxa"/>
            <w:vAlign w:val="bottom"/>
          </w:tcPr>
          <w:p>
            <w:pPr>
              <w:jc w:val="right"/>
              <w:spacing w:after="0"/>
              <w:rPr>
                <w:sz w:val="20"/>
                <w:szCs w:val="20"/>
                <w:color w:val="auto"/>
              </w:rPr>
            </w:pPr>
            <w:r>
              <w:rPr>
                <w:rFonts w:ascii="Arial" w:cs="Arial" w:eastAsia="Arial" w:hAnsi="Arial"/>
                <w:sz w:val="18"/>
                <w:szCs w:val="18"/>
                <w:color w:val="auto"/>
              </w:rPr>
              <w:t>4,638</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4,953</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13,740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Unrealized (gain) loss on interest rate derivatives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Income tax</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26,905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25,163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78,860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INCOME—UNAUDITED</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40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Three</w:t>
            </w: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0"/>
              </w:rPr>
              <w:t>Nine</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74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3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23,807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Adjust: Change in value of derivatives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(1,492)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6,090</w:t>
            </w:r>
          </w:p>
        </w:tc>
        <w:tc>
          <w:tcPr>
            <w:tcW w:w="3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(5,075)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Impairment charge</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Normalized 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6,851</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5,155</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18,732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16,786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40"/>
          </w:cols>
          <w:pgMar w:left="240" w:top="274" w:right="319" w:bottom="1440" w:gutter="0" w:footer="0" w:header="0"/>
        </w:sectPr>
      </w:pPr>
    </w:p>
    <w:bookmarkStart w:id="11" w:name="page12"/>
    <w:bookmarkEnd w:id="11"/>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7"/>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Time charter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39,454</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38,676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117,037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11,750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15,046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48,583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(13,740)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23,897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8,343</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23,807</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47,481,864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47,211,396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47,481,733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47,195,676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47,636,298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47,211,396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47,600,196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47,195,676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7,405,956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in $ per Class B common share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29,318</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25,814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865,441</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890,249</w:t>
            </w: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868,295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907,845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939,535</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4,953</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71,906</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388,441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437,612</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Preferred shares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477,554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549,460</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605,335</w:t>
            </w:r>
          </w:p>
        </w:tc>
      </w:tr>
      <w:tr>
        <w:trPr>
          <w:trHeight w:val="221"/>
        </w:trPr>
        <w:tc>
          <w:tcPr>
            <w:tcW w:w="91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2"/>
              </w:rPr>
              <w:t>Class A Common stock – authorized 214,000,000 shares with a $0.01 par value; 47,481,864 shares issued and outstanding</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(2011 – 47,463,978)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 authorized 20,000,000 shares with a $0.01 par value; 7,405,956 shares issued and outstanding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 7,405,956)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352,234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351,856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358,385</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334,200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907,845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939,535</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Three months ended September 30,</w:t>
            </w: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(935)</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23,807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Adjustments to Reconcile Net Income (Loss) to Net Cash Provided by Operating</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10,117</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(2,226)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25,287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68,830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(4,638)</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(4,953)</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(5,430)</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(8,730)</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(18,470)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(23,000)</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(46,856)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Repayment of preferred shares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(3,024)</w:t>
            </w:r>
          </w:p>
        </w:tc>
        <w:tc>
          <w:tcPr>
            <w:tcW w:w="2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(3,143)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29,318</w:t>
            </w:r>
          </w:p>
        </w:tc>
        <w:tc>
          <w:tcPr>
            <w:tcW w:w="3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38,554</w:t>
            </w:r>
          </w:p>
        </w:tc>
        <w:tc>
          <w:tcPr>
            <w:tcW w:w="28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29,318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interest paid</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5,013</w:t>
            </w:r>
          </w:p>
        </w:tc>
        <w:tc>
          <w:tcPr>
            <w:tcW w:w="3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15,414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AND NINE MONTH PERIODS ENDED SEPTEMBER 30, 2012</w:t>
      </w:r>
    </w:p>
    <w:p>
      <w:pPr>
        <w:sectPr>
          <w:pgSz w:w="11900" w:h="16838" w:orient="portrait"/>
          <w:cols w:equalWidth="0" w:num="1">
            <w:col w:w="10220"/>
          </w:cols>
          <w:pgMar w:left="14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580" w:type="dxa"/>
            <w:vAlign w:val="bottom"/>
            <w:vMerge w:val="restart"/>
          </w:tcPr>
          <w:p>
            <w:pPr>
              <w:jc w:val="right"/>
              <w:ind w:right="334"/>
              <w:spacing w:after="0"/>
              <w:rPr>
                <w:sz w:val="20"/>
                <w:szCs w:val="20"/>
                <w:color w:val="auto"/>
              </w:rPr>
            </w:pPr>
            <w:r>
              <w:rPr>
                <w:rFonts w:ascii="Arial" w:cs="Arial" w:eastAsia="Arial" w:hAnsi="Arial"/>
                <w:sz w:val="14"/>
                <w:szCs w:val="14"/>
                <w:color w:val="auto"/>
              </w:rPr>
              <w:t>Note</w:t>
            </w: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29,318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receivables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Vessels in operation</w:t>
            </w:r>
          </w:p>
        </w:tc>
        <w:tc>
          <w:tcPr>
            <w:tcW w:w="3580" w:type="dxa"/>
            <w:vAlign w:val="bottom"/>
            <w:vMerge w:val="restart"/>
          </w:tcPr>
          <w:p>
            <w:pPr>
              <w:jc w:val="right"/>
              <w:ind w:right="334"/>
              <w:spacing w:after="0"/>
              <w:rPr>
                <w:sz w:val="20"/>
                <w:szCs w:val="20"/>
                <w:color w:val="auto"/>
              </w:rPr>
            </w:pPr>
            <w:r>
              <w:rPr>
                <w:rFonts w:ascii="Arial" w:cs="Arial" w:eastAsia="Arial" w:hAnsi="Arial"/>
                <w:sz w:val="18"/>
                <w:szCs w:val="18"/>
                <w:color w:val="auto"/>
              </w:rPr>
              <w:t>4</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tcPr>
          <w:p>
            <w:pPr>
              <w:spacing w:after="0"/>
              <w:rPr>
                <w:sz w:val="19"/>
                <w:szCs w:val="19"/>
                <w:color w:val="auto"/>
              </w:rPr>
            </w:pPr>
          </w:p>
        </w:tc>
        <w:tc>
          <w:tcPr>
            <w:tcW w:w="3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865,441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3580" w:type="dxa"/>
            <w:vAlign w:val="bottom"/>
          </w:tcPr>
          <w:p>
            <w:pPr>
              <w:jc w:val="right"/>
              <w:ind w:right="334"/>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868,295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907,845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48,315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Accrued expenses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3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71,906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388,441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Preferred shares</w:t>
            </w:r>
          </w:p>
        </w:tc>
        <w:tc>
          <w:tcPr>
            <w:tcW w:w="3580" w:type="dxa"/>
            <w:vAlign w:val="bottom"/>
          </w:tcPr>
          <w:p>
            <w:pPr>
              <w:jc w:val="right"/>
              <w:ind w:right="334"/>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long-term liabilities</w:t>
            </w:r>
          </w:p>
        </w:tc>
        <w:tc>
          <w:tcPr>
            <w:tcW w:w="3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477,554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549,460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580" w:type="dxa"/>
            <w:vAlign w:val="bottom"/>
          </w:tcPr>
          <w:p>
            <w:pPr>
              <w:jc w:val="right"/>
              <w:ind w:right="334"/>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color w:val="auto"/>
              </w:rPr>
              <w:t>Note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0"/>
              </w:rPr>
              <w:t>Class A Common stock – authorized 214,000,000 shares with a $0.01 par value; 47,481,864 shares issued and</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outstanding (2011 – 47,463,978)</w:t>
            </w:r>
          </w:p>
        </w:tc>
        <w:tc>
          <w:tcPr>
            <w:tcW w:w="860" w:type="dxa"/>
            <w:vAlign w:val="bottom"/>
          </w:tcPr>
          <w:p>
            <w:pPr>
              <w:jc w:val="right"/>
              <w:ind w:right="179"/>
              <w:spacing w:after="0"/>
              <w:rPr>
                <w:sz w:val="20"/>
                <w:szCs w:val="20"/>
                <w:color w:val="auto"/>
              </w:rPr>
            </w:pPr>
            <w:r>
              <w:rPr>
                <w:rFonts w:ascii="Arial" w:cs="Arial" w:eastAsia="Arial" w:hAnsi="Arial"/>
                <w:sz w:val="18"/>
                <w:szCs w:val="18"/>
                <w:color w:val="auto"/>
              </w:rPr>
              <w:t>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2"/>
              </w:rPr>
              <w:t>Class B Common stock – authorized 20,000,000 shares with a $0.01 par value; 7,405,956 shares issued and</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(2011 – 7,405,956)</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352,234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358,385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334,200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907,845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6"/>
              </w:rPr>
              <w:t>Three months ended September 30,</w:t>
            </w:r>
          </w:p>
        </w:tc>
        <w:tc>
          <w:tcPr>
            <w:tcW w:w="120" w:type="dxa"/>
            <w:vAlign w:val="bottom"/>
          </w:tcPr>
          <w:p>
            <w:pPr>
              <w:spacing w:after="0"/>
              <w:rPr>
                <w:sz w:val="14"/>
                <w:szCs w:val="14"/>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140" w:type="dxa"/>
            <w:vAlign w:val="bottom"/>
            <w:vMerge w:val="restart"/>
          </w:tcPr>
          <w:p>
            <w:pPr>
              <w:jc w:val="right"/>
              <w:ind w:right="354"/>
              <w:spacing w:after="0"/>
              <w:rPr>
                <w:sz w:val="20"/>
                <w:szCs w:val="20"/>
                <w:color w:val="auto"/>
              </w:rPr>
            </w:pPr>
            <w:r>
              <w:rPr>
                <w:rFonts w:ascii="Arial" w:cs="Arial" w:eastAsia="Arial" w:hAnsi="Arial"/>
                <w:sz w:val="14"/>
                <w:szCs w:val="14"/>
                <w:color w:val="auto"/>
              </w:rPr>
              <w:t>Note</w:t>
            </w:r>
          </w:p>
        </w:tc>
        <w:tc>
          <w:tcPr>
            <w:tcW w:w="12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Time charter revenue</w:t>
            </w:r>
          </w:p>
        </w:tc>
        <w:tc>
          <w:tcPr>
            <w:tcW w:w="1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39,454</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117,037</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11,750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22,693</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15,046</w:t>
            </w: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48,583</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(4,638)</w:t>
            </w: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(13,740)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23,897</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8,343</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Weighted average number of Class A common shares outstanding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47,481,864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47,211,396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47,481,733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47,195,676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47,636,298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47,211,396</w:t>
            </w:r>
          </w:p>
        </w:tc>
        <w:tc>
          <w:tcPr>
            <w:tcW w:w="1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47,600,196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47,195,676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Basic</w:t>
            </w: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Weighted average number of Class B common shares outstanding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7,405,956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 in $ per Class B common share</w:t>
            </w: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nil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7"/>
              </w:rPr>
              <w:t>Three months ended September 30,</w:t>
            </w:r>
          </w:p>
        </w:tc>
        <w:tc>
          <w:tcPr>
            <w:tcW w:w="120" w:type="dxa"/>
            <w:vAlign w:val="bottom"/>
          </w:tcPr>
          <w:p>
            <w:pPr>
              <w:spacing w:after="0"/>
              <w:rPr>
                <w:sz w:val="14"/>
                <w:szCs w:val="14"/>
                <w:color w:val="auto"/>
              </w:rPr>
            </w:pPr>
          </w:p>
        </w:tc>
        <w:tc>
          <w:tcPr>
            <w:tcW w:w="22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840" w:type="dxa"/>
            <w:vAlign w:val="bottom"/>
            <w:gridSpan w:val="2"/>
            <w:vMerge w:val="restart"/>
          </w:tcPr>
          <w:p>
            <w:pPr>
              <w:jc w:val="right"/>
              <w:ind w:right="408"/>
              <w:spacing w:after="0"/>
              <w:rPr>
                <w:sz w:val="20"/>
                <w:szCs w:val="20"/>
                <w:color w:val="auto"/>
              </w:rPr>
            </w:pPr>
            <w:r>
              <w:rPr>
                <w:rFonts w:ascii="Arial" w:cs="Arial" w:eastAsia="Arial" w:hAnsi="Arial"/>
                <w:sz w:val="14"/>
                <w:szCs w:val="14"/>
                <w:color w:val="auto"/>
              </w:rPr>
              <w:t>Note</w:t>
            </w: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8,343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23,807</w:t>
            </w: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Adjustments to Reconcile Net Income (Loss) to Net Cash Provided by Operating</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Depreciation</w:t>
            </w: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10,144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 and other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24,973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gridSpan w:val="2"/>
            <w:vMerge w:val="continue"/>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(18,470)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Repayment of debt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(46,856)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Repayment of preferred shares</w:t>
            </w: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29,318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38,554</w:t>
            </w: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29,318</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interest paid</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5,013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2,978</w:t>
            </w:r>
          </w:p>
        </w:tc>
        <w:tc>
          <w:tcPr>
            <w:tcW w:w="3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15,414</w:t>
            </w:r>
          </w:p>
        </w:tc>
        <w:tc>
          <w:tcPr>
            <w:tcW w:w="1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color w:val="auto"/>
                <w:w w:val="85"/>
              </w:rPr>
              <w:t>Retained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Additional</w:t>
            </w:r>
          </w:p>
        </w:tc>
        <w:tc>
          <w:tcPr>
            <w:tcW w:w="12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Earnings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6"/>
              </w:rPr>
              <w:t>at $0.01</w:t>
            </w:r>
          </w:p>
        </w:tc>
        <w:tc>
          <w:tcPr>
            <w:tcW w:w="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Paid 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7"/>
              </w:rPr>
              <w:t>Capital</w:t>
            </w:r>
          </w:p>
        </w:tc>
        <w:tc>
          <w:tcPr>
            <w:tcW w:w="120" w:type="dxa"/>
            <w:vAlign w:val="bottom"/>
          </w:tcPr>
          <w:p>
            <w:pPr>
              <w:spacing w:after="0"/>
              <w:rPr>
                <w:sz w:val="13"/>
                <w:szCs w:val="13"/>
                <w:color w:val="auto"/>
              </w:rPr>
            </w:pPr>
          </w:p>
        </w:tc>
        <w:tc>
          <w:tcPr>
            <w:tcW w:w="104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96"/>
              </w:rPr>
              <w:t>Deficit)</w:t>
            </w:r>
          </w:p>
        </w:tc>
        <w:tc>
          <w:tcPr>
            <w:tcW w:w="14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54,536,423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545</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$351,295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(27,276)</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324,564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9,071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54,869,934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$351,856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23,807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54,887,820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352,234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60" w:right="780"/>
        <w:spacing w:after="0" w:line="268"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September 30, 2012 ranging from 0.65 to 13.25 years (see note 7).</w:t>
      </w:r>
    </w:p>
    <w:p>
      <w:pPr>
        <w:spacing w:after="0" w:line="5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New time charters for the Ville d’Aquarius and the Ville d’Orion were executed under an agreement entered into with CMA CGM, which provided the Company with the option to obligate CMA CGM to charter the vessels for approximately eight months at a fixed rate to be based on an index, with a floor of $8.5 per day.</w:t>
      </w:r>
    </w:p>
    <w:p>
      <w:pPr>
        <w:spacing w:after="0" w:line="59"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5"/>
              </w:rPr>
              <w:t>Capacity</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300" w:type="dxa"/>
            <w:vAlign w:val="bottom"/>
          </w:tcPr>
          <w:p>
            <w:pPr>
              <w:spacing w:after="0"/>
              <w:rPr>
                <w:sz w:val="15"/>
                <w:szCs w:val="15"/>
                <w:color w:val="auto"/>
              </w:rPr>
            </w:pPr>
          </w:p>
        </w:tc>
        <w:tc>
          <w:tcPr>
            <w:tcW w:w="1040" w:type="dxa"/>
            <w:vAlign w:val="bottom"/>
            <w:gridSpan w:val="2"/>
          </w:tcPr>
          <w:p>
            <w:pPr>
              <w:jc w:val="right"/>
              <w:ind w:right="400"/>
              <w:spacing w:after="0" w:line="162" w:lineRule="exact"/>
              <w:rPr>
                <w:sz w:val="20"/>
                <w:szCs w:val="20"/>
                <w:color w:val="auto"/>
              </w:rPr>
            </w:pPr>
            <w:r>
              <w:rPr>
                <w:rFonts w:ascii="Arial" w:cs="Arial" w:eastAsia="Arial" w:hAnsi="Arial"/>
                <w:sz w:val="12"/>
                <w:szCs w:val="12"/>
                <w:b w:val="1"/>
                <w:bCs w:val="1"/>
                <w:color w:val="auto"/>
                <w:w w:val="98"/>
              </w:rPr>
              <w:t xml:space="preserve">in TEUs </w:t>
            </w:r>
            <w:r>
              <w:rPr>
                <w:rFonts w:ascii="Arial" w:cs="Arial" w:eastAsia="Arial" w:hAnsi="Arial"/>
                <w:sz w:val="18"/>
                <w:szCs w:val="18"/>
                <w:b w:val="1"/>
                <w:bCs w:val="1"/>
                <w:color w:val="auto"/>
                <w:w w:val="98"/>
                <w:vertAlign w:val="superscript"/>
              </w:rPr>
              <w:t>(1)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Year Built</w:t>
            </w:r>
          </w:p>
        </w:tc>
        <w:tc>
          <w:tcPr>
            <w:tcW w:w="158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rPr>
              <w:t xml:space="preserve">by GSL </w:t>
            </w:r>
            <w:r>
              <w:rPr>
                <w:rFonts w:ascii="Arial" w:cs="Arial" w:eastAsia="Arial" w:hAnsi="Arial"/>
                <w:sz w:val="18"/>
                <w:szCs w:val="18"/>
                <w:b w:val="1"/>
                <w:bCs w:val="1"/>
                <w:color w:val="auto"/>
                <w:vertAlign w:val="superscript"/>
              </w:rPr>
              <w:t>(2)</w:t>
            </w:r>
          </w:p>
        </w:tc>
        <w:tc>
          <w:tcPr>
            <w:tcW w:w="8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7"/>
              </w:rPr>
              <w:t xml:space="preserve">(years) </w:t>
            </w:r>
            <w:r>
              <w:rPr>
                <w:rFonts w:ascii="Arial" w:cs="Arial" w:eastAsia="Arial" w:hAnsi="Arial"/>
                <w:sz w:val="18"/>
                <w:szCs w:val="18"/>
                <w:b w:val="1"/>
                <w:bCs w:val="1"/>
                <w:color w:val="auto"/>
                <w:w w:val="97"/>
                <w:vertAlign w:val="superscript"/>
              </w:rPr>
              <w:t>(3)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r>
      <w:tr>
        <w:trPr>
          <w:trHeight w:val="203"/>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1997</w:t>
            </w:r>
          </w:p>
        </w:tc>
        <w:tc>
          <w:tcPr>
            <w:tcW w:w="4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December 2007</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2003</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18.465</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33.750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2008</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47.200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25.350</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2009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As at September 30, 2012.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 new charter commenced on September 21, 2012 and will expire on May 23, 2013 plus or minus 22 days at charterer’s option at a rate of $9.962 per day.</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 new charter commenced on September 20, 2012 and will expire on May 23, 2013 plus or minus 22 days at charterer’s option at a rate of $9.962 per day.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9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71" w:lineRule="exact"/>
        <w:rPr>
          <w:rFonts w:ascii="Arial" w:cs="Arial" w:eastAsia="Arial" w:hAnsi="Arial"/>
          <w:sz w:val="18"/>
          <w:szCs w:val="18"/>
          <w:b w:val="1"/>
          <w:bCs w:val="1"/>
          <w:color w:val="auto"/>
        </w:rPr>
      </w:pPr>
    </w:p>
    <w:p>
      <w:pPr>
        <w:ind w:left="712" w:hanging="256"/>
        <w:spacing w:after="0"/>
        <w:tabs>
          <w:tab w:leader="none" w:pos="712"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0"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Counterparty risk</w:t>
      </w:r>
    </w:p>
    <w:p>
      <w:pPr>
        <w:spacing w:after="0" w:line="96" w:lineRule="exact"/>
        <w:rPr>
          <w:sz w:val="20"/>
          <w:szCs w:val="20"/>
          <w:color w:val="auto"/>
        </w:rPr>
      </w:pPr>
    </w:p>
    <w:p>
      <w:pPr>
        <w:ind w:left="452" w:right="8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26" w:lineRule="exact"/>
        <w:rPr>
          <w:sz w:val="20"/>
          <w:szCs w:val="20"/>
          <w:color w:val="auto"/>
        </w:rPr>
      </w:pPr>
    </w:p>
    <w:p>
      <w:pPr>
        <w:ind w:left="452" w:right="220"/>
        <w:spacing w:after="0" w:line="268" w:lineRule="auto"/>
        <w:rPr>
          <w:sz w:val="20"/>
          <w:szCs w:val="20"/>
          <w:color w:val="auto"/>
        </w:rPr>
      </w:pPr>
      <w:r>
        <w:rPr>
          <w:rFonts w:ascii="Arial" w:cs="Arial" w:eastAsia="Arial" w:hAnsi="Arial"/>
          <w:sz w:val="18"/>
          <w:szCs w:val="18"/>
          <w:color w:val="auto"/>
        </w:rPr>
        <w:t>CMA CGM is discussing with its lenders the rescheduling of certain repayments and the adjustment of certain covenants to take account of the cyclical nature of the container shipping industry.</w:t>
      </w:r>
    </w:p>
    <w:p>
      <w:pPr>
        <w:spacing w:after="0" w:line="51"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52" w:right="280"/>
        <w:spacing w:after="0" w:line="298" w:lineRule="auto"/>
        <w:rPr>
          <w:sz w:val="20"/>
          <w:szCs w:val="20"/>
          <w:color w:val="auto"/>
        </w:rPr>
      </w:pPr>
      <w:r>
        <w:rPr>
          <w:rFonts w:ascii="Arial" w:cs="Arial" w:eastAsia="Arial" w:hAnsi="Arial"/>
          <w:sz w:val="16"/>
          <w:szCs w:val="16"/>
          <w:color w:val="auto"/>
        </w:rPr>
        <w:t>The Company has experienced continued delays in receiving charterhire from CMA CGM, where between two and three instalments have been outstanding. Under the charter contracts charterhire is due to be paid every 15 days in advance on the 1st and 16th of each month. As at September 30, 2012, one period of charterhire, due on September 16, 2012, was outstanding amounting to $6,102. This was received in October 2012. As at close of business on November 13, 2012, one period of charterhire, due on November 1, 2012 and totalling $5,886 was outstanding.</w:t>
      </w:r>
    </w:p>
    <w:p>
      <w:pPr>
        <w:spacing w:after="0" w:line="32"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59"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left="452" w:right="40"/>
        <w:spacing w:after="0" w:line="298"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declines in market values, the Company agreed with its lenders a waiver of the requirement to perform the Leverage Ratio test until November 30, 2012.</w:t>
      </w:r>
    </w:p>
    <w:p>
      <w:pPr>
        <w:spacing w:after="0" w:line="32"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As the Company anticipated, due to continuing poor industry conditions, that the Leverage Ratio as at November 30, 2012 would, if tested, exceed 75%, it has agreed with its lenders a further waiver for two years of the requirement to perform the Leverage Ratio test. The next scheduled test will be as at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2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12"/>
          </w:cols>
          <w:pgMar w:left="248" w:top="274" w:right="3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2011 filed with the Securities and Exchange Commission on April 13, 2012 in the Company’s Annual Report on Form 20-F.</w:t>
      </w:r>
    </w:p>
    <w:p>
      <w:pPr>
        <w:spacing w:after="0" w:line="1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52"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December 31, 2011. Based on the assumptions made, the expected undiscounted future cash flows exceeded the vessels’ carrying amounts as of December 31, 2011 and accordingly no impairment was recognised.</w:t>
      </w:r>
    </w:p>
    <w:p>
      <w:pPr>
        <w:spacing w:after="0" w:line="62" w:lineRule="exact"/>
        <w:rPr>
          <w:rFonts w:ascii="Arial" w:cs="Arial" w:eastAsia="Arial" w:hAnsi="Arial"/>
          <w:sz w:val="18"/>
          <w:szCs w:val="18"/>
          <w:b w:val="1"/>
          <w:bCs w:val="1"/>
          <w:color w:val="auto"/>
        </w:rPr>
      </w:pPr>
    </w:p>
    <w:p>
      <w:pPr>
        <w:ind w:left="452"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agreement of new charters of two of the Company’s vessels at rates substantially below the previous rates was seen as an indicator of potential impairment of their carrying value. Accordingly, an impairment test, based on expected undiscounted cash flows by vessel, was performed for these two vessels as at September 30, 2012. Based on the assumptions made, the expected undiscounted future cash flows exceeded the vessels’ carrying amounts as at September 30, 2012 and accordingly no impairment was recognised.</w:t>
      </w:r>
    </w:p>
    <w:p>
      <w:pPr>
        <w:spacing w:after="0" w:line="62" w:lineRule="exact"/>
        <w:rPr>
          <w:rFonts w:ascii="Arial" w:cs="Arial" w:eastAsia="Arial" w:hAnsi="Arial"/>
          <w:sz w:val="18"/>
          <w:szCs w:val="18"/>
          <w:b w:val="1"/>
          <w:bCs w:val="1"/>
          <w:color w:val="auto"/>
        </w:rPr>
      </w:pPr>
    </w:p>
    <w:p>
      <w:pPr>
        <w:ind w:left="452"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19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There have been no applicable accounting standards issued since December 31, 2011.</w:t>
      </w:r>
    </w:p>
    <w:p>
      <w:pPr>
        <w:spacing w:after="0" w:line="90"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92"/>
          </w:cols>
          <w:pgMar w:left="248" w:top="274" w:right="2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$ 1,013,958</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$1,012,051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(148,748)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(122,325)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660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865,441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890,249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980" w:type="dxa"/>
            <w:vAlign w:val="bottom"/>
            <w:gridSpan w:val="6"/>
          </w:tcPr>
          <w:p>
            <w:pPr>
              <w:ind w:left="6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4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Opening balance – vessel purchase options and software development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Impairment of vessel purchase options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Additions – software development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Depreciation – software development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Company’s purchase obligations under contracts entered into in September 2008 and grant the Company options to purchase the vessels one year later. Intangible assets relating to these purchase options were recognised at the fair value of the purchase options on the date of the agreement.</w:t>
      </w:r>
    </w:p>
    <w:p>
      <w:pPr>
        <w:spacing w:after="0" w:line="2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written off in the second quarter 2011. The purchase options have lapsed.</w:t>
      </w:r>
    </w:p>
    <w:p>
      <w:pPr>
        <w:spacing w:after="0" w:line="22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w:t>
      </w:r>
    </w:p>
    <w:p>
      <w:pPr>
        <w:spacing w:after="0" w:line="62" w:lineRule="exact"/>
        <w:rPr>
          <w:rFonts w:ascii="Arial" w:cs="Arial" w:eastAsia="Arial" w:hAnsi="Arial"/>
          <w:sz w:val="18"/>
          <w:szCs w:val="18"/>
          <w:b w:val="1"/>
          <w:bCs w:val="1"/>
          <w:color w:val="auto"/>
        </w:rPr>
      </w:pPr>
    </w:p>
    <w:p>
      <w:pPr>
        <w:jc w:val="both"/>
        <w:ind w:left="46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74"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96" w:lineRule="exact"/>
        <w:rPr>
          <w:rFonts w:ascii="Arial" w:cs="Arial" w:eastAsia="Arial" w:hAnsi="Arial"/>
          <w:sz w:val="18"/>
          <w:szCs w:val="18"/>
          <w:b w:val="1"/>
          <w:bCs w:val="1"/>
          <w:color w:val="auto"/>
        </w:rPr>
      </w:pPr>
    </w:p>
    <w:p>
      <w:pPr>
        <w:ind w:left="460"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5"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has been 3.50% (ii) prepayments of borrowings have been made quarterly in an amount equal to free cash in excess of $20,000 determined as at the previous month end subject to a minimum of $40,000 repayment a year on a rolling 12 month trailing basis, rather than a fixed amount per quarter, and (iii) the Company is unable to make dividend payments to common shareholders. Repayments have been made of $15,341 on December 30, 2011, $11,788 on March 30, 2012, $12,068 on June 29, 2012 and $23,000 on September 28, 2012.</w:t>
      </w:r>
    </w:p>
    <w:p>
      <w:pPr>
        <w:spacing w:after="0" w:line="3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has agreed with its lenders a further waiver for two years of the requirement to perform the Leverage Ratio test. Accordingly, the next scheduled test will be as at December 1, 2014. In the waiver period, the fixed interest margin to be paid over LIBOR will be 3.75%, prepayments will be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 It has also been agreed that all secured vessels will be included in the Leverage Ratio test, whether they are subject to a charter or not.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00" w:type="dxa"/>
            <w:vAlign w:val="bottom"/>
            <w:gridSpan w:val="4"/>
          </w:tcPr>
          <w:p>
            <w:pPr>
              <w:ind w:left="142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4"/>
          </w:tcPr>
          <w:p>
            <w:pPr>
              <w:ind w:left="320"/>
              <w:spacing w:after="0"/>
              <w:rPr>
                <w:sz w:val="20"/>
                <w:szCs w:val="20"/>
                <w:color w:val="auto"/>
              </w:rPr>
            </w:pPr>
            <w:r>
              <w:rPr>
                <w:rFonts w:ascii="Arial" w:cs="Arial" w:eastAsia="Arial" w:hAnsi="Arial"/>
                <w:sz w:val="14"/>
                <w:szCs w:val="14"/>
                <w:color w:val="auto"/>
                <w:w w:val="97"/>
              </w:rPr>
              <w:t>December 31,</w:t>
            </w:r>
          </w:p>
        </w:tc>
      </w:tr>
      <w:tr>
        <w:trPr>
          <w:trHeight w:val="175"/>
        </w:trPr>
        <w:tc>
          <w:tcPr>
            <w:tcW w:w="4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+ 3.00% to 3.50%</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436,756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483,612</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(48,315)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(46,000)</w:t>
            </w:r>
          </w:p>
        </w:tc>
      </w:tr>
      <w:tr>
        <w:trPr>
          <w:trHeight w:val="27"/>
        </w:trPr>
        <w:tc>
          <w:tcPr>
            <w:tcW w:w="4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388,441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437,612</w:t>
            </w:r>
          </w:p>
        </w:tc>
        <w:tc>
          <w:tcPr>
            <w:tcW w:w="12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(i) management’s reasonable estimate of cash flows from October 1, 2012 and (ii) the waiver of the requirement to test the Leverage Ratio until</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30, 2014, the estimated repayments in each of the relevant periods are as follows: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color w:val="auto"/>
              </w:rPr>
              <w:t>Year ending September 30,</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2014</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57,266</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2016</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291,175</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436,756</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September 30, 2012 is a significant shareholder of the Company, owning Class A and Class B common shares representing a 45% voting interest in the Company.</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7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75"/>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7,597</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13,911</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20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September 30, 2012 and December 31, 2011 relate to amounts payable to or recoverable from CMA CGM group companies.</w:t>
      </w:r>
    </w:p>
    <w:p>
      <w:pPr>
        <w:spacing w:after="0" w:line="4" w:lineRule="exact"/>
        <w:rPr>
          <w:sz w:val="20"/>
          <w:szCs w:val="20"/>
          <w:color w:val="auto"/>
        </w:rPr>
      </w:pPr>
    </w:p>
    <w:p>
      <w:pPr>
        <w:ind w:left="452" w:right="360"/>
        <w:spacing w:after="0" w:line="370" w:lineRule="auto"/>
        <w:rPr>
          <w:sz w:val="20"/>
          <w:szCs w:val="20"/>
          <w:color w:val="auto"/>
        </w:rPr>
      </w:pPr>
      <w:r>
        <w:rPr>
          <w:rFonts w:ascii="Arial" w:cs="Arial" w:eastAsia="Arial" w:hAnsi="Arial"/>
          <w:sz w:val="15"/>
          <w:szCs w:val="15"/>
          <w:color w:val="auto"/>
        </w:rPr>
        <w:t>CMA CGM holds all of the Series A preferred shares of the Company. During the three months to September 30, 2012, the Company incurred costs in respect of dividends on these preferred shares of $286 (2011: $279). Costs during the nine months to September 30, 2012 were $888 (2011: $833).</w:t>
      </w:r>
    </w:p>
    <w:p>
      <w:pPr>
        <w:spacing w:after="0" w:line="13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right="220"/>
        <w:spacing w:after="0" w:line="306"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September 30, 2012 of between 0.65 and 13.25 years. All the $1,085,341 future charter hire receivable for the fleet set out in note 8 relates to the 17 ships currently chartered to CMA CGM.</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to a ship manager, CMA Ships, a wholly owned subsidiary of CMA CGM. The Company pays CMA Ships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three months and nine months ended September 30, 2012 amounted to $485 (2011: $485) and $1,454 (2011: $1,454)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92"/>
          </w:cols>
          <w:pgMar w:left="248" w:top="274" w:right="259" w:bottom="1440" w:gutter="0" w:footer="0" w:header="0"/>
        </w:sectPr>
      </w:pPr>
    </w:p>
    <w:bookmarkStart w:id="27" w:name="page28"/>
    <w:bookmarkEnd w:id="2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206" w:lineRule="exact"/>
        <w:rPr>
          <w:sz w:val="20"/>
          <w:szCs w:val="20"/>
          <w:color w:val="auto"/>
        </w:rPr>
      </w:pPr>
    </w:p>
    <w:p>
      <w:pPr>
        <w:ind w:left="452" w:right="8460" w:hanging="452"/>
        <w:spacing w:after="0" w:line="417" w:lineRule="auto"/>
        <w:tabs>
          <w:tab w:leader="none" w:pos="44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Charter Hire Receivable</w:t>
      </w:r>
    </w:p>
    <w:p>
      <w:pPr>
        <w:ind w:left="452" w:right="18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time charters for all of its vessels. The charter hire is fixed for the duration of the charter. The maximum future contracted charter hire receivable for the fleet of 17 vessels as at September 30, 2012, including the two replacement charters entered into in September 2012 as referred to in note 2(a), is as follows:</w:t>
      </w:r>
    </w:p>
    <w:p>
      <w:pPr>
        <w:spacing w:after="0" w:line="16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Fleet as at</w:t>
            </w:r>
          </w:p>
        </w:tc>
      </w:tr>
      <w:tr>
        <w:trPr>
          <w:trHeight w:val="149"/>
        </w:trPr>
        <w:tc>
          <w:tcPr>
            <w:tcW w:w="4200" w:type="dxa"/>
            <w:vAlign w:val="bottom"/>
          </w:tcPr>
          <w:p>
            <w:pPr>
              <w:spacing w:after="0"/>
              <w:rPr>
                <w:sz w:val="12"/>
                <w:szCs w:val="12"/>
                <w:color w:val="auto"/>
              </w:rPr>
            </w:pPr>
          </w:p>
        </w:tc>
        <w:tc>
          <w:tcPr>
            <w:tcW w:w="3560" w:type="dxa"/>
            <w:vAlign w:val="bottom"/>
            <w:gridSpan w:val="4"/>
          </w:tcPr>
          <w:p>
            <w:pPr>
              <w:ind w:left="2640"/>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Year ending September 30,</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140,614</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2014</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2016</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114,477</w:t>
            </w:r>
          </w:p>
        </w:tc>
        <w:tc>
          <w:tcPr>
            <w:tcW w:w="100" w:type="dxa"/>
            <w:vAlign w:val="bottom"/>
            <w:shd w:val="clear" w:color="auto" w:fill="CCEEFF"/>
          </w:tcPr>
          <w:p>
            <w:pPr>
              <w:spacing w:after="0"/>
              <w:rPr>
                <w:sz w:val="18"/>
                <w:szCs w:val="18"/>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422,022</w:t>
            </w:r>
          </w:p>
        </w:tc>
        <w:tc>
          <w:tcPr>
            <w:tcW w:w="10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1,085,341</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September 30, 2012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certain financial conditions, mainly relating to the historic record of dividend payments, have been met when the Class B common shares would convert to Class A common shares on a one-for-one basis. The financial conditions have not yet been met and accordingly the conversion has not taken place.</w:t>
      </w:r>
    </w:p>
    <w:p>
      <w:pPr>
        <w:spacing w:after="0" w:line="61" w:lineRule="exact"/>
        <w:rPr>
          <w:rFonts w:ascii="Arial" w:cs="Arial" w:eastAsia="Arial" w:hAnsi="Arial"/>
          <w:sz w:val="18"/>
          <w:szCs w:val="18"/>
          <w:b w:val="1"/>
          <w:bCs w:val="1"/>
          <w:color w:val="auto"/>
        </w:rPr>
      </w:pPr>
    </w:p>
    <w:p>
      <w:pPr>
        <w:ind w:left="452" w:right="6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shares holders are entitled to is presented as part of interest expense.</w:t>
      </w:r>
    </w:p>
    <w:p>
      <w:pPr>
        <w:spacing w:after="0" w:line="4" w:lineRule="exact"/>
        <w:rPr>
          <w:rFonts w:ascii="Arial" w:cs="Arial" w:eastAsia="Arial" w:hAnsi="Arial"/>
          <w:sz w:val="18"/>
          <w:szCs w:val="18"/>
          <w:b w:val="1"/>
          <w:bCs w:val="1"/>
          <w:color w:val="auto"/>
        </w:rPr>
      </w:pPr>
    </w:p>
    <w:p>
      <w:pPr>
        <w:ind w:left="452"/>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Total proceeds received in 2008, and recorded as restricted cash, from the exercise of Public Warrants prior to their expiry was $3,027 (December 31, 2010: $3,027). These proceeds were to be used to redeem the Series A preferred shares with a minimum redemption amount of $5,000. As part of the new time charters for the Ville d’Aquarius and the Ville d’Orion, the Company accelerated the redemption of 63 Series A preferred shares of $48 each for $3,024.</w:t>
      </w:r>
    </w:p>
    <w:p>
      <w:pPr>
        <w:spacing w:after="0" w:line="7" w:lineRule="exact"/>
        <w:rPr>
          <w:rFonts w:ascii="Arial" w:cs="Arial" w:eastAsia="Arial" w:hAnsi="Arial"/>
          <w:sz w:val="18"/>
          <w:szCs w:val="18"/>
          <w:b w:val="1"/>
          <w:bCs w:val="1"/>
          <w:color w:val="auto"/>
        </w:rPr>
      </w:pPr>
    </w:p>
    <w:p>
      <w:pPr>
        <w:ind w:left="452"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92"/>
          </w:cols>
          <w:pgMar w:left="248" w:top="274" w:right="259" w:bottom="1440" w:gutter="0" w:footer="0" w:header="0"/>
        </w:sectPr>
      </w:pPr>
    </w:p>
    <w:bookmarkStart w:id="28" w:name="page29"/>
    <w:bookmarkEnd w:id="28"/>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 except share data)</w:t>
      </w:r>
    </w:p>
    <w:p>
      <w:pPr>
        <w:spacing w:after="0" w:line="206"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12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Company is exposed to the impact of interest rate changes on its variable rate debt. Accordingly, the Company has entered into interest rate swap agreements to manage the exposure to interest rate variability. As of September 30, 2012 a total of $580,000 of debt was swapped into fixed rate debt at a weighted average rate of 3.59%. $253,000 of swaps at a fixed rate of 3.40% expire on March 17, 2013.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 of cash flows.</w:t>
      </w:r>
    </w:p>
    <w:p>
      <w:pPr>
        <w:spacing w:after="0" w:line="23" w:lineRule="exact"/>
        <w:rPr>
          <w:rFonts w:ascii="Arial" w:cs="Arial" w:eastAsia="Arial" w:hAnsi="Arial"/>
          <w:sz w:val="18"/>
          <w:szCs w:val="18"/>
          <w:b w:val="1"/>
          <w:bCs w:val="1"/>
          <w:color w:val="auto"/>
        </w:rPr>
      </w:pPr>
    </w:p>
    <w:p>
      <w:pPr>
        <w:ind w:left="452"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Realized gains or losses from interest rate derivatives are recognized in the statement of income. In addition, the interest rate derivatives are “marked to market” at each reporting period end and are recorded at fair values. This generates unrealized gains or losses. The unrealized gain on interest rate derivatives for the three months ended September 30, 2012 was $1,492 (2011: unrealized loss of $6,090). The unrealized gain on interest rate derivatives for the nine months ended September 30, 2012 was $5,075 (2011: unrealized loss of $4,930).</w:t>
      </w:r>
    </w:p>
    <w:p>
      <w:pPr>
        <w:spacing w:after="0" w:line="31"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September 30, 2012, these derivatives represented a liability of $40,241 (December 31, 2011: $45,315).</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w w:val="95"/>
              </w:rPr>
              <w:t>Restricted Stock Units</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auto"/>
                <w:w w:val="84"/>
              </w:rPr>
              <w:t>Weighted</w:t>
            </w:r>
          </w:p>
        </w:tc>
        <w:tc>
          <w:tcPr>
            <w:tcW w:w="4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4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140" w:type="dxa"/>
            <w:vAlign w:val="bottom"/>
            <w:gridSpan w:val="5"/>
            <w:vMerge w:val="restart"/>
          </w:tcPr>
          <w:p>
            <w:pPr>
              <w:jc w:val="right"/>
              <w:ind w:right="800"/>
              <w:spacing w:after="0"/>
              <w:rPr>
                <w:sz w:val="20"/>
                <w:szCs w:val="20"/>
                <w:color w:val="auto"/>
              </w:rPr>
            </w:pPr>
            <w:r>
              <w:rPr>
                <w:rFonts w:ascii="Arial" w:cs="Arial" w:eastAsia="Arial" w:hAnsi="Arial"/>
                <w:sz w:val="14"/>
                <w:szCs w:val="14"/>
                <w:color w:val="auto"/>
              </w:rPr>
              <w:t>Number of Units</w:t>
            </w: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6"/>
              </w:rPr>
              <w:t>Value on</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5"/>
              </w:rPr>
              <w:t>Management</w:t>
            </w: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96"/>
              </w:rPr>
              <w:t>Directors</w:t>
            </w:r>
          </w:p>
        </w:tc>
        <w:tc>
          <w:tcPr>
            <w:tcW w:w="100" w:type="dxa"/>
            <w:vAlign w:val="bottom"/>
          </w:tcPr>
          <w:p>
            <w:pPr>
              <w:spacing w:after="0"/>
              <w:rPr>
                <w:sz w:val="13"/>
                <w:szCs w:val="13"/>
                <w:color w:val="auto"/>
              </w:rPr>
            </w:pP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7"/>
              </w:rPr>
              <w:t>Date</w:t>
            </w:r>
          </w:p>
        </w:tc>
        <w:tc>
          <w:tcPr>
            <w:tcW w:w="400" w:type="dxa"/>
            <w:vAlign w:val="bottom"/>
          </w:tcPr>
          <w:p>
            <w:pPr>
              <w:spacing w:after="0"/>
              <w:rPr>
                <w:sz w:val="13"/>
                <w:szCs w:val="13"/>
                <w:color w:val="auto"/>
              </w:rPr>
            </w:pPr>
          </w:p>
        </w:tc>
        <w:tc>
          <w:tcPr>
            <w:tcW w:w="5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58,511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January 2011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(58,511)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17,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17,886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September 2011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(206,250)</w:t>
            </w: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September 2,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October 2011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(68,750)</w:t>
            </w: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Vested in January 2012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Un-Vested as at September 30, 2012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 of income over the vesting period. During the three months and nine months ended September 30, 2012, the Company recognized a total of $131 (2011: $145) and $378 (2011: $456) share based compensation cost respectively. As at September 30, 2012, there was a total of $342 unrecognized compensation cost relating to the above share based awards (December 31, 2011: $352). The remaining cost is expected to be recognized over a period of 24 months.</w:t>
      </w:r>
    </w:p>
    <w:p>
      <w:pPr>
        <w:spacing w:after="0" w:line="1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52"/>
          </w:cols>
          <w:pgMar w:left="248" w:top="274" w:right="299" w:bottom="1440" w:gutter="0" w:footer="0" w:header="0"/>
        </w:sectPr>
      </w:pPr>
    </w:p>
    <w:bookmarkStart w:id="29" w:name="page30"/>
    <w:bookmarkEnd w:id="29"/>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206"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(continued)</w:t>
      </w:r>
    </w:p>
    <w:p>
      <w:pPr>
        <w:spacing w:after="0" w:line="96" w:lineRule="exact"/>
        <w:rPr>
          <w:rFonts w:ascii="Arial" w:cs="Arial" w:eastAsia="Arial" w:hAnsi="Arial"/>
          <w:sz w:val="18"/>
          <w:szCs w:val="18"/>
          <w:b w:val="1"/>
          <w:bCs w:val="1"/>
          <w:color w:val="auto"/>
        </w:rPr>
      </w:pPr>
    </w:p>
    <w:p>
      <w:pPr>
        <w:ind w:left="452"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restricted stock units granted to three members of management on August 14, 2008 were to vest over a period of three years; one third on the first anniversary of the merger, one third on the second anniversary and one third on the third anniversary. The vesting dates were amended and a total of 260,000 vested annually during September and October of 2009, 2010 and 2011.</w:t>
      </w:r>
    </w:p>
    <w:p>
      <w:pPr>
        <w:spacing w:after="0" w:line="59"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restricted stock units granted to Directors on March 1, 2010 vested in January 2011. The restricted stock units granted to Directors on March 17, 2011 vested in January 2012. The restricted stock units granted to Directors on March 13, 2012 will vest in January 2013.</w:t>
      </w:r>
    </w:p>
    <w:p>
      <w:pPr>
        <w:spacing w:after="0" w:line="50" w:lineRule="exact"/>
        <w:rPr>
          <w:rFonts w:ascii="Arial" w:cs="Arial" w:eastAsia="Arial" w:hAnsi="Arial"/>
          <w:sz w:val="18"/>
          <w:szCs w:val="18"/>
          <w:b w:val="1"/>
          <w:bCs w:val="1"/>
          <w:color w:val="auto"/>
        </w:rPr>
      </w:pPr>
    </w:p>
    <w:p>
      <w:pPr>
        <w:ind w:left="452" w:right="2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Restricted stock units granted to one member of management on March 17, 2011 vested during September and October 2011. 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w:t>
      </w:r>
    </w:p>
    <w:p>
      <w:pPr>
        <w:spacing w:after="0" w:line="235" w:lineRule="exact"/>
        <w:rPr>
          <w:rFonts w:ascii="Arial" w:cs="Arial" w:eastAsia="Arial" w:hAnsi="Arial"/>
          <w:sz w:val="18"/>
          <w:szCs w:val="18"/>
          <w:b w:val="1"/>
          <w:bCs w:val="1"/>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52"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nine months ended September 30, 2012, no dividend was declared (2011: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September 30, 2012, there were 6,188,088 Class A Warrants to purchase Class A common shares at an exercise price of $9.25 outstanding which are due to expire on September 1, 2013. In addition, there were 257,070 restricted stock units granted and unvested as part of management’s equity incentive plan and as part of the Directors’ compensation for 2012. As of September 30, 2012 only Class A and B common shares are participating securities.</w:t>
      </w:r>
    </w:p>
    <w:p>
      <w:pPr>
        <w:spacing w:after="0" w:line="25" w:lineRule="exact"/>
        <w:rPr>
          <w:rFonts w:ascii="Arial" w:cs="Arial" w:eastAsia="Arial" w:hAnsi="Arial"/>
          <w:sz w:val="18"/>
          <w:szCs w:val="18"/>
          <w:b w:val="1"/>
          <w:bCs w:val="1"/>
          <w:color w:val="auto"/>
        </w:rPr>
      </w:pPr>
    </w:p>
    <w:p>
      <w:pPr>
        <w:ind w:left="452"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three months and nine months ended September 30, 2012, the diluted weighted average number of shares includes the incremental effect of outstanding stock based incentive awards but excludes the effect of outstanding warrants as these were antidilutive. For the three and nine months ended September 30, 2011,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12"/>
          </w:cols>
          <w:pgMar w:left="248"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740"/>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47,481,864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47,211,396</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47,481,733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47,195,676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118,463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Common shares and common share equivalents (F)</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47,636,298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47,211,396</w:t>
            </w:r>
          </w:p>
        </w:tc>
        <w:tc>
          <w:tcPr>
            <w:tcW w:w="8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47,600,196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47,195,676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7,405,956</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Common shares (H)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7,405,956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7,405,956</w:t>
            </w:r>
          </w:p>
        </w:tc>
        <w:tc>
          <w:tcPr>
            <w:tcW w:w="80" w:type="dxa"/>
            <w:vAlign w:val="bottom"/>
          </w:tcPr>
          <w:p>
            <w:pPr>
              <w:spacing w:after="0"/>
              <w:rPr>
                <w:sz w:val="19"/>
                <w:szCs w:val="19"/>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for Class A (A)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(A/B)</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Class B (C/D)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available for Class A (E)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23,807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(E/F)</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Class B (G/H)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the Borrowers listed in Schedule 1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Ian Webber / Susan Cook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Stag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SW1E 5RS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9 November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Re: the USD 800,000,000 revolving credit facility agreement dated 10 December 2007, as amended pursuant to an Addendum No. 1 dated 10 December 2007, the waiver letter dated 19 March 2008, the further conditions letter dated 27 June 2008, the Addendum No. 2 dated 10 February 2009, as amended and restated by an Amendment and Restatement Agreement dated 20 August 2009 and as further amended pursuant to the waiver letter dated 30 November 2011 (the Credit Agreement)</w:t>
      </w:r>
    </w:p>
    <w:p>
      <w:pPr>
        <w:spacing w:after="0" w:line="61" w:lineRule="exact"/>
        <w:rPr>
          <w:sz w:val="20"/>
          <w:szCs w:val="20"/>
          <w:color w:val="auto"/>
        </w:rPr>
      </w:pPr>
    </w:p>
    <w:p>
      <w:pPr>
        <w:ind w:left="460" w:right="2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refer to the Credit Agreement. Capitalised terms used in this Letter, unless expressly defined in this Letter, have the same meaning herein as given to those terms in the Credit Agreement and the interpretative provisions of clause 1.2 of the Credit Agreement will apply.</w:t>
      </w:r>
    </w:p>
    <w:p>
      <w:pPr>
        <w:spacing w:after="0" w:line="4" w:lineRule="exact"/>
        <w:rPr>
          <w:rFonts w:ascii="Arial" w:cs="Arial" w:eastAsia="Arial" w:hAnsi="Arial"/>
          <w:sz w:val="16"/>
          <w:szCs w:val="16"/>
          <w:color w:val="auto"/>
        </w:rPr>
      </w:pPr>
    </w:p>
    <w:p>
      <w:pPr>
        <w:ind w:left="460" w:right="24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have requested us to waive: (i) the requirement for the Leverage Ratio to be maintained at 75% or less as detailed in clause 16.15 of the Credit Agreement; and (ii) the requirement for a Vessel to be subject to an Acceptable Charter in order to be included within the aggregate Market Value for the Vessels for the purpose of calculating the Leverage Ratio, as detailed in the definition of Leverage Ratio.</w:t>
      </w:r>
    </w:p>
    <w:p>
      <w:pPr>
        <w:spacing w:after="0" w:line="2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hereby agree that:</w:t>
      </w:r>
    </w:p>
    <w:p>
      <w:pPr>
        <w:spacing w:after="0" w:line="90" w:lineRule="exact"/>
        <w:rPr>
          <w:rFonts w:ascii="Arial" w:cs="Arial" w:eastAsia="Arial" w:hAnsi="Arial"/>
          <w:sz w:val="16"/>
          <w:szCs w:val="16"/>
          <w:color w:val="auto"/>
        </w:rPr>
      </w:pPr>
    </w:p>
    <w:p>
      <w:pPr>
        <w:ind w:left="9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effect from the Effective Date (defined below) the definition of Waiver Period in the Credit Agreement (other than in clauses 3.2(b) and 16.39 of the Credit Agreement) shall mean the period from and including the Effective Date until and including 30 November 2014;</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after the Effective Date, the Leverage Ratio shall next be tested on 1 December 2014; and</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effect from the Effective Date and throughout the remaining term of the Facility, the Market Value of all of the Vessels shall be included in the aggregate Market Value for the purposes of calculating the Leverage Ratio, and accordingly, the final sub-clause (iii) of the definition of Leverage Ratio shall be deleted in its entirety.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further agreed that:</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effect from the Effective Date and throughout the remaining term of the Facility, sub-clause (a) of the definition of Margin shall be amended to read as follows:</w:t>
      </w:r>
    </w:p>
    <w:p>
      <w:pPr>
        <w:sectPr>
          <w:pgSz w:w="11900" w:h="16838" w:orient="portrait"/>
          <w:cols w:equalWidth="0" w:num="1">
            <w:col w:w="11420"/>
          </w:cols>
          <w:pgMar w:left="240" w:top="280" w:right="239" w:bottom="1440" w:gutter="0" w:footer="0" w:header="0"/>
        </w:sectPr>
      </w:pP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aggregate of (i) the Waiver Period and (ii) the period from the end of the Waiver Period until the date upon which the Leverage Ratio is first tested following the provision by the Borrowers of Market Value for the Vessels for the first time following the end of the Waiver Period (which Market Value may be provided based on valuations provided by the Borrowers within November 2014), 3.75% per annum; and”</w:t>
      </w:r>
    </w:p>
    <w:p>
      <w:pPr>
        <w:spacing w:after="0" w:line="130" w:lineRule="exact"/>
        <w:rPr>
          <w:sz w:val="20"/>
          <w:szCs w:val="20"/>
          <w:color w:val="auto"/>
        </w:rPr>
      </w:pPr>
    </w:p>
    <w:p>
      <w:pPr>
        <w:sectPr>
          <w:pgSz w:w="11900" w:h="16838" w:orient="portrait"/>
          <w:cols w:equalWidth="0" w:num="2">
            <w:col w:w="1180" w:space="300"/>
            <w:col w:w="994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80" w:right="239" w:bottom="1440" w:gutter="0" w:footer="0" w:header="0"/>
          <w:type w:val="continuous"/>
        </w:sectPr>
      </w:pPr>
    </w:p>
    <w:bookmarkStart w:id="32" w:name="page33"/>
    <w:bookmarkEnd w:id="32"/>
    <w:p>
      <w:pPr>
        <w:ind w:left="900" w:right="14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the avoidance of doubt, where any amount is repaid or prepaid pursuant to the terms of the Credit Agreement, the Commitments of the Lenders shall be reduced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the amount repaid or prepaid.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Date will be the date when the last of the following occurs: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of the Borrowers has counter-signed this letter to indicate its agreement and willingness to be bound by the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you have paid and we have received the Waiver Fee specified in paragraph 6.1;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you have paid, and we have received, all other costs and expenses referred to in paragraph 6.2 of this Letter.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By counter-signing this Letter, each Borrower makes the following representations to each Finance Party on the Effective Date.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Powers and authority</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It has the power to enter into and perform, and has taken all necessary action to authorise the entry into and performance of, this Letter and the transactions contemplated by this Letter.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Legal validity</w:t>
      </w:r>
    </w:p>
    <w:p>
      <w:pPr>
        <w:spacing w:after="0" w:line="90" w:lineRule="exact"/>
        <w:rPr>
          <w:sz w:val="20"/>
          <w:szCs w:val="20"/>
          <w:color w:val="auto"/>
        </w:rPr>
      </w:pPr>
    </w:p>
    <w:p>
      <w:pPr>
        <w:ind w:left="900" w:right="7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any general principles of law limiting its obligations, its counter-signature of this Letter constitutes its legally binding, valid and enforceable obligation.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Letter is in the proper form for its enforcement in the jurisdiction of its incorporation.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Non-conflict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entry into and performance by it of, and the transactions contemplated by, this Letter do not conflict with:</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its or any of its Subsidiaries’ constitutional documents; or</w:t>
      </w:r>
    </w:p>
    <w:p>
      <w:pPr>
        <w:spacing w:after="0" w:line="90" w:lineRule="exact"/>
        <w:rPr>
          <w:rFonts w:ascii="Arial" w:cs="Arial" w:eastAsia="Arial" w:hAnsi="Arial"/>
          <w:sz w:val="18"/>
          <w:szCs w:val="18"/>
          <w:color w:val="auto"/>
        </w:rPr>
      </w:pPr>
    </w:p>
    <w:p>
      <w:pPr>
        <w:ind w:right="3360" w:firstLine="454"/>
        <w:spacing w:after="0" w:line="344" w:lineRule="auto"/>
        <w:tabs>
          <w:tab w:leader="none" w:pos="8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document which is binding on it or any of its Subsidiaries or any of its or its Subsidiaries’ assets. 5.4 Authorisations</w:t>
      </w:r>
    </w:p>
    <w:p>
      <w:pPr>
        <w:spacing w:after="0" w:line="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All authorisations required by it in connection with the entry into, performance, validity and enforceability of, and the transactions contemplated by, this Letter have been obtained or effected (as appropriate) and are in full force and effect.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3" w:name="page34"/>
    <w:bookmarkEnd w:id="3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r>
        <w:rPr>
          <w:sz w:val="20"/>
          <w:szCs w:val="20"/>
          <w:color w:val="auto"/>
        </w:rPr>
        <w:tab/>
      </w:r>
      <w:r>
        <w:rPr>
          <w:rFonts w:ascii="Arial" w:cs="Arial" w:eastAsia="Arial" w:hAnsi="Arial"/>
          <w:sz w:val="16"/>
          <w:szCs w:val="16"/>
          <w:color w:val="auto"/>
        </w:rPr>
        <w:t>Credit Agreement</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Each Borrower makes the representations and warranties set out in clause 14 (Representations) of the Credit Agreement on the Effective Date, in each case as if references to the Credit Agreement are references to the Credit Agreement, as amended by this Letter, with reference to the facts and circumstances then existing.</w:t>
      </w:r>
    </w:p>
    <w:p>
      <w:pPr>
        <w:spacing w:after="0" w:line="59" w:lineRule="exact"/>
        <w:rPr>
          <w:sz w:val="20"/>
          <w:szCs w:val="20"/>
          <w:color w:val="auto"/>
        </w:rPr>
      </w:pPr>
    </w:p>
    <w:p>
      <w:pPr>
        <w:ind w:right="9580" w:firstLine="8"/>
        <w:spacing w:after="0" w:line="413" w:lineRule="auto"/>
        <w:tabs>
          <w:tab w:leader="none" w:pos="446" w:val="left"/>
        </w:tabs>
        <w:numPr>
          <w:ilvl w:val="0"/>
          <w:numId w:val="27"/>
        </w:numPr>
        <w:rPr>
          <w:rFonts w:ascii="Arial" w:cs="Arial" w:eastAsia="Arial" w:hAnsi="Arial"/>
          <w:sz w:val="15"/>
          <w:szCs w:val="15"/>
          <w:color w:val="auto"/>
        </w:rPr>
      </w:pPr>
      <w:r>
        <w:rPr>
          <w:rFonts w:ascii="Arial" w:cs="Arial" w:eastAsia="Arial" w:hAnsi="Arial"/>
          <w:sz w:val="15"/>
          <w:szCs w:val="15"/>
          <w:color w:val="auto"/>
        </w:rPr>
        <w:t>Fees and Expenses 6.1 Waiver Fee</w:t>
      </w:r>
    </w:p>
    <w:p>
      <w:pPr>
        <w:spacing w:after="0" w:line="1"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The Representative Borrower must, on or prior to the Effective Date, pay to the Facility Agent for and on behalf of the Lenders a waiver fee calculated at the rate of 0.25 per cent. of the aggregate amount of the Loan outstanding under the Credit Agreement as of the date of this Letter.</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Expenses</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Borrowers must pay to each Finance Party the amount of all costs and expenses (including legal fees) properly incurred by it in connection with (but not limited to) the negotiation, preparation, printing and execution of this Letter.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4"/>
          <w:szCs w:val="14"/>
          <w:color w:val="auto"/>
        </w:rPr>
        <w:t>Taxes</w:t>
      </w:r>
    </w:p>
    <w:p>
      <w:pPr>
        <w:spacing w:after="0" w:line="90" w:lineRule="exact"/>
        <w:rPr>
          <w:sz w:val="20"/>
          <w:szCs w:val="20"/>
          <w:color w:val="auto"/>
        </w:rPr>
      </w:pPr>
    </w:p>
    <w:p>
      <w:pPr>
        <w:ind w:left="900" w:hanging="446"/>
        <w:spacing w:after="0"/>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payments to be made under this Letter must be made exclusive of any VAT or other tax and free and clear of any withholding or deduction.</w:t>
      </w:r>
    </w:p>
    <w:p>
      <w:pPr>
        <w:spacing w:after="0" w:line="113" w:lineRule="exact"/>
        <w:rPr>
          <w:rFonts w:ascii="Arial" w:cs="Arial" w:eastAsia="Arial" w:hAnsi="Arial"/>
          <w:sz w:val="16"/>
          <w:szCs w:val="16"/>
          <w:color w:val="auto"/>
        </w:rPr>
      </w:pPr>
    </w:p>
    <w:p>
      <w:pPr>
        <w:ind w:left="900" w:right="4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any withholding or deduction is required by law, the amount of the payment due from the Borrowers must be increased by an amount which (after making the deduction) leaves an amount equal to the payment which would have been made if no deduction had been made.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Borrower: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agrees to the amendment of the Credit Agreement as contemplated by this Letter;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with effect from the Effective Date, confirms that any guarantee or security given by it or created under a Finance Document will: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continue in full force and effect;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extend to the liabilities and obligations of the Borrowers to the Finance Parties under the Finance Documents as amended by this Letter.</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Letter is a Finance Document.</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Subject to the terms of this Letter, the Credit Agreement will remain in full force and effect and, from the Effective Date, the Credit Agreement and this Letter will be read and construed as one document.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90"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This Letter may be counter-signed in any number of counterparts. This has the same effect as if the signatures on the counterparts were on a single copy of this Letter.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34" w:name="page35"/>
    <w:bookmarkEnd w:id="34"/>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and Jurisdiction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This Letter and any non-contractual obligations arising out of or in connection with it are governed by English law.</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Clause 37 of the Credit Agreement shall apply to this Letter as if set out in full herein.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Amro Bank N.V.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its capacity as Agent for and on behalf of the Lenders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Borrower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Borrowers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2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3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4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5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6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7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8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9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10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12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13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14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15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16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17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GSL ALCAZAR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SERVICES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lvl w:ilvl="1">
      <w:lvlJc w:val="left"/>
      <w:lvlText w:val="(%2)"/>
      <w:numFmt w:val="lowerLetter"/>
      <w:start w:val="2"/>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1)"/>
      <w:numFmt w:val="lowerRoman"/>
      <w:start w:val="2"/>
    </w:lvl>
  </w:abstractNum>
  <w:abstractNum w:abstractNumId="11">
    <w:nsid w:val="628C895D"/>
    <w:multiLevelType w:val="hybridMultilevel"/>
    <w:lvl w:ilvl="0">
      <w:lvlJc w:val="left"/>
      <w:lvlText w:val="%1."/>
      <w:numFmt w:val="decimal"/>
      <w:start w:val="3"/>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6"/>
    </w:lvl>
  </w:abstractNum>
  <w:abstractNum w:abstractNumId="15">
    <w:nsid w:val="2D1D5AE9"/>
    <w:multiLevelType w:val="hybridMultilevel"/>
    <w:lvl w:ilvl="0">
      <w:lvlJc w:val="left"/>
      <w:lvlText w:val="%1."/>
      <w:numFmt w:val="decimal"/>
      <w:start w:val="7"/>
    </w:lvl>
  </w:abstractNum>
  <w:abstractNum w:abstractNumId="16">
    <w:nsid w:val="6763845E"/>
    <w:multiLevelType w:val="hybridMultilevel"/>
    <w:lvl w:ilvl="0">
      <w:lvlJc w:val="left"/>
      <w:lvlText w:val="%1."/>
      <w:numFmt w:val="decimal"/>
      <w:start w:val="8"/>
    </w:lvl>
  </w:abstractNum>
  <w:abstractNum w:abstractNumId="17">
    <w:nsid w:val="75A2A8D4"/>
    <w:multiLevelType w:val="hybridMultilevel"/>
    <w:lvl w:ilvl="0">
      <w:lvlJc w:val="left"/>
      <w:lvlText w:val="%1."/>
      <w:numFmt w:val="decimal"/>
      <w:start w:val="9"/>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3"/>
    </w:lvl>
  </w:abstractNum>
  <w:abstractNum w:abstractNumId="21">
    <w:nsid w:val="B03E0C6"/>
    <w:multiLevelType w:val="hybridMultilevel"/>
    <w:lvl w:ilvl="0">
      <w:lvlJc w:val="left"/>
      <w:lvlText w:val="%1."/>
      <w:numFmt w:val="decimal"/>
      <w:start w:val="1"/>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2"/>
    </w:lvl>
  </w:abstractNum>
  <w:abstractNum w:abstractNumId="23">
    <w:nsid w:val="54E49EB4"/>
    <w:multiLevelType w:val="hybridMultilevel"/>
    <w:lvl w:ilvl="0">
      <w:lvlJc w:val="left"/>
      <w:lvlText w:val="%1."/>
      <w:numFmt w:val="decimal"/>
      <w:start w:val="4"/>
    </w:lvl>
    <w:lvl w:ilvl="1">
      <w:lvlJc w:val="left"/>
      <w:lvlText w:val="(%2)"/>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3A95F87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
    <w:nsid w:val="8138641"/>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2019-12-09T19:17:18Z</dcterms:created>
  <dcterms:modified xsi:type="dcterms:W3CDTF">2019-12-09T19:17:18Z</dcterms:modified>
</cp:coreProperties>
</file>