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Date of Report: November 14, 2013</w:t>
      </w:r>
    </w:p>
    <w:p>
      <w:pPr>
        <w:spacing w:after="0" w:line="17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GLOBAL SHIP LEASE, INC.</w:t>
      </w:r>
    </w:p>
    <w:p>
      <w:pPr>
        <w:spacing w:after="0" w:line="6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 Portland House,</w:t>
      </w:r>
    </w:p>
    <w:p>
      <w:pPr>
        <w:spacing w:after="0" w:line="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London SWIE 5RS,</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3" w:lineRule="exact"/>
        <w:rPr>
          <w:sz w:val="24"/>
          <w:szCs w:val="24"/>
          <w:color w:val="auto"/>
        </w:rPr>
      </w:pPr>
    </w:p>
    <w:p>
      <w:pPr>
        <w:ind w:right="38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0" w:lineRule="exact"/>
        <w:rPr>
          <w:sz w:val="24"/>
          <w:szCs w:val="24"/>
          <w:color w:val="auto"/>
        </w:rPr>
      </w:pPr>
    </w:p>
    <w:p>
      <w:pPr>
        <w:ind w:right="37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S-I Rule 101 (b)(1).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7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 (b)(7).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0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Attached hereto as Exhibit I is a press release dated November 14, 2013 of Global Ship Lease, Inc. (the “Company”) reporting the Company’s financial results for the third quarter of 2013. Attached hereto as Exhibit II are the Company’s interim unaudited consolidated financial statements for the nine month period ended September 30, 2013.</w:t>
      </w: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GLOBAL SHIP LEASE, INC.</w:t>
      </w:r>
    </w:p>
    <w:p>
      <w:pPr>
        <w:spacing w:after="0" w:line="225" w:lineRule="exact"/>
        <w:rPr>
          <w:sz w:val="20"/>
          <w:szCs w:val="20"/>
          <w:color w:val="auto"/>
        </w:rPr>
      </w:pPr>
    </w:p>
    <w:p>
      <w:pPr>
        <w:spacing w:after="0"/>
        <w:tabs>
          <w:tab w:leader="none" w:pos="6140" w:val="left"/>
          <w:tab w:leader="none" w:pos="8080" w:val="left"/>
          <w:tab w:leader="none" w:pos="8420" w:val="left"/>
        </w:tabs>
        <w:rPr>
          <w:sz w:val="20"/>
          <w:szCs w:val="20"/>
          <w:color w:val="auto"/>
        </w:rPr>
      </w:pPr>
      <w:r>
        <w:rPr>
          <w:rFonts w:ascii="Times New Roman" w:cs="Times New Roman" w:eastAsia="Times New Roman" w:hAnsi="Times New Roman"/>
          <w:sz w:val="18"/>
          <w:szCs w:val="18"/>
          <w:color w:val="auto"/>
        </w:rPr>
        <w:t>Date: November 15,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I</w:t>
      </w:r>
      <w:r>
        <w:rPr>
          <w:rFonts w:ascii="Times New Roman" w:cs="Times New Roman" w:eastAsia="Times New Roman" w:hAnsi="Times New Roman"/>
          <w:sz w:val="14"/>
          <w:szCs w:val="14"/>
          <w:color w:val="auto"/>
        </w:rPr>
        <w:t>AN</w:t>
      </w:r>
      <w:r>
        <w:rPr>
          <w:rFonts w:ascii="Times New Roman" w:cs="Times New Roman" w:eastAsia="Times New Roman" w:hAnsi="Times New Roman"/>
          <w:sz w:val="18"/>
          <w:szCs w:val="18"/>
          <w:color w:val="auto"/>
        </w:rPr>
        <w:t xml:space="preserve"> J. W</w:t>
      </w:r>
      <w:r>
        <w:rPr>
          <w:rFonts w:ascii="Times New Roman" w:cs="Times New Roman" w:eastAsia="Times New Roman" w:hAnsi="Times New Roman"/>
          <w:sz w:val="14"/>
          <w:szCs w:val="14"/>
          <w:color w:val="auto"/>
        </w:rPr>
        <w:t>EBBER</w:t>
      </w:r>
    </w:p>
    <w:p>
      <w:pPr>
        <w:spacing w:after="0" w:line="2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-100330</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120"/>
          </w:cols>
          <w:pgMar w:left="240" w:top="272" w:right="5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 and Media Contact: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Leon Berman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212-477-8438</w:t>
      </w:r>
    </w:p>
    <w:p>
      <w:pPr>
        <w:spacing w:after="0" w:line="2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Global Ship Lease Reports Results for the Third Quarter of 2013</w:t>
      </w:r>
    </w:p>
    <w:p>
      <w:pPr>
        <w:spacing w:after="0" w:line="17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0220"/>
          </w:cols>
          <w:pgMar w:left="1440" w:top="266" w:right="239" w:bottom="1440" w:gutter="0" w:footer="0" w:header="0"/>
        </w:sectPr>
      </w:pPr>
    </w:p>
    <w:bookmarkStart w:id="3" w:name="page4"/>
    <w:bookmarkEnd w:id="3"/>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LONDON, ENGLAND - November 14, 2013 </w:t>
      </w:r>
      <w:r>
        <w:rPr>
          <w:rFonts w:ascii="Times New Roman" w:cs="Times New Roman" w:eastAsia="Times New Roman" w:hAnsi="Times New Roman"/>
          <w:sz w:val="18"/>
          <w:szCs w:val="18"/>
          <w:color w:val="auto"/>
        </w:rPr>
        <w:t>- Global Ship Lease, Inc. (NYSE:GSL), a containership charter owner, announced today its unaudited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 months and nine months ended September 30, 2013.</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and Year To Date Highlights</w:t>
      </w:r>
    </w:p>
    <w:p>
      <w:pPr>
        <w:spacing w:after="0" w:line="135"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revenue of $36.1 million for the third quarter 2013. Revenue for the nine months ended September 30, 2013 was $107.2 million</w:t>
      </w:r>
    </w:p>
    <w:p>
      <w:pPr>
        <w:spacing w:after="0" w:line="130" w:lineRule="exact"/>
        <w:rPr>
          <w:rFonts w:ascii="Times New Roman" w:cs="Times New Roman" w:eastAsia="Times New Roman" w:hAnsi="Times New Roman"/>
          <w:sz w:val="18"/>
          <w:szCs w:val="18"/>
          <w:color w:val="auto"/>
        </w:rPr>
      </w:pPr>
    </w:p>
    <w:p>
      <w:pPr>
        <w:ind w:left="460" w:right="10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net income of $7.3 million for the third quarter 2013, including a $1.4 million non-cash interest rate derivative mark-to-market gain. For the nine months ended September 30, 2013, net income was $24.6 million, after an $11.8 million non-cash mark-to-market gain</w:t>
      </w:r>
    </w:p>
    <w:p>
      <w:pPr>
        <w:spacing w:after="0" w:line="67" w:lineRule="exact"/>
        <w:rPr>
          <w:rFonts w:ascii="Times New Roman" w:cs="Times New Roman" w:eastAsia="Times New Roman" w:hAnsi="Times New Roman"/>
          <w:sz w:val="18"/>
          <w:szCs w:val="18"/>
          <w:color w:val="auto"/>
        </w:rPr>
      </w:pPr>
    </w:p>
    <w:p>
      <w:pPr>
        <w:ind w:left="460" w:right="32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$23.5 million of Adjusted EBITDA</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for the third quarter 2013. Adjusted EBITDA for the nine months ended September 30, 2013 was $68.6 million</w:t>
      </w:r>
    </w:p>
    <w:p>
      <w:pPr>
        <w:spacing w:after="0" w:line="67" w:lineRule="exact"/>
        <w:rPr>
          <w:rFonts w:ascii="Times New Roman" w:cs="Times New Roman" w:eastAsia="Times New Roman" w:hAnsi="Times New Roman"/>
          <w:sz w:val="18"/>
          <w:szCs w:val="18"/>
          <w:color w:val="auto"/>
        </w:rPr>
      </w:pPr>
    </w:p>
    <w:p>
      <w:pPr>
        <w:ind w:left="460" w:right="36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non-cash mark-to-market items, normalized net income</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was $5.9 million for the third quarter 2013 and $12.8 million for the nine months ended September 30, 2013</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$15.8 million of debt during the third quarter 2013 for a total repayment of $214.8 million since the fourth quarter 2009</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Ian Webber, Chief Executive Officer of Global Ship Lease, stated, “During the third quarter, our fleet achieved 100 percent utilization, giving maximum possible revenue and enabling the Company to generate $23.5 million of Adjusted EBITDA. We used our robust cashflow to reduce our debt, repaying $15.8 million during the quarter for a total of $214.8 million repaid since the fourth quarter of 2009. With a fully time chartered fleet and nearly $1 billion in contracted revenues and a de-levered balance sheet, we remain in a strong position to generate stable cash flow for shareholders and further strengthen our balance sheet.”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 - UNAUDITED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(thousands of U.S. dollars)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4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4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Three</w:t>
            </w: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Nine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4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14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4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4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6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6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36,080</w:t>
            </w: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39,454</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107,156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13,450</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16,761</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38,352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7,264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6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24,625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23,544</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26,905</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68,642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Normalized Net Income (1)</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5,874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6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12,794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18,732</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340"/>
          </w:cols>
          <w:pgMar w:left="240" w:top="266" w:right="319" w:bottom="1440" w:gutter="0" w:footer="0" w:header="0"/>
        </w:sectPr>
      </w:pPr>
    </w:p>
    <w:bookmarkStart w:id="4" w:name="page5"/>
    <w:bookmarkEnd w:id="4"/>
    <w:p>
      <w:pPr>
        <w:jc w:val="both"/>
        <w:ind w:left="460" w:right="200" w:hanging="452"/>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and Utilization</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17 vessel fleet generated revenue from fixed rate long-term time charters of $36.1 million in the three months ended September 30, 2013, down $3.4 million on revenue of $39.5 million for the comparative period in 2012 due mainly to reduced revenue for two vessels following charter renewals at lower rates after the initial charters expired in September 2012, offset by less offhire from reduced levels of planned drydocking. There were 1,564 ownership days in the quarter, the same as the comparable period in 2012. There was no offhire in the three months ended September 30, 2013, giving utilization of 100.0%. In the comparable period of 2012, there were 12 days offhire, all for planned drydockings, for utilization of 99.2%.</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2013, revenue was $107.2 million, down $9.8 million on revenue of $117.0 million in the comparative period, mainly due to lower revenue from charter renewals and 17 fewer ownership days as 2012 was a leap year, offset by 55 days less offhire, mainly from reduced levels of planned drydockings.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 below shows fleet utilization for the three and nine months ended September 30, 2013 and 2012 and for the years ended December 31, 2012, 2011, 2010 and 2009.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Three months ended</w:t>
            </w:r>
          </w:p>
        </w:tc>
        <w:tc>
          <w:tcPr>
            <w:tcW w:w="16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Nine months ended</w:t>
            </w: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Dec 31,</w:t>
            </w:r>
          </w:p>
        </w:tc>
        <w:tc>
          <w:tcPr>
            <w:tcW w:w="8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Dec 31,</w:t>
            </w: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w w:val="96"/>
              </w:rPr>
              <w:t>Dec 31,</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Dec 31,</w:t>
            </w:r>
          </w:p>
        </w:tc>
        <w:tc>
          <w:tcPr>
            <w:tcW w:w="0" w:type="dxa"/>
            <w:vAlign w:val="bottom"/>
          </w:tcPr>
          <w:p>
            <w:pPr>
              <w:spacing w:after="0"/>
              <w:rPr>
                <w:sz w:val="1"/>
                <w:szCs w:val="1"/>
                <w:color w:val="auto"/>
              </w:rPr>
            </w:pPr>
          </w:p>
        </w:tc>
      </w:tr>
      <w:tr>
        <w:trPr>
          <w:trHeight w:val="119"/>
        </w:trPr>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Days</w:t>
            </w:r>
          </w:p>
        </w:tc>
        <w:tc>
          <w:tcPr>
            <w:tcW w:w="840" w:type="dxa"/>
            <w:vAlign w:val="bottom"/>
            <w:tcBorders>
              <w:top w:val="single" w:sz="8" w:color="auto"/>
            </w:tcBorders>
            <w:gridSpan w:val="2"/>
          </w:tcPr>
          <w:p>
            <w:pPr>
              <w:jc w:val="right"/>
              <w:ind w:right="380"/>
              <w:spacing w:after="0" w:line="119" w:lineRule="exact"/>
              <w:rPr>
                <w:sz w:val="20"/>
                <w:szCs w:val="20"/>
                <w:color w:val="auto"/>
              </w:rPr>
            </w:pPr>
            <w:r>
              <w:rPr>
                <w:rFonts w:ascii="Times New Roman" w:cs="Times New Roman" w:eastAsia="Times New Roman" w:hAnsi="Times New Roman"/>
                <w:sz w:val="13"/>
                <w:szCs w:val="13"/>
                <w:color w:val="auto"/>
              </w:rPr>
              <w:t>Sept 30,</w:t>
            </w:r>
          </w:p>
        </w:tc>
        <w:tc>
          <w:tcPr>
            <w:tcW w:w="4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Sept 30,</w:t>
            </w:r>
          </w:p>
        </w:tc>
        <w:tc>
          <w:tcPr>
            <w:tcW w:w="38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360"/>
              <w:spacing w:after="0" w:line="119" w:lineRule="exact"/>
              <w:rPr>
                <w:sz w:val="20"/>
                <w:szCs w:val="20"/>
                <w:color w:val="auto"/>
              </w:rPr>
            </w:pPr>
            <w:r>
              <w:rPr>
                <w:rFonts w:ascii="Times New Roman" w:cs="Times New Roman" w:eastAsia="Times New Roman" w:hAnsi="Times New Roman"/>
                <w:sz w:val="13"/>
                <w:szCs w:val="13"/>
                <w:color w:val="auto"/>
              </w:rPr>
              <w:t>Sept 30,</w:t>
            </w:r>
          </w:p>
        </w:tc>
        <w:tc>
          <w:tcPr>
            <w:tcW w:w="4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Sept 30,</w:t>
            </w:r>
          </w:p>
        </w:tc>
        <w:tc>
          <w:tcPr>
            <w:tcW w:w="3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940" w:type="dxa"/>
            <w:vAlign w:val="bottom"/>
            <w:gridSpan w:val="3"/>
            <w:vMerge w:val="continue"/>
          </w:tcPr>
          <w:p>
            <w:pPr>
              <w:spacing w:after="0"/>
              <w:rPr>
                <w:sz w:val="14"/>
                <w:szCs w:val="14"/>
                <w:color w:val="auto"/>
              </w:rPr>
            </w:pPr>
          </w:p>
        </w:tc>
        <w:tc>
          <w:tcPr>
            <w:tcW w:w="480" w:type="dxa"/>
            <w:vAlign w:val="bottom"/>
          </w:tcPr>
          <w:p>
            <w:pPr>
              <w:jc w:val="right"/>
              <w:ind w:right="17"/>
              <w:spacing w:after="0" w:line="158" w:lineRule="exact"/>
              <w:rPr>
                <w:sz w:val="20"/>
                <w:szCs w:val="20"/>
                <w:color w:val="auto"/>
              </w:rPr>
            </w:pPr>
            <w:r>
              <w:rPr>
                <w:rFonts w:ascii="Times New Roman" w:cs="Times New Roman" w:eastAsia="Times New Roman" w:hAnsi="Times New Roman"/>
                <w:sz w:val="14"/>
                <w:szCs w:val="14"/>
                <w:color w:val="auto"/>
              </w:rPr>
              <w:t>2013</w:t>
            </w:r>
          </w:p>
        </w:tc>
        <w:tc>
          <w:tcPr>
            <w:tcW w:w="360" w:type="dxa"/>
            <w:vAlign w:val="bottom"/>
          </w:tcPr>
          <w:p>
            <w:pPr>
              <w:spacing w:after="0"/>
              <w:rPr>
                <w:sz w:val="14"/>
                <w:szCs w:val="14"/>
                <w:color w:val="auto"/>
              </w:rPr>
            </w:pPr>
          </w:p>
        </w:tc>
        <w:tc>
          <w:tcPr>
            <w:tcW w:w="4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2012</w:t>
            </w:r>
          </w:p>
        </w:tc>
        <w:tc>
          <w:tcPr>
            <w:tcW w:w="380" w:type="dxa"/>
            <w:vAlign w:val="bottom"/>
          </w:tcPr>
          <w:p>
            <w:pPr>
              <w:spacing w:after="0"/>
              <w:rPr>
                <w:sz w:val="14"/>
                <w:szCs w:val="14"/>
                <w:color w:val="auto"/>
              </w:rPr>
            </w:pPr>
          </w:p>
        </w:tc>
        <w:tc>
          <w:tcPr>
            <w:tcW w:w="4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2013</w:t>
            </w:r>
          </w:p>
        </w:tc>
        <w:tc>
          <w:tcPr>
            <w:tcW w:w="360" w:type="dxa"/>
            <w:vAlign w:val="bottom"/>
          </w:tcPr>
          <w:p>
            <w:pPr>
              <w:spacing w:after="0"/>
              <w:rPr>
                <w:sz w:val="14"/>
                <w:szCs w:val="14"/>
                <w:color w:val="auto"/>
              </w:rPr>
            </w:pPr>
          </w:p>
        </w:tc>
        <w:tc>
          <w:tcPr>
            <w:tcW w:w="480" w:type="dxa"/>
            <w:vAlign w:val="bottom"/>
          </w:tcPr>
          <w:p>
            <w:pPr>
              <w:jc w:val="right"/>
              <w:ind w:right="16"/>
              <w:spacing w:after="0" w:line="158" w:lineRule="exact"/>
              <w:rPr>
                <w:sz w:val="20"/>
                <w:szCs w:val="20"/>
                <w:color w:val="auto"/>
              </w:rPr>
            </w:pPr>
            <w:r>
              <w:rPr>
                <w:rFonts w:ascii="Times New Roman" w:cs="Times New Roman" w:eastAsia="Times New Roman" w:hAnsi="Times New Roman"/>
                <w:sz w:val="14"/>
                <w:szCs w:val="14"/>
                <w:color w:val="auto"/>
              </w:rPr>
              <w:t>2012</w:t>
            </w:r>
          </w:p>
        </w:tc>
        <w:tc>
          <w:tcPr>
            <w:tcW w:w="360" w:type="dxa"/>
            <w:vAlign w:val="bottom"/>
          </w:tcPr>
          <w:p>
            <w:pPr>
              <w:spacing w:after="0"/>
              <w:rPr>
                <w:sz w:val="14"/>
                <w:szCs w:val="14"/>
                <w:color w:val="auto"/>
              </w:rPr>
            </w:pPr>
          </w:p>
        </w:tc>
        <w:tc>
          <w:tcPr>
            <w:tcW w:w="4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2012</w:t>
            </w:r>
          </w:p>
        </w:tc>
        <w:tc>
          <w:tcPr>
            <w:tcW w:w="380" w:type="dxa"/>
            <w:vAlign w:val="bottom"/>
          </w:tcPr>
          <w:p>
            <w:pPr>
              <w:spacing w:after="0"/>
              <w:rPr>
                <w:sz w:val="14"/>
                <w:szCs w:val="14"/>
                <w:color w:val="auto"/>
              </w:rPr>
            </w:pPr>
          </w:p>
        </w:tc>
        <w:tc>
          <w:tcPr>
            <w:tcW w:w="4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2011</w:t>
            </w:r>
          </w:p>
        </w:tc>
        <w:tc>
          <w:tcPr>
            <w:tcW w:w="380" w:type="dxa"/>
            <w:vAlign w:val="bottom"/>
          </w:tcPr>
          <w:p>
            <w:pPr>
              <w:spacing w:after="0"/>
              <w:rPr>
                <w:sz w:val="14"/>
                <w:szCs w:val="14"/>
                <w:color w:val="auto"/>
              </w:rPr>
            </w:pPr>
          </w:p>
        </w:tc>
        <w:tc>
          <w:tcPr>
            <w:tcW w:w="460" w:type="dxa"/>
            <w:vAlign w:val="bottom"/>
          </w:tcPr>
          <w:p>
            <w:pPr>
              <w:jc w:val="right"/>
              <w:ind w:right="15"/>
              <w:spacing w:after="0" w:line="158" w:lineRule="exact"/>
              <w:rPr>
                <w:sz w:val="20"/>
                <w:szCs w:val="20"/>
                <w:color w:val="auto"/>
              </w:rPr>
            </w:pPr>
            <w:r>
              <w:rPr>
                <w:rFonts w:ascii="Times New Roman" w:cs="Times New Roman" w:eastAsia="Times New Roman" w:hAnsi="Times New Roman"/>
                <w:sz w:val="14"/>
                <w:szCs w:val="14"/>
                <w:color w:val="auto"/>
              </w:rPr>
              <w:t>2010</w:t>
            </w:r>
          </w:p>
        </w:tc>
        <w:tc>
          <w:tcPr>
            <w:tcW w:w="360" w:type="dxa"/>
            <w:vAlign w:val="bottom"/>
          </w:tcPr>
          <w:p>
            <w:pPr>
              <w:spacing w:after="0"/>
              <w:rPr>
                <w:sz w:val="14"/>
                <w:szCs w:val="14"/>
                <w:color w:val="auto"/>
              </w:rPr>
            </w:pPr>
          </w:p>
        </w:tc>
        <w:tc>
          <w:tcPr>
            <w:tcW w:w="4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Ownership days</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1,564</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1,564</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4,641</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4,658</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6,222</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6,205</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6,205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Planned offhire - scheduled drydock</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Unplanned offhire</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8"/>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days</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3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3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3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380" w:type="dxa"/>
            <w:vAlign w:val="bottom"/>
          </w:tcPr>
          <w:p>
            <w:pPr>
              <w:spacing w:after="0"/>
              <w:rPr>
                <w:sz w:val="19"/>
                <w:szCs w:val="19"/>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6,099</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3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99.4%</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98.2%</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There were no drydockings in the second or third quarters of 2013. Two vessels were drydocked in the first quarter 2013. One further vessel has recently undergone its first special survey whilst afloat including an underwater inspection in lieu of a drydocking. As a result, the next scheduled inspection in a drydock is postponed to November 2016. Two drydockings are scheduled for 2014, and none for 2015.</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Vessel Operating Expenses</w:t>
      </w:r>
    </w:p>
    <w:p>
      <w:pPr>
        <w:spacing w:after="0" w:line="11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Vessel operating expenses, which include costs of crew, lubricating oil, spares and insurance, were $11.1 million for the three months ended September 30, 2013. The average cost per ownership day in the quarter was $7,127, down $32 per day or 0.4% on $7,159 for the comparative period, with increased costs for crew and repairs and maintenance offset by prior period adjustments for port costs.</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2013, vessel operating expenses were $34.3 million, or an average of $7,391 per day, compared to $34.1 million in the comparative period, or $7,315 per day. The increase of $76 per day, or 1.0%, is mainly due to increased costs for crew and repairs and maintenance offset by prior period adjustments for port costs.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for the three months ended September 30, 2013 was $10.1 million, the same as for the comparative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for the nine months ended September 30, 2013 was $30.3 million, the same as for the comparative period.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costs were $1.5 million in the three months ended September 30, 2013, compared to $1.4 million in the third quarter of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2013, general and administrative costs were $4.5 million compared to $4.3 million for 2012.</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income in the three months ended September 30, 2013 was $0.1 million, the same as for the third quarter 2012.</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2013, other operating income was $0.3 million, compared to $0.2 million for the nine months to September 30, 2012.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a result of the above, Adjusted EBITDA was $23.5 million for the three months ended September 30, 2013, down from $26.9 million for the three months ended September 30, 2012.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for the nine months ended September 30, 2013 was $68.6 million, compared to $78.9 million for the comparative period.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Interest expense, excluding the effect of interest rate derivatives which do not qualify for hedge accounting, for the three months ended September 30, 2013 was $4.7 million. The Company’s borrowings under its credit facility averaged $400.1 million during the three months ended September 30, 2013. There were $45.0 million preferred shares throughout the period, giving total average borrowings through the three months ended September 30, 2013 of $445.1 million. Interest expense in the comparative period in 2012 was $5.3 million on average borrowings, including the preferred shares, of $505.5 million.</w:t>
      </w:r>
    </w:p>
    <w:p>
      <w:pPr>
        <w:spacing w:after="0" w:line="18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2013, interest expense, excluding the effect of interest rate derivatives which do not qualify for hedge accounting, was $14.4 million. The Company’s borrowings under its credit facility and including the $45.0 million preferred shares, averaged $457.1 million during the nine months ended September 30, 2013. Interest expense for the nine months ended September 30, 2012 was $16.1 million based on average borrowings in that period, including the preferred shares, of $518.9 million.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420"/>
          </w:cols>
          <w:pgMar w:left="240" w:top="26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income for the three and nine months ended September 30, 2013 and 2012 was not material.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Interest Rate Derivatives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hedges its interest rate exposure by entering into derivatives that swap floating rate debt for fixed rate debt to provide long-term stability and predictability to cash flows. The Company’s derivative hedging instruments gave a realized loss of $2.9 million in the three months ended September 30, 2013 for settlement of swaps in the period, as current LIBOR rates are lower than the average fixed rates. This loss is $1.5 million lower than the $4.6 million in the three months ended September 30, 2012, as $253 million of derivatives expired in March 2013. A further $50 million of derivatives expire November 29, 2013. As these hedges do not qualify for hedge accounting under US GAAP, the outstanding hedges are marked to market at each period end with any change in the fair value being booked to the income and expenditure account as an unrealized gain or loss. There was a $1.4 million unrealized gain in the three months ended September 30, 2013 for revaluation of the balance sheet position given current LIBOR and movements in the forward curve for interest rates. This compares to an unrealized gain of $1.5 million in the three months ended September 30, 2012.</w:t>
      </w:r>
    </w:p>
    <w:p>
      <w:pPr>
        <w:spacing w:after="0" w:line="18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2013, the realized loss from hedges was $11.2 million and the unrealized gain was $11.8 million. This compares to a realized loss of $13.7 million and an unrealized gain of $5.1 million in the nine months ended September 30, 2012.</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September 30, 2013, interest rate derivatives totaled $327.0 million against floating rate debt of $429.3 million, including the preferred shares. The total mark-to-market unrealized loss recognized as a liability on the balance sheet at September 30, 2013 was $23.8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mark-to-market adjustments have no impact on operating performance or cash generation in the period reported.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for the three months ended September 30, 2013 was $24,000, compared to $22,000 in the third quarter of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for the nine months ended September 30, 2013 was $63,000, compared to $90,000 for the comparative period in 2012.</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Income/Loss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September 30, 2013 was $7.3 million after $1.4 million non-cash interest rate derivative mark-to-market gain. For the three months ended September 30, 2012, net income was $8.3 million after the $1.5 million non-cash interest rate derivative mark-to-market gain. Normalized net income, which excludes the effect of the non-cash interest rate derivative mark-to-market gains and losses, was $5.9 million for the three months ended September 30, 2013 and $6.9 million for the three months ended September 30, 2012.</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income was $24.6 million for the nine months ended September 30, 2013 after an $11.8 million non-cash interest rate derivative mark-to-market gain. For the nine months ended September 30, 2012, net income was $23.8 million after the $5.1 million non-cash interest rate derivative mark-to-market gain. Normalized net income was $12.8 million for the nine months ended September 30, 2013 and $18.7 million for the nine months ended September 30, 2012.</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Facility</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container shipping industry has been experiencing a significant cyclical downturn. As a consequence, there has been a continued decline in charter free market values of containerships since mid-2012. While the Company’s stable business model largely insulates it from volatility in the freight and charter markets, a covenant in the credit facility with respect to the Leverage Ratio, which is the ratio of outstanding drawings under the credit facility and the aggregate charter free market value of the secured vessels, causes the Company to be sensitive to significant declines in vessel values. Under the terms of the credit facility, the Leverage Ratio cannot exceed 75%. The Leverage Ratio has little impact on the Company’s operating performance, as cash flows are largely predictable under its business model.</w:t>
      </w:r>
    </w:p>
    <w:p>
      <w:pPr>
        <w:spacing w:after="0" w:line="188"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anticipation of the scheduled test of the Leverage Ratio as at November 30, 2012, when the Company expected that the Leverage Ratio would be between 75% and 90%, the Company agreed with its lenders to waive the requirement to perform the Leverage Ratio test until December 1, 2014. Under the terms of the waiver, the fixed interest margin to be paid over LIBOR increased to 3.75%, prepayments became based on cash flow rather than a fixed amount of $10 million per quarter, and dividends on common shares cannot be paid.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September 30, 2013, a total of $15.8 million of debt was repaid, leaving a balance outstanding of $384.3 million.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Ship Lease is not currently able to pay a dividend on common shares under the terms of the credit facility waiver.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Fleet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as at September 30, 2013, about the on-the-water fleet of 17 vessels chartered to CMA CGM.</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Earliest</w:t>
            </w: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Charter</w:t>
            </w:r>
          </w:p>
        </w:tc>
        <w:tc>
          <w:tcPr>
            <w:tcW w:w="12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510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 xml:space="preserve">Term </w:t>
            </w:r>
            <w:r>
              <w:rPr>
                <w:rFonts w:ascii="Times New Roman" w:cs="Times New Roman" w:eastAsia="Times New Roman" w:hAnsi="Times New Roman"/>
                <w:sz w:val="12"/>
                <w:szCs w:val="12"/>
                <w:b w:val="1"/>
                <w:bCs w:val="1"/>
                <w:color w:val="auto"/>
                <w:w w:val="98"/>
              </w:rPr>
              <w:t>(2)</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Charter Expiry</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Charter</w:t>
            </w:r>
          </w:p>
        </w:tc>
        <w:tc>
          <w:tcPr>
            <w:tcW w:w="0" w:type="dxa"/>
            <w:vAlign w:val="bottom"/>
          </w:tcPr>
          <w:p>
            <w:pPr>
              <w:spacing w:after="0"/>
              <w:rPr>
                <w:sz w:val="1"/>
                <w:szCs w:val="1"/>
                <w:color w:val="auto"/>
              </w:rPr>
            </w:pPr>
          </w:p>
        </w:tc>
      </w:tr>
      <w:tr>
        <w:trPr>
          <w:trHeight w:val="180"/>
        </w:trPr>
        <w:tc>
          <w:tcPr>
            <w:tcW w:w="800" w:type="dxa"/>
            <w:vAlign w:val="bottom"/>
            <w:tcBorders>
              <w:bottom w:val="single" w:sz="8" w:color="auto"/>
            </w:tcBorders>
            <w:vMerge w:val="continue"/>
          </w:tcPr>
          <w:p>
            <w:pPr>
              <w:spacing w:after="0"/>
              <w:rPr>
                <w:sz w:val="15"/>
                <w:szCs w:val="15"/>
                <w:color w:val="auto"/>
              </w:rPr>
            </w:pPr>
          </w:p>
        </w:tc>
        <w:tc>
          <w:tcPr>
            <w:tcW w:w="5100" w:type="dxa"/>
            <w:vAlign w:val="bottom"/>
            <w:vMerge w:val="continue"/>
          </w:tcPr>
          <w:p>
            <w:pPr>
              <w:spacing w:after="0"/>
              <w:rPr>
                <w:sz w:val="15"/>
                <w:szCs w:val="15"/>
                <w:color w:val="auto"/>
              </w:rPr>
            </w:pPr>
          </w:p>
        </w:tc>
        <w:tc>
          <w:tcPr>
            <w:tcW w:w="100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 xml:space="preserve">in TEUs </w:t>
            </w:r>
            <w:r>
              <w:rPr>
                <w:rFonts w:ascii="Times New Roman" w:cs="Times New Roman" w:eastAsia="Times New Roman" w:hAnsi="Times New Roman"/>
                <w:sz w:val="12"/>
                <w:szCs w:val="12"/>
                <w:b w:val="1"/>
                <w:bCs w:val="1"/>
                <w:color w:val="auto"/>
                <w:w w:val="98"/>
              </w:rPr>
              <w:t>(1)</w:t>
            </w:r>
          </w:p>
        </w:tc>
        <w:tc>
          <w:tcPr>
            <w:tcW w:w="7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Built</w:t>
            </w:r>
          </w:p>
        </w:tc>
        <w:tc>
          <w:tcPr>
            <w:tcW w:w="9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by GSL</w:t>
            </w:r>
          </w:p>
        </w:tc>
        <w:tc>
          <w:tcPr>
            <w:tcW w:w="9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12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Rate $</w:t>
            </w: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Ville d’Orion</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4,113</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1997</w:t>
            </w: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Dec 2007</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0.6</w:t>
            </w:r>
          </w:p>
        </w:tc>
        <w:tc>
          <w:tcPr>
            <w:tcW w:w="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April 1, 2014</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Ville d’Aquarius</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4,113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1996</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 2007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0.6</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April 1, 2014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Matisse</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1999</w:t>
            </w:r>
          </w:p>
        </w:tc>
        <w:tc>
          <w:tcPr>
            <w:tcW w:w="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 2007</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 21, 2016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18,465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Utrillo</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1999</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 2007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 11, 2016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18,465</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Delmas Keta</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2,207</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2003</w:t>
            </w:r>
          </w:p>
        </w:tc>
        <w:tc>
          <w:tcPr>
            <w:tcW w:w="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 2007</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 20, 2017</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18,465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Delmas</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2002</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 2007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 11, 2017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18,465</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Kumasi</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2,207</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2002</w:t>
            </w:r>
          </w:p>
        </w:tc>
        <w:tc>
          <w:tcPr>
            <w:tcW w:w="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 2007</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 21, 2017</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18,465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Marie Delmas</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2002</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 2007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 14, 2017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18,465</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La Tour</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2,272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2001</w:t>
            </w:r>
          </w:p>
        </w:tc>
        <w:tc>
          <w:tcPr>
            <w:tcW w:w="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 2007</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 20, 2016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18,465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Manet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2001</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 2007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 7, 2016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18,465</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Alcazar</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5,089</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2007</w:t>
            </w:r>
          </w:p>
        </w:tc>
        <w:tc>
          <w:tcPr>
            <w:tcW w:w="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Jan 2008</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w:t>
            </w: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Oct 18, 2020</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33,750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Château d’If</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5,089</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2007</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Jan 2008</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Oct 11, 2020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33,750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Thalassa</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11,040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2008</w:t>
            </w:r>
          </w:p>
        </w:tc>
        <w:tc>
          <w:tcPr>
            <w:tcW w:w="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 2008</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w:t>
            </w: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Oct 1, 2025</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Jamaica</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4,298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2006</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 2008</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 17, 2022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25,350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Sambhar</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4,045</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2006</w:t>
            </w:r>
          </w:p>
        </w:tc>
        <w:tc>
          <w:tcPr>
            <w:tcW w:w="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 2008</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w:t>
            </w: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 16, 2022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25,350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America</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4,045</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2006</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 2008</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 19, 2022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25,350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Berlioz</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6,621</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2001</w:t>
            </w:r>
          </w:p>
        </w:tc>
        <w:tc>
          <w:tcPr>
            <w:tcW w:w="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Aug 2009</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w:t>
            </w: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May 28, 2021</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34,000</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i w:val="1"/>
          <w:iCs w:val="1"/>
          <w:color w:val="auto"/>
        </w:rPr>
        <w:t>(1)</w:t>
        <w:tab/>
        <w:t>Twenty-foot Equivalent Units.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420"/>
          </w:cols>
          <w:pgMar w:left="240" w:top="268" w:right="239" w:bottom="1440" w:gutter="0" w:footer="0" w:header="0"/>
        </w:sectPr>
      </w:pPr>
    </w:p>
    <w:bookmarkStart w:id="8" w:name="page9"/>
    <w:bookmarkEnd w:id="8"/>
    <w:p>
      <w:pPr>
        <w:ind w:left="460" w:right="260" w:hanging="452"/>
        <w:spacing w:after="0" w:line="284" w:lineRule="auto"/>
        <w:tabs>
          <w:tab w:leader="none" w:pos="4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at September 30, 2013. Plus or minus 90 days at charterer’s option other than for Ville d’Orion and Ville d’Aquarius, which are plus or minus 30 days.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121"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Global Ship Lease will hold a conference call to discuss the Company’s results for the three months ended September 30, 2013 today, Thursday, November 14, 2013 at 10:30 a.m. Eastern Time. There are two ways to access the conference call: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Dial-in: (866) 966-9439 or (631) 510-7498; Passcode: 94970340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dial in at least 10 minutes prior to 10:30 a.m. Eastern Time to ensure a prompt start to the call.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Live Internet webcast and slide presentation: http://www.globalshiplease.com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unable to participate at this time, a replay of the call will be available through Thursday, November 28, 2013 at (866) 247-4222 or (631) 510-7499.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Enter the code 94970340 to access the audio replay. The webcast will also be archived on the Company’s website: </w:t>
      </w:r>
      <w:r>
        <w:rPr>
          <w:rFonts w:ascii="Times New Roman" w:cs="Times New Roman" w:eastAsia="Times New Roman" w:hAnsi="Times New Roman"/>
          <w:sz w:val="18"/>
          <w:szCs w:val="18"/>
          <w:u w:val="single" w:color="auto"/>
          <w:color w:val="auto"/>
        </w:rPr>
        <w:t>http://www.globalshiplease.com</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Form 20F</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Global Ship Lease, Inc has filed its Annual Report for 2012 with the Securities and Exchange Commission. A copy of the report can be found under the Investor Relations section (Annual Reports) of the Company’s website at http://www.globalshiplease.com . Shareholders may request a hard copy of the audited financial statements free of charge by contacting the Company at info@globalshiplease.com or by writing to Global Ship Lease, Inc, care of Global Ship Lease Services Limited, Portland House, Stag Place, London SW1E 5RS or by telephoning +44 (0) 207 869 8806.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Global Ship Lease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Ship Lease owns 17 vessels with a total capacity of 66,349 TEU with an average age, weighted by TEU capacity, at September 30, 2013 of 9.6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current vessels are fixed on charters to CMA CGM with an average remaining term of 5.5 years, or 6.7 years on a weighted basis.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Non-U.S. GAAP Financial Measures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Adjusted EBITDA</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Adjusted EBITDA represents Net income (loss) before interest income and expense including amortization of deferred finance costs, realized and unrealized gain (loss) on derivatives, income taxes, depreciation, amortization and impairment charges. Adjusted EBITDA is a non-US GAAP quantitative measure used to assist in the assessment of the Company’s ability to generate cash from its operations. We believe that the presentation of Adjusted EBITDA is useful to investors because it is frequently used by securities analysts, investors and other interested parties in the evaluation of companies in our industry. Adjusted EBITDA is not defined in US GAAP and should not be considered to be an alternate to Net income (loss) or any other financial metric required by such accounting principles.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400"/>
          </w:cols>
          <w:pgMar w:left="240" w:top="268"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EBITDA - UNAUDITED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(thousands of U.S. dollars)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Three</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Three</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Nine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Sept 30,</w:t>
            </w: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Sept 30,</w:t>
            </w: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Sept 30,</w:t>
            </w:r>
          </w:p>
        </w:tc>
        <w:tc>
          <w:tcPr>
            <w:tcW w:w="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Sept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2012</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2013</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60" w:type="dxa"/>
            <w:vAlign w:val="bottom"/>
          </w:tcPr>
          <w:p>
            <w:pPr>
              <w:spacing w:after="0"/>
              <w:rPr>
                <w:sz w:val="7"/>
                <w:szCs w:val="7"/>
                <w:color w:val="auto"/>
              </w:rPr>
            </w:pPr>
          </w:p>
        </w:tc>
        <w:tc>
          <w:tcPr>
            <w:tcW w:w="6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8,343</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24,625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w:t>
            </w:r>
          </w:p>
        </w:tc>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2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10,144</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30,290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5,272</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14,363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Realized loss on interest rate derivatives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interest rate derivatives</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(1,390)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(11,831)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26,905</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68,642</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Normalized net income</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Normalized net income represents Net income (loss) adjusted for the unrealized gain (loss) on derivatives, the accelerated write off of a portion of deferred financing costs and impairment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(loss) or any other financial metric required by such accounting principles.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NORMALIZED NET INCOME - UNAUDITED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(thousands of U.S. dollars)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Three</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Three</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Nine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Sept 30,</w:t>
            </w: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Sept 30,</w:t>
            </w: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Sept 30,</w:t>
            </w:r>
          </w:p>
        </w:tc>
        <w:tc>
          <w:tcPr>
            <w:tcW w:w="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Sept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660" w:type="dxa"/>
            <w:vAlign w:val="bottom"/>
            <w:gridSpan w:val="2"/>
          </w:tcPr>
          <w:p>
            <w:pPr>
              <w:jc w:val="center"/>
              <w:ind w:left="3036"/>
              <w:spacing w:after="0"/>
              <w:rPr>
                <w:sz w:val="20"/>
                <w:szCs w:val="20"/>
                <w:color w:val="auto"/>
              </w:rPr>
            </w:pPr>
            <w:r>
              <w:rPr>
                <w:rFonts w:ascii="Times New Roman" w:cs="Times New Roman" w:eastAsia="Times New Roman" w:hAnsi="Times New Roman"/>
                <w:sz w:val="14"/>
                <w:szCs w:val="14"/>
                <w:color w:val="auto"/>
              </w:rPr>
              <w:t>2013</w:t>
            </w:r>
          </w:p>
        </w:tc>
        <w:tc>
          <w:tcPr>
            <w:tcW w:w="3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2012</w:t>
            </w: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3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0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7,264</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8,343</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24,625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w:t>
            </w:r>
          </w:p>
        </w:tc>
        <w:tc>
          <w:tcPr>
            <w:tcW w:w="3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interest rate derivatives</w:t>
            </w:r>
          </w:p>
        </w:tc>
        <w:tc>
          <w:tcPr>
            <w:tcW w:w="3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(1,390)</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(1,492)</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(11,831)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Normalized net income</w:t>
            </w:r>
          </w:p>
        </w:tc>
        <w:tc>
          <w:tcPr>
            <w:tcW w:w="3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12,794</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960" w:type="dxa"/>
            <w:vAlign w:val="bottom"/>
            <w:gridSpan w:val="3"/>
          </w:tcPr>
          <w:p>
            <w:pPr>
              <w:jc w:val="right"/>
              <w:ind w:right="2580"/>
              <w:spacing w:after="0"/>
              <w:rPr>
                <w:sz w:val="20"/>
                <w:szCs w:val="20"/>
                <w:color w:val="auto"/>
              </w:rPr>
            </w:pPr>
            <w:r>
              <w:rPr>
                <w:rFonts w:ascii="Times New Roman" w:cs="Times New Roman" w:eastAsia="Times New Roman" w:hAnsi="Times New Roman"/>
                <w:sz w:val="18"/>
                <w:szCs w:val="18"/>
                <w:color w:val="auto"/>
              </w:rPr>
              <w:t>Page 8</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66" w:right="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and uncertainties include, but are not limited to:</w:t>
      </w:r>
    </w:p>
    <w:p>
      <w:pPr>
        <w:spacing w:after="0" w:line="131"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or financial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future growth of the container shipping industry, including the rates of annual demand and supply growth;</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CMA CGM, our sole charterer and only source of operating revenue, and its ability to pay charterhire in accordance with the charters;</w:t>
      </w:r>
    </w:p>
    <w:p>
      <w:pPr>
        <w:spacing w:after="0" w:line="67" w:lineRule="exact"/>
        <w:rPr>
          <w:rFonts w:ascii="Times New Roman" w:cs="Times New Roman" w:eastAsia="Times New Roman" w:hAnsi="Times New Roman"/>
          <w:sz w:val="18"/>
          <w:szCs w:val="18"/>
          <w:color w:val="auto"/>
        </w:rPr>
      </w:pPr>
    </w:p>
    <w:p>
      <w:pPr>
        <w:jc w:val="both"/>
        <w:ind w:left="900" w:right="52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financial condition and liquidity, including its ability to obtain additional waivers which might be necessary under the existing credit facility or obtain additional financing to fund capital expenditures, vessel acquisitions and other general corporate purposes;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ability to meet its financial covenants and repay its credit facility;</w:t>
      </w:r>
    </w:p>
    <w:p>
      <w:pPr>
        <w:spacing w:after="0" w:line="130"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business strategy and expected capital spending;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availability of crew, number of off-hire days, drydocking and survey requirements and insurance costs;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shipping industry trends, including charter rates and factors affecting supply and demand;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interest rates and inflation;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of growth of global and various regional economies;</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incidental to vessel operation, including piracy, discharge of pollutants and vessel accidents and damage including total or constructive total loss;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capital expenditures needed to preserve its capital base;</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expectations about the availability of ships to purchase, the time that it may take to construct new ships, or the useful lives of its ships;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continued ability to enter into or renew long-term, fixed-rate charters;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performance of existing long-term, fixed-rate time charters;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1420"/>
          </w:cols>
          <w:pgMar w:left="240" w:top="266" w:right="239" w:bottom="1440" w:gutter="0" w:footer="0" w:header="0"/>
        </w:sectPr>
      </w:pPr>
    </w:p>
    <w:bookmarkStart w:id="11" w:name="page12"/>
    <w:bookmarkEnd w:id="11"/>
    <w:p>
      <w:pPr>
        <w:ind w:left="90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Lease’s ability to capitalize on its management’s and board of directors’ relationships and reputations in the containership industry to its advantage;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and classification societies’ rules and regulations or actions taken by regulatory authorities;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the availability of insurance on commercially reasonable terms;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laws and regulations including taxation;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from future litigation.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1380"/>
          </w:cols>
          <w:pgMar w:left="240" w:top="270" w:right="2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Unaudited Consolidated Statements of Income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3"/>
                <w:szCs w:val="13"/>
                <w:color w:val="auto"/>
              </w:rPr>
            </w:pPr>
          </w:p>
        </w:tc>
        <w:tc>
          <w:tcPr>
            <w:tcW w:w="240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Time charter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36,080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39,454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107,156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117,037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expenses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34,300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10,144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16,761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38,352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48,583</w:t>
            </w: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 Operating Income (Expense)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(5,272)</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on interest rate derivatives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interest rate derivatives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23,897</w:t>
            </w: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24,625</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9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47,513,934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47,481,864</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47,513,934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47,481,733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47,769,990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47,636,298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47,763,314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47,600,196</w:t>
            </w: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Class A common share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0.52</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Class B common shares outstanding</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7,405,956</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Class B common share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w:t>
      </w:r>
    </w:p>
    <w:p>
      <w:pPr>
        <w:sectPr>
          <w:pgSz w:w="11900" w:h="16838" w:orient="portrait"/>
          <w:cols w:equalWidth="0" w:num="1">
            <w:col w:w="11420"/>
          </w:cols>
          <w:pgMar w:left="240" w:top="266"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Unaudited Consolidated Balance Sheets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6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26,852</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 in operation</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827,959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fixed assets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830,144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868,375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60,937</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liability - charter agreements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12,225</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323,339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44,976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liability - charter agreements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23,366</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398,484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476,876</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 authorized</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214,000,000 shares with a $0.01 par value;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47,513,934 shares issued and outstanding (2012 - 47,481,864)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475</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 authorized</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20,000,000 shares with a $0.01 par value;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7,405,956 shares issued and outstanding (2012 - 7,405,956)</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352,602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38,348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13,723</w:t>
            </w: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391,499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868,375</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w:t>
      </w:r>
    </w:p>
    <w:p>
      <w:pPr>
        <w:sectPr>
          <w:pgSz w:w="11900" w:h="16838" w:orient="portrait"/>
          <w:cols w:equalWidth="0" w:num="1">
            <w:col w:w="11420"/>
          </w:cols>
          <w:pgMar w:left="240" w:top="266"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Unaudited Consolidated Statements of Cash Flows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7,264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8,343</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24,625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2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10,094</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10,144</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30,290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(1,390)</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(1,492)</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(11,831)</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liability</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hedges which do not qualify for hedge accounting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2,877</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4,638</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11,167</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other receivables and other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5,977</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6,495</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accounts payable and other liabilities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(4,577)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15,578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25,287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55,881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68,830</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hedges which do not qualify for hedge accounting</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(2,877)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(11,167)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drydockings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(1,003)</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(2,607)</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(3,880)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(13,774)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(18,470)</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debt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(15,803)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(41,400)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Variation in restricted cash</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3,024</w:t>
            </w: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preferred shares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(15,803)</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start of Period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30,957</w:t>
            </w:r>
          </w:p>
        </w:tc>
        <w:tc>
          <w:tcPr>
            <w:tcW w:w="2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32,461</w:t>
            </w:r>
          </w:p>
        </w:tc>
        <w:tc>
          <w:tcPr>
            <w:tcW w:w="2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26,145</w:t>
            </w:r>
          </w:p>
        </w:tc>
        <w:tc>
          <w:tcPr>
            <w:tcW w:w="2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25,814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4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26,852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29,318</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26,852</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29,318</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paid</w:t>
            </w:r>
          </w:p>
        </w:tc>
        <w:tc>
          <w:tcPr>
            <w:tcW w:w="4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5,685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5,013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14,841</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15,414</w:t>
            </w: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5400"/>
              <w:spacing w:after="0"/>
              <w:rPr>
                <w:sz w:val="20"/>
                <w:szCs w:val="20"/>
                <w:color w:val="auto"/>
              </w:rPr>
            </w:pPr>
            <w:r>
              <w:rPr>
                <w:rFonts w:ascii="Times New Roman" w:cs="Times New Roman" w:eastAsia="Times New Roman" w:hAnsi="Times New Roman"/>
                <w:sz w:val="18"/>
                <w:szCs w:val="18"/>
                <w:color w:val="auto"/>
              </w:rPr>
              <w:t>Page 13</w:t>
            </w: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INTERIM UNAUDITED CONSOLIDATED FINANCIAL STATEMENTS</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THREE AND NINE MONTH PERIODS ENDED SEPTEMBER 30, 2013</w:t>
      </w:r>
    </w:p>
    <w:p>
      <w:pPr>
        <w:sectPr>
          <w:pgSz w:w="11900" w:h="16838" w:orient="portrait"/>
          <w:cols w:equalWidth="0" w:num="1">
            <w:col w:w="10220"/>
          </w:cols>
          <w:pgMar w:left="1440" w:top="266"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Unaudited Consolidated Balance Sheets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58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color w:val="auto"/>
              </w:rPr>
              <w:t>Note</w:t>
            </w:r>
          </w:p>
        </w:tc>
        <w:tc>
          <w:tcPr>
            <w:tcW w:w="180" w:type="dxa"/>
            <w:vAlign w:val="bottom"/>
          </w:tcPr>
          <w:p>
            <w:pPr>
              <w:spacing w:after="0"/>
              <w:rPr>
                <w:sz w:val="16"/>
                <w:szCs w:val="16"/>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26,852</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 in operation</w:t>
            </w:r>
          </w:p>
        </w:tc>
        <w:tc>
          <w:tcPr>
            <w:tcW w:w="2580" w:type="dxa"/>
            <w:vAlign w:val="bottom"/>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fixed assets</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580" w:type="dxa"/>
            <w:vAlign w:val="bottom"/>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5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2580" w:type="dxa"/>
            <w:vAlign w:val="bottom"/>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60,937</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liability - charter agreements</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580" w:type="dxa"/>
            <w:vAlign w:val="bottom"/>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12,225</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2580" w:type="dxa"/>
            <w:vAlign w:val="bottom"/>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58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liability - charter agreements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580" w:type="dxa"/>
            <w:vAlign w:val="bottom"/>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23,366</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2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476,876</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58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 authorized</w:t>
            </w: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214,000,000 shares with a $0.01 par value;</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47,513,934 shares issued and outstanding (2012 - 47,481,864)</w:t>
            </w:r>
          </w:p>
        </w:tc>
        <w:tc>
          <w:tcPr>
            <w:tcW w:w="258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 authorized</w:t>
            </w:r>
          </w:p>
        </w:tc>
        <w:tc>
          <w:tcPr>
            <w:tcW w:w="2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20,000,000 shares with a $0.01 par value;</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7,405,956 shares issued and outstanding (2012 - 7,405,956)</w:t>
            </w:r>
          </w:p>
        </w:tc>
        <w:tc>
          <w:tcPr>
            <w:tcW w:w="2580" w:type="dxa"/>
            <w:vAlign w:val="bottom"/>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352,602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13,723</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391,499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868,375</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420"/>
          </w:cols>
          <w:pgMar w:left="240" w:top="266"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Unaudited Consolidated Statements of Income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3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gridSpan w:val="5"/>
          </w:tcPr>
          <w:p>
            <w:pPr>
              <w:jc w:val="right"/>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2300" w:type="dxa"/>
            <w:vAlign w:val="bottom"/>
            <w:gridSpan w:val="6"/>
          </w:tcPr>
          <w:p>
            <w:pPr>
              <w:jc w:val="right"/>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Note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Time charter revenue</w:t>
            </w:r>
          </w:p>
        </w:tc>
        <w:tc>
          <w:tcPr>
            <w:tcW w:w="9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36,080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39,454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107,156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117,037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expenses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11,146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34,300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10,094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22,630</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13,450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16,761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38,352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48,583</w:t>
            </w:r>
          </w:p>
        </w:tc>
        <w:tc>
          <w:tcPr>
            <w:tcW w:w="0" w:type="dxa"/>
            <w:vAlign w:val="bottom"/>
          </w:tcPr>
          <w:p>
            <w:pPr>
              <w:spacing w:after="0"/>
              <w:rPr>
                <w:sz w:val="1"/>
                <w:szCs w:val="1"/>
                <w:color w:val="auto"/>
              </w:rPr>
            </w:pPr>
          </w:p>
        </w:tc>
      </w:tr>
      <w:tr>
        <w:trPr>
          <w:trHeight w:val="32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 Operating Income (Expense)</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(4,687)</w:t>
            </w: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on interest rate derivatives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(2,877)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interest rate derivatives</w:t>
            </w:r>
          </w:p>
        </w:tc>
        <w:tc>
          <w:tcPr>
            <w:tcW w:w="9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7,288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8,365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23,897</w:t>
            </w:r>
          </w:p>
        </w:tc>
        <w:tc>
          <w:tcPr>
            <w:tcW w:w="0" w:type="dxa"/>
            <w:vAlign w:val="bottom"/>
          </w:tcPr>
          <w:p>
            <w:pPr>
              <w:spacing w:after="0"/>
              <w:rPr>
                <w:sz w:val="1"/>
                <w:szCs w:val="1"/>
                <w:color w:val="auto"/>
              </w:rPr>
            </w:pPr>
          </w:p>
        </w:tc>
      </w:tr>
      <w:tr>
        <w:trPr>
          <w:trHeight w:val="32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7,264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47,513,934</w:t>
            </w: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8"/>
              </w:rPr>
              <w:t>47,481,864</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47,513,934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47,481,733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47,769,990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47,636,298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47,763,314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47,600,196</w:t>
            </w:r>
          </w:p>
        </w:tc>
        <w:tc>
          <w:tcPr>
            <w:tcW w:w="0" w:type="dxa"/>
            <w:vAlign w:val="bottom"/>
          </w:tcPr>
          <w:p>
            <w:pPr>
              <w:spacing w:after="0"/>
              <w:rPr>
                <w:sz w:val="1"/>
                <w:szCs w:val="1"/>
                <w:color w:val="auto"/>
              </w:rPr>
            </w:pPr>
          </w:p>
        </w:tc>
      </w:tr>
      <w:tr>
        <w:trPr>
          <w:trHeight w:val="32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Class A common share</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Class B common shares outstanding</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12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7,405,956</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7,405,956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7,405,956</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Class B common share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420"/>
          </w:cols>
          <w:pgMar w:left="240" w:top="266"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Unaudited Consolidated Statements of Cash Flows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6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7"/>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640" w:type="dxa"/>
            <w:vAlign w:val="bottom"/>
            <w:gridSpan w:val="5"/>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Note</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7,264</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30,290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92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(11,831)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liability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Settlements of hedges which do not qualify for hedge accounting</w:t>
            </w:r>
          </w:p>
        </w:tc>
        <w:tc>
          <w:tcPr>
            <w:tcW w:w="92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11,167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92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other receivables and other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6,495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accounts payable and other liabilities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(4,577)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25,287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55,881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68,830</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hedges which do not qualify for hedge accounting</w:t>
            </w:r>
          </w:p>
        </w:tc>
        <w:tc>
          <w:tcPr>
            <w:tcW w:w="92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(11,167)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drydockings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(13,774)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(18,470)</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debt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(15,803)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(23,000)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(41,400)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Variation in restricted cash</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preferred shares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(15,803)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(23,000)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(41,400)</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(46,856)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start of Period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30,957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32,461</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26,145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25,814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26,852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29,318</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paid</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15,414</w:t>
            </w:r>
          </w:p>
        </w:tc>
        <w:tc>
          <w:tcPr>
            <w:tcW w:w="0" w:type="dxa"/>
            <w:vAlign w:val="bottom"/>
          </w:tcPr>
          <w:p>
            <w:pPr>
              <w:spacing w:after="0"/>
              <w:rPr>
                <w:sz w:val="1"/>
                <w:szCs w:val="1"/>
                <w:color w:val="auto"/>
              </w:rPr>
            </w:pPr>
          </w:p>
        </w:tc>
      </w:tr>
      <w:tr>
        <w:trPr>
          <w:trHeight w:val="32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420"/>
          </w:cols>
          <w:pgMar w:left="240" w:top="266"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Unaudited Consolidated Statements of Changes in Stockholders’ Equity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Number of</w:t>
            </w:r>
          </w:p>
        </w:tc>
        <w:tc>
          <w:tcPr>
            <w:tcW w:w="2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Common</w:t>
            </w: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Earnings /</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Common 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w:t>
            </w: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Deficit)</w:t>
            </w:r>
          </w:p>
        </w:tc>
        <w:tc>
          <w:tcPr>
            <w:tcW w:w="1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54,869,934</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w:t>
            </w:r>
          </w:p>
        </w:tc>
        <w:tc>
          <w:tcPr>
            <w:tcW w:w="10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$351,856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(18,205)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 (note 11)</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24"/>
                <w:szCs w:val="24"/>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Shares issued (note 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31,928</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31,928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54,887,820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w:t>
            </w:r>
          </w:p>
        </w:tc>
        <w:tc>
          <w:tcPr>
            <w:tcW w:w="10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$352,316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13,723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 (note 11)</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4"/>
                <w:szCs w:val="24"/>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Shares issued (note 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24,625</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24,625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9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54,919,890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w:t>
            </w:r>
          </w:p>
        </w:tc>
        <w:tc>
          <w:tcPr>
            <w:tcW w:w="10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352,602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38,348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420"/>
          </w:cols>
          <w:pgMar w:left="240" w:top="266"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48"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Basis of Preparation</w:t>
      </w:r>
    </w:p>
    <w:p>
      <w:pPr>
        <w:spacing w:after="0" w:line="131"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ind w:left="460" w:right="520"/>
        <w:spacing w:after="0" w:line="282" w:lineRule="auto"/>
        <w:rPr>
          <w:sz w:val="20"/>
          <w:szCs w:val="20"/>
          <w:color w:val="auto"/>
        </w:rPr>
      </w:pPr>
      <w:r>
        <w:rPr>
          <w:rFonts w:ascii="Times New Roman" w:cs="Times New Roman" w:eastAsia="Times New Roman" w:hAnsi="Times New Roman"/>
          <w:sz w:val="18"/>
          <w:szCs w:val="18"/>
          <w:color w:val="auto"/>
        </w:rPr>
        <w:t>The Company owns and charters out containerships. All vessels are time chartered to CMA CGM S.A. (“CMA CGM”) for remaining terms as at September 30, 2013 ranging from 0.60 to 12.25 years (see note 7).</w:t>
      </w:r>
    </w:p>
    <w:p>
      <w:pPr>
        <w:spacing w:after="0" w:line="54" w:lineRule="exact"/>
        <w:rPr>
          <w:sz w:val="20"/>
          <w:szCs w:val="20"/>
          <w:color w:val="auto"/>
        </w:rPr>
      </w:pPr>
    </w:p>
    <w:p>
      <w:pPr>
        <w:ind w:left="460"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17 vessels chartered to CMA CGM and which are reflected in these interim unaudited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80" w:type="dxa"/>
            <w:vAlign w:val="bottom"/>
          </w:tcPr>
          <w:p>
            <w:pPr>
              <w:spacing w:after="0"/>
              <w:rPr>
                <w:sz w:val="13"/>
                <w:szCs w:val="13"/>
                <w:color w:val="auto"/>
              </w:rPr>
            </w:pPr>
          </w:p>
        </w:tc>
        <w:tc>
          <w:tcPr>
            <w:tcW w:w="6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Purchase Date</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586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Duration</w:t>
            </w:r>
          </w:p>
        </w:tc>
        <w:tc>
          <w:tcPr>
            <w:tcW w:w="6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Charter</w:t>
            </w:r>
          </w:p>
        </w:tc>
        <w:tc>
          <w:tcPr>
            <w:tcW w:w="0" w:type="dxa"/>
            <w:vAlign w:val="bottom"/>
          </w:tcPr>
          <w:p>
            <w:pPr>
              <w:spacing w:after="0"/>
              <w:rPr>
                <w:sz w:val="1"/>
                <w:szCs w:val="1"/>
                <w:color w:val="auto"/>
              </w:rPr>
            </w:pPr>
          </w:p>
        </w:tc>
      </w:tr>
      <w:tr>
        <w:trPr>
          <w:trHeight w:val="180"/>
        </w:trPr>
        <w:tc>
          <w:tcPr>
            <w:tcW w:w="800" w:type="dxa"/>
            <w:vAlign w:val="bottom"/>
            <w:tcBorders>
              <w:bottom w:val="single" w:sz="8" w:color="auto"/>
            </w:tcBorders>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100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 xml:space="preserve">in TEUs </w:t>
            </w:r>
            <w:r>
              <w:rPr>
                <w:rFonts w:ascii="Times New Roman" w:cs="Times New Roman" w:eastAsia="Times New Roman" w:hAnsi="Times New Roman"/>
                <w:sz w:val="12"/>
                <w:szCs w:val="12"/>
                <w:b w:val="1"/>
                <w:bCs w:val="1"/>
                <w:color w:val="auto"/>
                <w:w w:val="98"/>
              </w:rPr>
              <w:t>(1)</w:t>
            </w:r>
          </w:p>
        </w:tc>
        <w:tc>
          <w:tcPr>
            <w:tcW w:w="7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Built</w:t>
            </w:r>
          </w:p>
        </w:tc>
        <w:tc>
          <w:tcPr>
            <w:tcW w:w="13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by GSL </w:t>
            </w:r>
            <w:r>
              <w:rPr>
                <w:rFonts w:ascii="Times New Roman" w:cs="Times New Roman" w:eastAsia="Times New Roman" w:hAnsi="Times New Roman"/>
                <w:sz w:val="12"/>
                <w:szCs w:val="12"/>
                <w:b w:val="1"/>
                <w:bCs w:val="1"/>
                <w:color w:val="auto"/>
              </w:rPr>
              <w:t>(2)</w:t>
            </w:r>
          </w:p>
        </w:tc>
        <w:tc>
          <w:tcPr>
            <w:tcW w:w="10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(years) </w:t>
            </w:r>
            <w:r>
              <w:rPr>
                <w:rFonts w:ascii="Times New Roman" w:cs="Times New Roman" w:eastAsia="Times New Roman" w:hAnsi="Times New Roman"/>
                <w:sz w:val="12"/>
                <w:szCs w:val="12"/>
                <w:b w:val="1"/>
                <w:bCs w:val="1"/>
                <w:color w:val="auto"/>
              </w:rPr>
              <w:t>(3)</w:t>
            </w:r>
          </w:p>
        </w:tc>
        <w:tc>
          <w:tcPr>
            <w:tcW w:w="80" w:type="dxa"/>
            <w:vAlign w:val="bottom"/>
          </w:tcPr>
          <w:p>
            <w:pPr>
              <w:spacing w:after="0"/>
              <w:rPr>
                <w:sz w:val="15"/>
                <w:szCs w:val="15"/>
                <w:color w:val="auto"/>
              </w:rPr>
            </w:pPr>
          </w:p>
        </w:tc>
        <w:tc>
          <w:tcPr>
            <w:tcW w:w="6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Ville d’Orion </w:t>
            </w:r>
            <w:r>
              <w:rPr>
                <w:rFonts w:ascii="Times New Roman" w:cs="Times New Roman" w:eastAsia="Times New Roman" w:hAnsi="Times New Roman"/>
                <w:sz w:val="15"/>
                <w:szCs w:val="15"/>
                <w:color w:val="auto"/>
              </w:rPr>
              <w:t>(4)</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4,113</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1997</w:t>
            </w:r>
          </w:p>
        </w:tc>
        <w:tc>
          <w:tcPr>
            <w:tcW w:w="3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December 2007</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0.60</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Ville d’Aquarius </w:t>
            </w:r>
            <w:r>
              <w:rPr>
                <w:rFonts w:ascii="Times New Roman" w:cs="Times New Roman" w:eastAsia="Times New Roman" w:hAnsi="Times New Roman"/>
                <w:sz w:val="15"/>
                <w:szCs w:val="15"/>
                <w:color w:val="auto"/>
              </w:rPr>
              <w:t>(4)</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4,113</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1996</w:t>
            </w:r>
          </w:p>
        </w:tc>
        <w:tc>
          <w:tcPr>
            <w:tcW w:w="3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2007</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Matisse</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2,262</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1999</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2007</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18.465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Utrillo</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2,262</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1999</w:t>
            </w:r>
          </w:p>
        </w:tc>
        <w:tc>
          <w:tcPr>
            <w:tcW w:w="3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2007</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18.465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Delmas Keta</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2,207</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2003</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2007</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18.465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Delmas</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2,207</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2002</w:t>
            </w:r>
          </w:p>
        </w:tc>
        <w:tc>
          <w:tcPr>
            <w:tcW w:w="3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2007</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18.465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Kumasi</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2,207</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2002</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2007</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18.465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Marie Delmas</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2,207</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2002</w:t>
            </w:r>
          </w:p>
        </w:tc>
        <w:tc>
          <w:tcPr>
            <w:tcW w:w="3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2007</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18.465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La Tour</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2,272</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2001</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2007</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18.465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Manet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2,272</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2001</w:t>
            </w:r>
          </w:p>
        </w:tc>
        <w:tc>
          <w:tcPr>
            <w:tcW w:w="3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2007</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18.465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Alcazar</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5,089</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2007</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2008</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33.750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Château d’lf</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5,089</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2007</w:t>
            </w:r>
          </w:p>
        </w:tc>
        <w:tc>
          <w:tcPr>
            <w:tcW w:w="3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2008</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33.750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Thalassa</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11,040</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2008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2008</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47.200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Jamaica</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4,298</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2006</w:t>
            </w:r>
          </w:p>
        </w:tc>
        <w:tc>
          <w:tcPr>
            <w:tcW w:w="3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2008</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25.350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Sambhar</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4,045</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2006</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2008</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25.350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America</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4,045</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2006</w:t>
            </w:r>
          </w:p>
        </w:tc>
        <w:tc>
          <w:tcPr>
            <w:tcW w:w="3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2008</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25.350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Berlioz</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6,621</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2001</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August 2009</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34.000</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Twenty-foot Equivalent Units.</w:t>
      </w:r>
    </w:p>
    <w:p>
      <w:pPr>
        <w:spacing w:after="0" w:line="2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Purchase dates of vessels related to the Company’s time charter business.</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at September 30, 2013. Plus or minus 90 days, other than Ville d’Orion and Ville d’Aquarius, at charterer’s option.</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charters commenced on May 1, 2013 and will expire on April 30, 2014 plus or minus 30 days at charterer’s option.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420"/>
          </w:cols>
          <w:pgMar w:left="240" w:top="266" w:right="239" w:bottom="1440" w:gutter="0" w:footer="0" w:header="0"/>
        </w:sectPr>
      </w:pPr>
    </w:p>
    <w:bookmarkStart w:id="21" w:name="page22"/>
    <w:bookmarkEnd w:id="21"/>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48" w:lineRule="exact"/>
        <w:rPr>
          <w:sz w:val="20"/>
          <w:szCs w:val="20"/>
          <w:color w:val="auto"/>
        </w:rPr>
      </w:pPr>
    </w:p>
    <w:p>
      <w:pPr>
        <w:ind w:left="452" w:hanging="452"/>
        <w:spacing w:after="0"/>
        <w:tabs>
          <w:tab w:leader="none" w:pos="45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Basis of Preparation (continued)</w:t>
      </w:r>
    </w:p>
    <w:p>
      <w:pPr>
        <w:spacing w:after="0" w:line="158" w:lineRule="exact"/>
        <w:rPr>
          <w:sz w:val="20"/>
          <w:szCs w:val="20"/>
          <w:color w:val="auto"/>
        </w:rPr>
      </w:pPr>
    </w:p>
    <w:p>
      <w:pPr>
        <w:ind w:left="892" w:hanging="446"/>
        <w:spacing w:after="0"/>
        <w:tabs>
          <w:tab w:leader="none" w:pos="89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131" w:lineRule="exact"/>
        <w:rPr>
          <w:sz w:val="20"/>
          <w:szCs w:val="20"/>
          <w:color w:val="auto"/>
        </w:rPr>
      </w:pPr>
    </w:p>
    <w:p>
      <w:pPr>
        <w:ind w:left="892" w:hanging="446"/>
        <w:spacing w:after="0"/>
        <w:tabs>
          <w:tab w:leader="none" w:pos="89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Counterparty risk</w:t>
      </w:r>
    </w:p>
    <w:p>
      <w:pPr>
        <w:spacing w:after="0" w:line="121" w:lineRule="exact"/>
        <w:rPr>
          <w:sz w:val="20"/>
          <w:szCs w:val="20"/>
          <w:color w:val="auto"/>
        </w:rPr>
      </w:pPr>
    </w:p>
    <w:p>
      <w:pPr>
        <w:ind w:left="452" w:right="220"/>
        <w:spacing w:after="0" w:line="289" w:lineRule="auto"/>
        <w:rPr>
          <w:sz w:val="20"/>
          <w:szCs w:val="20"/>
          <w:color w:val="auto"/>
        </w:rPr>
      </w:pPr>
      <w:r>
        <w:rPr>
          <w:rFonts w:ascii="Times New Roman" w:cs="Times New Roman" w:eastAsia="Times New Roman" w:hAnsi="Times New Roman"/>
          <w:sz w:val="17"/>
          <w:szCs w:val="17"/>
          <w:color w:val="auto"/>
        </w:rPr>
        <w:t>All of the Company’s vessels are chartered to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are reporting losses.</w:t>
      </w:r>
    </w:p>
    <w:p>
      <w:pPr>
        <w:spacing w:after="0" w:line="50" w:lineRule="exact"/>
        <w:rPr>
          <w:sz w:val="20"/>
          <w:szCs w:val="20"/>
          <w:color w:val="auto"/>
        </w:rPr>
      </w:pPr>
    </w:p>
    <w:p>
      <w:pPr>
        <w:ind w:left="452" w:right="280"/>
        <w:spacing w:after="0" w:line="261" w:lineRule="auto"/>
        <w:rPr>
          <w:sz w:val="20"/>
          <w:szCs w:val="20"/>
          <w:color w:val="auto"/>
        </w:rPr>
      </w:pPr>
      <w:r>
        <w:rPr>
          <w:rFonts w:ascii="Times New Roman" w:cs="Times New Roman" w:eastAsia="Times New Roman" w:hAnsi="Times New Roman"/>
          <w:sz w:val="18"/>
          <w:szCs w:val="18"/>
          <w:color w:val="auto"/>
        </w:rPr>
        <w:t>On February 12, 2013 CMA CGM announced it had finalised a financial restructuring, having reached agreement with its banks regarding a restructuring of their debt and a new covenant package taking into account the volatile nature of the container shipping industry. Other parts of this restructuring have been the French Fonds Strategique d’Investissement investment of $150 million in bonds redeemable for shares (completed June 2013) and an additional investment by the Yildrim Group of $100 million, also for bonds redeemable for shares.</w:t>
      </w:r>
    </w:p>
    <w:p>
      <w:pPr>
        <w:spacing w:after="0" w:line="72" w:lineRule="exact"/>
        <w:rPr>
          <w:sz w:val="20"/>
          <w:szCs w:val="20"/>
          <w:color w:val="auto"/>
        </w:rPr>
      </w:pPr>
    </w:p>
    <w:p>
      <w:pPr>
        <w:ind w:left="452" w:right="160"/>
        <w:spacing w:after="0" w:line="261" w:lineRule="auto"/>
        <w:rPr>
          <w:sz w:val="20"/>
          <w:szCs w:val="20"/>
          <w:color w:val="auto"/>
        </w:rPr>
      </w:pPr>
      <w:r>
        <w:rPr>
          <w:rFonts w:ascii="Times New Roman" w:cs="Times New Roman" w:eastAsia="Times New Roman" w:hAnsi="Times New Roman"/>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72" w:lineRule="exact"/>
        <w:rPr>
          <w:sz w:val="20"/>
          <w:szCs w:val="20"/>
          <w:color w:val="auto"/>
        </w:rPr>
      </w:pPr>
    </w:p>
    <w:p>
      <w:pPr>
        <w:ind w:left="452" w:right="20"/>
        <w:spacing w:after="0" w:line="261" w:lineRule="auto"/>
        <w:rPr>
          <w:sz w:val="20"/>
          <w:szCs w:val="20"/>
          <w:color w:val="auto"/>
        </w:rPr>
      </w:pPr>
      <w:r>
        <w:rPr>
          <w:rFonts w:ascii="Times New Roman" w:cs="Times New Roman" w:eastAsia="Times New Roman" w:hAnsi="Times New Roman"/>
          <w:sz w:val="18"/>
          <w:szCs w:val="18"/>
          <w:color w:val="auto"/>
        </w:rPr>
        <w:t>The Company has experienced delays in receiving charterhire from CMA CGM, where between one and three instalments have been outstanding. Under the charter contracts charterhire is due to be paid every 15 days in advance on the 1st and 16th of each month. As at September 30, 2013, one period of charterhire, due on September 16, 2013, was outstanding amounting to $5,797. This was received in October 2013. As at close of business on November 12, 2013, one period of charterhire, due on November 1, 2013 amounting to $5,797 was outstanding.</w:t>
      </w:r>
    </w:p>
    <w:p>
      <w:pPr>
        <w:spacing w:after="0" w:line="72" w:lineRule="exact"/>
        <w:rPr>
          <w:sz w:val="20"/>
          <w:szCs w:val="20"/>
          <w:color w:val="auto"/>
        </w:rPr>
      </w:pPr>
    </w:p>
    <w:p>
      <w:pPr>
        <w:ind w:left="452"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325" w:lineRule="exact"/>
        <w:rPr>
          <w:sz w:val="20"/>
          <w:szCs w:val="20"/>
          <w:color w:val="auto"/>
        </w:rPr>
      </w:pPr>
    </w:p>
    <w:p>
      <w:pPr>
        <w:ind w:left="892" w:hanging="446"/>
        <w:spacing w:after="0"/>
        <w:tabs>
          <w:tab w:leader="none" w:pos="89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left="452" w:right="20"/>
        <w:spacing w:after="0" w:line="266" w:lineRule="auto"/>
        <w:rPr>
          <w:sz w:val="20"/>
          <w:szCs w:val="20"/>
          <w:color w:val="auto"/>
        </w:rPr>
      </w:pPr>
      <w:r>
        <w:rPr>
          <w:rFonts w:ascii="Times New Roman" w:cs="Times New Roman" w:eastAsia="Times New Roman" w:hAnsi="Times New Roman"/>
          <w:sz w:val="18"/>
          <w:szCs w:val="18"/>
          <w:color w:val="auto"/>
        </w:rPr>
        <w:t>A further consequence of the current cyclical downturn is that there have been declines in charter free market values of containerships. Under the terms of the Company’s credit facility, the Leverage Ratio, being the ratio of outstanding drawings under the credit facility and the aggregate charter free market value of the secured vessels, cannot exceed 75%.</w:t>
      </w:r>
    </w:p>
    <w:p>
      <w:pPr>
        <w:spacing w:after="0" w:line="68" w:lineRule="exact"/>
        <w:rPr>
          <w:sz w:val="20"/>
          <w:szCs w:val="20"/>
          <w:color w:val="auto"/>
        </w:rPr>
      </w:pPr>
    </w:p>
    <w:p>
      <w:pPr>
        <w:ind w:left="452"/>
        <w:spacing w:after="0" w:line="258" w:lineRule="auto"/>
        <w:rPr>
          <w:sz w:val="20"/>
          <w:szCs w:val="20"/>
          <w:color w:val="auto"/>
        </w:rPr>
      </w:pPr>
      <w:r>
        <w:rPr>
          <w:rFonts w:ascii="Times New Roman" w:cs="Times New Roman" w:eastAsia="Times New Roman" w:hAnsi="Times New Roman"/>
          <w:sz w:val="18"/>
          <w:szCs w:val="18"/>
          <w:color w:val="auto"/>
        </w:rPr>
        <w:t>As the Company anticipated that the Leverage Ratio as at November 30, 2012 would, if tested, exceed 75%, it agreed with its lenders on November 13, 2012, to a further waiver, for two years, of the requirement to perform the Leverage Ratio test. The next scheduled test will be December 1, 2014. As a result of the waiver, debt cannot be accelerated for the Leverage Ratio during the waiver period and debt estimated to be payable after one year is classified as non-current in the consolidated balance sheet and the consolidated financial statements have been prepared assuming that the Company will continue as a going concern.</w:t>
      </w:r>
    </w:p>
    <w:p>
      <w:pPr>
        <w:spacing w:after="0" w:line="11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372"/>
          </w:cols>
          <w:pgMar w:left="248" w:top="266" w:right="279" w:bottom="1440" w:gutter="0" w:footer="0" w:header="0"/>
        </w:sectPr>
      </w:pPr>
    </w:p>
    <w:bookmarkStart w:id="22" w:name="page23"/>
    <w:bookmarkEnd w:id="22"/>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2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4" w:lineRule="exact"/>
        <w:rPr>
          <w:sz w:val="20"/>
          <w:szCs w:val="20"/>
          <w:color w:val="auto"/>
        </w:rPr>
      </w:pPr>
    </w:p>
    <w:p>
      <w:pPr>
        <w:ind w:left="452" w:hanging="452"/>
        <w:spacing w:after="0"/>
        <w:tabs>
          <w:tab w:leader="none" w:pos="4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and Disclosure</w:t>
      </w:r>
    </w:p>
    <w:p>
      <w:pPr>
        <w:spacing w:after="0" w:line="121" w:lineRule="exact"/>
        <w:rPr>
          <w:rFonts w:ascii="Times New Roman" w:cs="Times New Roman" w:eastAsia="Times New Roman" w:hAnsi="Times New Roman"/>
          <w:sz w:val="18"/>
          <w:szCs w:val="18"/>
          <w:b w:val="1"/>
          <w:bCs w:val="1"/>
          <w:color w:val="auto"/>
        </w:rPr>
      </w:pPr>
    </w:p>
    <w:p>
      <w:pPr>
        <w:ind w:left="45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 These interim unaudited consolidated financial statements should be read in conjunction with the Company’s financial statements as of December 31, 2012 filed with the Securities and Exchange Commission on April 12, 2013 in the Company’s Annual Report on Form 20-F.</w:t>
      </w:r>
    </w:p>
    <w:p>
      <w:pPr>
        <w:spacing w:after="0" w:line="290"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Impairment Testing</w:t>
      </w:r>
    </w:p>
    <w:p>
      <w:pPr>
        <w:spacing w:after="0" w:line="119" w:lineRule="exact"/>
        <w:rPr>
          <w:rFonts w:ascii="Times New Roman" w:cs="Times New Roman" w:eastAsia="Times New Roman" w:hAnsi="Times New Roman"/>
          <w:sz w:val="18"/>
          <w:szCs w:val="18"/>
          <w:b w:val="1"/>
          <w:bCs w:val="1"/>
          <w:color w:val="auto"/>
        </w:rPr>
      </w:pPr>
    </w:p>
    <w:p>
      <w:pPr>
        <w:ind w:left="452"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decline in charter free vessel values referred to in note 2(b)(ii) was seen as an indicator of potential impairment of the carrying value of the Company’s vessels as at December 31, 2012. Accordingly, an impairment test, based on expected undiscounted cash flows by vessel, was performed as at that date. Based on the assumptions made, the expected undiscounted future cash flows exceeded the vessels’ carrying amounts and accordingly no impairment was recognised.</w:t>
      </w:r>
    </w:p>
    <w:p>
      <w:pPr>
        <w:spacing w:after="0" w:line="71" w:lineRule="exact"/>
        <w:rPr>
          <w:rFonts w:ascii="Times New Roman" w:cs="Times New Roman" w:eastAsia="Times New Roman" w:hAnsi="Times New Roman"/>
          <w:sz w:val="18"/>
          <w:szCs w:val="18"/>
          <w:b w:val="1"/>
          <w:bCs w:val="1"/>
          <w:color w:val="auto"/>
        </w:rPr>
      </w:pPr>
    </w:p>
    <w:p>
      <w:pPr>
        <w:ind w:left="45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agreement of new charters with effect from May 1, 2013 of two of the Company’s vessels at rates below the previous rates was seen as an indicator of potential impairment of their carrying value. Accordingly, an impairment test, based on expected undiscounted cash flows by vessel, was performed for these two vessels as at March 31, 2013. Based on the assumptions made, the expected undiscounted future cash flows exceeded the vessels’ carrying amounts as at March 31, 2013 and accordingly no impairment was recognised.</w:t>
      </w:r>
    </w:p>
    <w:p>
      <w:pPr>
        <w:spacing w:after="0" w:line="71" w:lineRule="exact"/>
        <w:rPr>
          <w:rFonts w:ascii="Times New Roman" w:cs="Times New Roman" w:eastAsia="Times New Roman" w:hAnsi="Times New Roman"/>
          <w:sz w:val="18"/>
          <w:szCs w:val="18"/>
          <w:b w:val="1"/>
          <w:bCs w:val="1"/>
          <w:color w:val="auto"/>
        </w:rPr>
      </w:pPr>
    </w:p>
    <w:p>
      <w:pPr>
        <w:ind w:left="452" w:right="3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In the case of an indication of impairment, the results of a recoverability test would also be sensitive to the discount rate applied.</w:t>
      </w:r>
    </w:p>
    <w:p>
      <w:pPr>
        <w:spacing w:after="0" w:line="295"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19" w:lineRule="exact"/>
        <w:rPr>
          <w:sz w:val="20"/>
          <w:szCs w:val="20"/>
          <w:color w:val="auto"/>
        </w:rPr>
      </w:pPr>
    </w:p>
    <w:p>
      <w:pPr>
        <w:ind w:left="452" w:right="180"/>
        <w:spacing w:after="0" w:line="266" w:lineRule="auto"/>
        <w:rPr>
          <w:sz w:val="20"/>
          <w:szCs w:val="20"/>
          <w:color w:val="auto"/>
        </w:rPr>
      </w:pPr>
      <w:r>
        <w:rPr>
          <w:rFonts w:ascii="Times New Roman" w:cs="Times New Roman" w:eastAsia="Times New Roman" w:hAnsi="Times New Roman"/>
          <w:sz w:val="18"/>
          <w:szCs w:val="18"/>
          <w:color w:val="auto"/>
        </w:rPr>
        <w:t>In January 2013, the Financial Accounting Standards Board (“FASB”) issued an accounting standards update (Topic 210) that clarified a previous update issued in 2011 in respect of disclosure of offsetting assets and liabilities. The amendment is effective for annual and interim periods beginning on or after January 1, 2013. The adoption of this update has led to minor disclosure amendments.</w:t>
      </w:r>
    </w:p>
    <w:p>
      <w:pPr>
        <w:spacing w:after="0" w:line="68" w:lineRule="exact"/>
        <w:rPr>
          <w:sz w:val="20"/>
          <w:szCs w:val="20"/>
          <w:color w:val="auto"/>
        </w:rPr>
      </w:pPr>
    </w:p>
    <w:p>
      <w:pPr>
        <w:jc w:val="both"/>
        <w:ind w:left="452" w:right="160"/>
        <w:spacing w:after="0" w:line="261" w:lineRule="auto"/>
        <w:rPr>
          <w:sz w:val="20"/>
          <w:szCs w:val="20"/>
          <w:color w:val="auto"/>
        </w:rPr>
      </w:pPr>
      <w:r>
        <w:rPr>
          <w:rFonts w:ascii="Times New Roman" w:cs="Times New Roman" w:eastAsia="Times New Roman" w:hAnsi="Times New Roman"/>
          <w:sz w:val="18"/>
          <w:szCs w:val="18"/>
          <w:color w:val="auto"/>
        </w:rPr>
        <w:t>In February 2013, FASB issued an update amending certain requirements for the reporting of joint and several liability arrangements (Topic 405). A reporting entity will be required to make increased disclosure of obligations resulting from joint and several liability arrangements for which the total amount of the obligation is fixed at the reporting date. The amendment is effective for annual and interim periods beginning on or after December 15, 2013 and early adoption is permitted. The adoption of this update has led to minor disclosure amendments.</w:t>
      </w:r>
    </w:p>
    <w:p>
      <w:pPr>
        <w:spacing w:after="0" w:line="72" w:lineRule="exact"/>
        <w:rPr>
          <w:sz w:val="20"/>
          <w:szCs w:val="20"/>
          <w:color w:val="auto"/>
        </w:rPr>
      </w:pPr>
    </w:p>
    <w:p>
      <w:pPr>
        <w:ind w:left="452" w:right="400"/>
        <w:spacing w:after="0" w:line="282" w:lineRule="auto"/>
        <w:rPr>
          <w:sz w:val="20"/>
          <w:szCs w:val="20"/>
          <w:color w:val="auto"/>
        </w:rPr>
      </w:pPr>
      <w:r>
        <w:rPr>
          <w:rFonts w:ascii="Times New Roman" w:cs="Times New Roman" w:eastAsia="Times New Roman" w:hAnsi="Times New Roman"/>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9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392"/>
          </w:cols>
          <w:pgMar w:left="248" w:top="266" w:right="259" w:bottom="1440" w:gutter="0" w:footer="0" w:header="0"/>
        </w:sectPr>
      </w:pPr>
    </w:p>
    <w:bookmarkStart w:id="23" w:name="page24"/>
    <w:bookmarkEnd w:id="23"/>
    <w:p>
      <w:pPr>
        <w:jc w:val="center"/>
        <w:ind w:left="27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left="2700"/>
        <w:spacing w:after="0"/>
        <w:rPr>
          <w:sz w:val="20"/>
          <w:szCs w:val="20"/>
          <w:color w:val="auto"/>
        </w:rPr>
      </w:pPr>
      <w:r>
        <w:rPr>
          <w:rFonts w:ascii="Times New Roman" w:cs="Times New Roman" w:eastAsia="Times New Roman" w:hAnsi="Times New Roman"/>
          <w:sz w:val="17"/>
          <w:szCs w:val="17"/>
          <w:b w:val="1"/>
          <w:bCs w:val="1"/>
          <w:color w:val="auto"/>
        </w:rPr>
        <w:t>Notes to the Interim Unaudited Consolidated Financial Statements (continued)</w:t>
      </w: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Vessels in Operation, less Accumulated Depreciation</w:t>
      </w:r>
    </w:p>
    <w:p>
      <w:pPr>
        <w:spacing w:after="0" w:line="250"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4"/>
          <w:szCs w:val="14"/>
          <w:color w:val="auto"/>
        </w:rPr>
        <w:t>December 31,</w:t>
      </w:r>
    </w:p>
    <w:p>
      <w:pPr>
        <w:spacing w:after="0" w:line="4"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4"/>
          <w:szCs w:val="14"/>
          <w:color w:val="auto"/>
        </w:rPr>
        <w:t>2012</w:t>
      </w:r>
    </w:p>
    <w:p>
      <w:pPr>
        <w:spacing w:after="0" w:line="102" w:lineRule="exact"/>
        <w:rPr>
          <w:sz w:val="20"/>
          <w:szCs w:val="20"/>
          <w:color w:val="auto"/>
        </w:rPr>
      </w:pPr>
    </w:p>
    <w:p>
      <w:pPr>
        <w:sectPr>
          <w:pgSz w:w="11900" w:h="16838" w:orient="portrait"/>
          <w:cols w:equalWidth="0" w:num="2">
            <w:col w:w="8740" w:space="380"/>
            <w:col w:w="2240"/>
          </w:cols>
          <w:pgMar w:left="240" w:top="266" w:right="299" w:bottom="1440" w:gutter="0" w:footer="0" w:header="0"/>
        </w:sect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1,014,473</w:t>
            </w:r>
          </w:p>
        </w:tc>
        <w:tc>
          <w:tcPr>
            <w:tcW w:w="3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(186,514)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(158,205)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Drydock - in progress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02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827,959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5</w:t>
            </w:r>
            <w:r>
              <w:rPr>
                <w:rFonts w:ascii="Times New Roman" w:cs="Times New Roman" w:eastAsia="Times New Roman" w:hAnsi="Times New Roman"/>
                <w:sz w:val="18"/>
                <w:szCs w:val="18"/>
                <w:color w:val="auto"/>
                <w:w w:val="88"/>
              </w:rPr>
              <w:t>.</w:t>
            </w:r>
          </w:p>
        </w:tc>
        <w:tc>
          <w:tcPr>
            <w:tcW w:w="7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vMerge w:val="continue"/>
          </w:tcPr>
          <w:p>
            <w:pPr>
              <w:spacing w:after="0"/>
              <w:rPr>
                <w:sz w:val="24"/>
                <w:szCs w:val="24"/>
                <w:color w:val="auto"/>
              </w:rPr>
            </w:pPr>
          </w:p>
        </w:tc>
        <w:tc>
          <w:tcPr>
            <w:tcW w:w="70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2"/>
                <w:szCs w:val="22"/>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00" w:type="dxa"/>
            <w:vAlign w:val="bottom"/>
          </w:tcPr>
          <w:p>
            <w:pPr>
              <w:spacing w:after="0"/>
              <w:rPr>
                <w:sz w:val="7"/>
                <w:szCs w:val="7"/>
                <w:color w:val="auto"/>
              </w:rPr>
            </w:pPr>
          </w:p>
        </w:tc>
        <w:tc>
          <w:tcPr>
            <w:tcW w:w="1080" w:type="dxa"/>
            <w:vAlign w:val="bottom"/>
            <w:vMerge w:val="restart"/>
          </w:tcPr>
          <w:p>
            <w:pPr>
              <w:spacing w:after="0"/>
              <w:rPr>
                <w:sz w:val="7"/>
                <w:szCs w:val="7"/>
                <w:color w:val="auto"/>
              </w:rPr>
            </w:pPr>
          </w:p>
        </w:tc>
        <w:tc>
          <w:tcPr>
            <w:tcW w:w="5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 until October 2012, when it transferred its exposure to OCM Starfish Debtco S.àr.l. In February 2013, one member of the syndicate novated part of their commitment to the following funds: FPA Hawkeye-7 Fund, FPA Crescent Fund, FPA Hawkeye Fund and FPA Value Partners Fund.</w:t>
      </w:r>
    </w:p>
    <w:p>
      <w:pPr>
        <w:spacing w:after="0" w:line="75" w:lineRule="exact"/>
        <w:rPr>
          <w:rFonts w:ascii="Times New Roman" w:cs="Times New Roman" w:eastAsia="Times New Roman" w:hAnsi="Times New Roman"/>
          <w:sz w:val="18"/>
          <w:szCs w:val="18"/>
          <w:b w:val="1"/>
          <w:bCs w:val="1"/>
          <w:color w:val="auto"/>
        </w:rPr>
      </w:pPr>
    </w:p>
    <w:p>
      <w:pPr>
        <w:ind w:left="4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borrowed under the credit facility bear interest at U.S. dollar LIBOR plus a margin of 2.50%, 3.00% or 3.50% depending on the Leverage Ratio (being the ratio of the balance outstanding on the credit facility to the aggregate charter free market value of the secured vessels), determined at the end of April, May, August and November each year with updated valuations to be obtained for the tests at the end of April and November.</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Leverage Ratio is not permitted to exceed 75%.</w:t>
      </w:r>
    </w:p>
    <w:p>
      <w:pPr>
        <w:spacing w:after="0" w:line="117" w:lineRule="exact"/>
        <w:rPr>
          <w:rFonts w:ascii="Times New Roman" w:cs="Times New Roman" w:eastAsia="Times New Roman" w:hAnsi="Times New Roman"/>
          <w:sz w:val="18"/>
          <w:szCs w:val="18"/>
          <w:b w:val="1"/>
          <w:bCs w:val="1"/>
          <w:color w:val="auto"/>
        </w:rPr>
      </w:pPr>
    </w:p>
    <w:p>
      <w:pPr>
        <w:jc w:val="both"/>
        <w:ind w:left="4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 to an amendment to the credit facility agreed in August 2009, between June 30, 2010 and April 30, 2011, borrowings under the credit facility were repaid quarterly in an amount equal to free cash in excess of $20,000 determined as at the previous month end subject to a minimum of $40,000 repayment a year on a rolling 12 month trailing basis. On this basis, a repayment of $13,816 was made on March 31, 2011.</w:t>
      </w:r>
    </w:p>
    <w:p>
      <w:pPr>
        <w:spacing w:after="0" w:line="68"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April 30, 2011 the Leverage Ratio was less than 75% and greater than 65%. Accordingly, from that date (i) interest margin paid on borrowings was 3.00% (ii) repayments of borrowings were fixed at $10,000 per quarter, and (iii) the Company was able to make dividend payments to common shareholders, although no such dividends were paid. On this basis, further repayments of $10,000 were made on both June 30, 2011 and September 30, 2011.</w:t>
      </w:r>
    </w:p>
    <w:p>
      <w:pPr>
        <w:spacing w:after="0" w:line="71" w:lineRule="exact"/>
        <w:rPr>
          <w:rFonts w:ascii="Times New Roman" w:cs="Times New Roman" w:eastAsia="Times New Roman" w:hAnsi="Times New Roman"/>
          <w:sz w:val="18"/>
          <w:szCs w:val="18"/>
          <w:b w:val="1"/>
          <w:bCs w:val="1"/>
          <w:color w:val="auto"/>
        </w:rPr>
      </w:pPr>
    </w:p>
    <w:p>
      <w:pPr>
        <w:ind w:left="4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Due to the downturn after April 2011 in charter free market values of containerships, on November 30, 2011 the Company obtained a waiver from its lenders of the requirement to perform the Leverage Ratio test until November 30, 2012. Accordingly from November 30, 2011 (i) the interest margin on borrowings reverted to 3.50% (ii) quarterly repayments of borrowings to be made in an amount equal to free cash in excess of $20,000 determined as at the previous month end subject to a minimum of $40,000 repayment a year on a rolling 12 month trailing basis, and (iii) the Company was unable to make dividend payments to common shareholders. On this basis, repayments were made of $15,341 on December 31, 2011 and $11,788 on March 30, 2012.</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360"/>
          </w:cols>
          <w:pgMar w:left="240" w:top="266" w:right="299" w:bottom="1440" w:gutter="0" w:footer="0" w:header="0"/>
          <w:type w:val="continuous"/>
        </w:sectPr>
      </w:pPr>
    </w:p>
    <w:bookmarkStart w:id="24" w:name="page25"/>
    <w:bookmarkEnd w:id="24"/>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48" w:lineRule="exact"/>
        <w:rPr>
          <w:sz w:val="20"/>
          <w:szCs w:val="20"/>
          <w:color w:val="auto"/>
        </w:rPr>
      </w:pPr>
    </w:p>
    <w:p>
      <w:pPr>
        <w:ind w:left="452" w:hanging="452"/>
        <w:spacing w:after="0"/>
        <w:tabs>
          <w:tab w:leader="none" w:pos="45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(continued)</w:t>
      </w:r>
    </w:p>
    <w:p>
      <w:pPr>
        <w:spacing w:after="0" w:line="161" w:lineRule="exact"/>
        <w:rPr>
          <w:rFonts w:ascii="Times New Roman" w:cs="Times New Roman" w:eastAsia="Times New Roman" w:hAnsi="Times New Roman"/>
          <w:sz w:val="18"/>
          <w:szCs w:val="18"/>
          <w:b w:val="1"/>
          <w:bCs w:val="1"/>
          <w:color w:val="auto"/>
        </w:rPr>
      </w:pPr>
    </w:p>
    <w:p>
      <w:pPr>
        <w:ind w:left="452" w:right="22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the Company anticipated, due to continuing poor industry conditions, that the Leverage Ratio as at November 30, 2012 would, if tested, exceed 75%, it agreed with its lenders on November 13, 2012, to a further waiver, for two years, of the requirement to perform the Leverage Ratio test. Accordingly, the next scheduled test will be December 1, 2014. In this waiver period, the fixed interest margin to be paid over U.S. dollar LIBOR is</w:t>
      </w:r>
    </w:p>
    <w:p>
      <w:pPr>
        <w:spacing w:after="0" w:line="1" w:lineRule="exact"/>
        <w:rPr>
          <w:rFonts w:ascii="Times New Roman" w:cs="Times New Roman" w:eastAsia="Times New Roman" w:hAnsi="Times New Roman"/>
          <w:sz w:val="18"/>
          <w:szCs w:val="18"/>
          <w:b w:val="1"/>
          <w:bCs w:val="1"/>
          <w:color w:val="auto"/>
        </w:rPr>
      </w:pPr>
    </w:p>
    <w:p>
      <w:pPr>
        <w:ind w:left="452"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3.75%, repayments are based on cash flow, as in the previous waiver, and dividends on common shares cannot be paid. As a result of the new waiver, debt cannot be accelerated for the Leverage Ratio during the waiver period and debt estimated to be payable after one year is classified as non-current in the consolidated balance sheets. It was also agreed that all secured vessels will be included in the Leverage Ratio test, whether they are subject to a charter or not. Under the terms of the new waiver, repayments of the credit facility were made of $11,080 on December 31, 2012, $14,800 on March 28, 2013, $10,797 on June 28, 2013 and $15,803 on September 30, 2013.</w:t>
      </w:r>
    </w:p>
    <w:p>
      <w:pPr>
        <w:spacing w:after="0" w:line="79"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final maturity date of the credit facility is August 14, 2016 at which point any remaining outstanding balance must be repaid.</w:t>
      </w:r>
    </w:p>
    <w:p>
      <w:pPr>
        <w:spacing w:after="0" w:line="117" w:lineRule="exact"/>
        <w:rPr>
          <w:rFonts w:ascii="Times New Roman" w:cs="Times New Roman" w:eastAsia="Times New Roman" w:hAnsi="Times New Roman"/>
          <w:sz w:val="18"/>
          <w:szCs w:val="18"/>
          <w:b w:val="1"/>
          <w:bCs w:val="1"/>
          <w:color w:val="auto"/>
        </w:rPr>
      </w:pPr>
    </w:p>
    <w:p>
      <w:pPr>
        <w:ind w:left="452"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facility is secured by, inter alia, first priority mortgages on each of the Company’s 17 vessels, a pledge of shares of the vessel owning subsidiaries as well as assignments of earnings and insurances. The Company, along with all of its subsidiaries, is jointly and severally liable for the total amount of the outstanding credit facility.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75"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 term debt is summarized as follows:</w:t>
      </w:r>
    </w:p>
    <w:p>
      <w:pPr>
        <w:spacing w:after="0" w:line="24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580" w:type="dxa"/>
            <w:vAlign w:val="bottom"/>
            <w:gridSpan w:val="4"/>
          </w:tcPr>
          <w:p>
            <w:pPr>
              <w:ind w:left="1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8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at LIBOR USD + 3.50% to 3.75%</w:t>
            </w:r>
          </w:p>
        </w:tc>
        <w:tc>
          <w:tcPr>
            <w:tcW w:w="15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384,276</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instalments of long term debt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(60,937)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323,339</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52" w:right="200"/>
        <w:spacing w:after="0" w:line="266" w:lineRule="auto"/>
        <w:rPr>
          <w:sz w:val="20"/>
          <w:szCs w:val="20"/>
          <w:color w:val="auto"/>
        </w:rPr>
      </w:pPr>
      <w:r>
        <w:rPr>
          <w:rFonts w:ascii="Times New Roman" w:cs="Times New Roman" w:eastAsia="Times New Roman" w:hAnsi="Times New Roman"/>
          <w:sz w:val="18"/>
          <w:szCs w:val="18"/>
          <w:color w:val="auto"/>
        </w:rPr>
        <w:t>Based on (i) management’s reasonable estimate of cash flows from October 1, 2013 and (ii) the waiver of the requirement to test the Leverage Ratio until December 1, 2014 at which point it is assumed to be less than 75% meaning that the Company will be able to comply with the leverage ratio covenant at its next measurement date, the estimated repayments in each of the relevant periods are as follows:</w:t>
      </w:r>
    </w:p>
    <w:p>
      <w:pPr>
        <w:spacing w:after="0" w:line="197" w:lineRule="exact"/>
        <w:rPr>
          <w:sz w:val="20"/>
          <w:szCs w:val="20"/>
          <w:color w:val="auto"/>
        </w:rPr>
      </w:pPr>
    </w:p>
    <w:tbl>
      <w:tblPr>
        <w:tblLayout w:type="fixed"/>
        <w:tblInd w:w="1832" w:type="dxa"/>
        <w:tblCellMar>
          <w:top w:w="0" w:type="dxa"/>
          <w:left w:w="0" w:type="dxa"/>
          <w:bottom w:w="0" w:type="dxa"/>
          <w:right w:w="0" w:type="dxa"/>
        </w:tblCellMar>
      </w:tblPr>
      <w:tr>
        <w:trPr>
          <w:trHeight w:val="19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September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9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283,339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384,276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52"/>
        <w:spacing w:after="0" w:line="282" w:lineRule="auto"/>
        <w:rPr>
          <w:sz w:val="20"/>
          <w:szCs w:val="20"/>
          <w:color w:val="auto"/>
        </w:rPr>
      </w:pPr>
      <w:r>
        <w:rPr>
          <w:rFonts w:ascii="Times New Roman" w:cs="Times New Roman" w:eastAsia="Times New Roman" w:hAnsi="Times New Roman"/>
          <w:sz w:val="18"/>
          <w:szCs w:val="18"/>
          <w:color w:val="auto"/>
        </w:rPr>
        <w:t>The amount of excess cash generated may vary significantly from management’s estimates and consequently the repayment profile of outstanding debt may be significantly different from that presented.</w:t>
      </w:r>
    </w:p>
    <w:p>
      <w:pPr>
        <w:spacing w:after="0" w:line="94"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1332"/>
          </w:cols>
          <w:pgMar w:left="248" w:top="266" w:right="319" w:bottom="1440" w:gutter="0" w:footer="0" w:header="0"/>
        </w:sectPr>
      </w:pPr>
    </w:p>
    <w:bookmarkStart w:id="25" w:name="page26"/>
    <w:bookmarkEnd w:id="25"/>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4" w:lineRule="exact"/>
        <w:rPr>
          <w:sz w:val="20"/>
          <w:szCs w:val="20"/>
          <w:color w:val="auto"/>
        </w:rPr>
      </w:pPr>
    </w:p>
    <w:p>
      <w:pPr>
        <w:ind w:left="452" w:hanging="452"/>
        <w:spacing w:after="0"/>
        <w:tabs>
          <w:tab w:leader="none" w:pos="45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rFonts w:ascii="Times New Roman" w:cs="Times New Roman" w:eastAsia="Times New Roman" w:hAnsi="Times New Roman"/>
          <w:sz w:val="18"/>
          <w:szCs w:val="18"/>
          <w:b w:val="1"/>
          <w:bCs w:val="1"/>
          <w:color w:val="auto"/>
        </w:rPr>
      </w:pPr>
    </w:p>
    <w:p>
      <w:pPr>
        <w:ind w:left="452"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CMA CGM is considered as a related party as it was, until the merger referred to in Note 1, the parent company of Global Ship Lease, Inc. and at September 30, 2013 is a significant shareholder of the Company, owning Class A and Class B common shares representing a 45% voting interest in the Company.</w:t>
      </w:r>
    </w:p>
    <w:p>
      <w:pPr>
        <w:spacing w:after="0" w:line="68"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due to and from CMA CGM companies are summarized as follows:</w:t>
      </w:r>
    </w:p>
    <w:p>
      <w:pPr>
        <w:spacing w:after="0" w:line="233"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2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CMA CGM companies presented within current liabilities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2,676</w:t>
            </w:r>
          </w:p>
        </w:tc>
        <w:tc>
          <w:tcPr>
            <w:tcW w:w="8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CMA CGM companies presented within current assets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7,454</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452" w:right="500"/>
        <w:spacing w:after="0" w:line="282" w:lineRule="auto"/>
        <w:rPr>
          <w:sz w:val="20"/>
          <w:szCs w:val="20"/>
          <w:color w:val="auto"/>
        </w:rPr>
      </w:pPr>
      <w:r>
        <w:rPr>
          <w:rFonts w:ascii="Times New Roman" w:cs="Times New Roman" w:eastAsia="Times New Roman" w:hAnsi="Times New Roman"/>
          <w:sz w:val="18"/>
          <w:szCs w:val="18"/>
          <w:color w:val="auto"/>
        </w:rPr>
        <w:t>CMA CGM charters all of the Company’s vessels and one of its subsidiaries provides the Company with ship management services. The current account balances at September 30, 2013 and December 31, 2012 relate to amounts payable to or recoverable from CMA CGM group companies.</w:t>
      </w:r>
    </w:p>
    <w:p>
      <w:pPr>
        <w:spacing w:after="0" w:line="54" w:lineRule="exact"/>
        <w:rPr>
          <w:sz w:val="20"/>
          <w:szCs w:val="20"/>
          <w:color w:val="auto"/>
        </w:rPr>
      </w:pPr>
    </w:p>
    <w:p>
      <w:pPr>
        <w:ind w:left="452" w:right="20"/>
        <w:spacing w:after="0" w:line="282" w:lineRule="auto"/>
        <w:rPr>
          <w:sz w:val="20"/>
          <w:szCs w:val="20"/>
          <w:color w:val="auto"/>
        </w:rPr>
      </w:pPr>
      <w:r>
        <w:rPr>
          <w:rFonts w:ascii="Times New Roman" w:cs="Times New Roman" w:eastAsia="Times New Roman" w:hAnsi="Times New Roman"/>
          <w:sz w:val="18"/>
          <w:szCs w:val="18"/>
          <w:color w:val="auto"/>
        </w:rPr>
        <w:t>CMA CGM holds all of the Series A preferred shares of the Company. Dividends on these preferred shares for the three months and nine months ended September 30, 2013 amounted to $261 (2012: $286) and $779 (2012: $888) respectively.</w:t>
      </w:r>
    </w:p>
    <w:p>
      <w:pPr>
        <w:spacing w:after="0" w:line="266"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b w:val="1"/>
          <w:bCs w:val="1"/>
          <w:color w:val="auto"/>
        </w:rPr>
        <w:t>Time Charter Agreements</w:t>
      </w:r>
    </w:p>
    <w:p>
      <w:pPr>
        <w:spacing w:after="0" w:line="121" w:lineRule="exact"/>
        <w:rPr>
          <w:sz w:val="20"/>
          <w:szCs w:val="20"/>
          <w:color w:val="auto"/>
        </w:rPr>
      </w:pPr>
    </w:p>
    <w:p>
      <w:pPr>
        <w:ind w:left="452" w:right="60"/>
        <w:spacing w:after="0" w:line="289" w:lineRule="auto"/>
        <w:rPr>
          <w:sz w:val="20"/>
          <w:szCs w:val="20"/>
          <w:color w:val="auto"/>
        </w:rPr>
      </w:pPr>
      <w:r>
        <w:rPr>
          <w:rFonts w:ascii="Times New Roman" w:cs="Times New Roman" w:eastAsia="Times New Roman" w:hAnsi="Times New Roman"/>
          <w:sz w:val="17"/>
          <w:szCs w:val="17"/>
          <w:color w:val="auto"/>
        </w:rPr>
        <w:t>All of the Company’s vessels are time chartered to CMA CGM. Under each of the time charters, hire is payable in advance and the daily rate is fixed for the duration of the charter. The charters are for remaining periods as at September 30, 2013 of between 0.60 and 12.25 years (see note 2(a)). All the $947,695 maximum contracted future charter hire receivable for the fleet set out in note 8 relates to the 17 vessels currently chartered to CMA CGM.</w:t>
      </w:r>
    </w:p>
    <w:p>
      <w:pPr>
        <w:spacing w:after="0" w:line="262"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b w:val="1"/>
          <w:bCs w:val="1"/>
          <w:color w:val="auto"/>
        </w:rPr>
        <w:t>Ship Management Agreements</w:t>
      </w:r>
    </w:p>
    <w:p>
      <w:pPr>
        <w:spacing w:after="0" w:line="121" w:lineRule="exact"/>
        <w:rPr>
          <w:sz w:val="20"/>
          <w:szCs w:val="20"/>
          <w:color w:val="auto"/>
        </w:rPr>
      </w:pPr>
    </w:p>
    <w:p>
      <w:pPr>
        <w:ind w:left="452"/>
        <w:spacing w:after="0" w:line="258" w:lineRule="auto"/>
        <w:rPr>
          <w:sz w:val="20"/>
          <w:szCs w:val="20"/>
          <w:color w:val="auto"/>
        </w:rPr>
      </w:pPr>
      <w:r>
        <w:rPr>
          <w:rFonts w:ascii="Times New Roman" w:cs="Times New Roman" w:eastAsia="Times New Roman" w:hAnsi="Times New Roman"/>
          <w:sz w:val="18"/>
          <w:szCs w:val="18"/>
          <w:color w:val="auto"/>
        </w:rPr>
        <w:t>The Company outsources day to day technical management of its 17 vessels to a ship manager, CMA Ships Limited, a wholly owned subsidiary of CMA CGM. The Company pays CMA Ships Limited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three months and nine months ended September 30, 2013 amounted to $485 (2012: $485) and $1,454 (2012: $1,454) respectively.</w:t>
      </w:r>
    </w:p>
    <w:p>
      <w:pPr>
        <w:spacing w:after="0" w:line="76"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412"/>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1392"/>
          </w:cols>
          <w:pgMar w:left="248" w:top="266" w:right="259" w:bottom="1440" w:gutter="0" w:footer="0" w:header="0"/>
        </w:sectPr>
      </w:pPr>
    </w:p>
    <w:bookmarkStart w:id="26" w:name="page27"/>
    <w:bookmarkEnd w:id="26"/>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4" w:lineRule="exact"/>
        <w:rPr>
          <w:sz w:val="20"/>
          <w:szCs w:val="20"/>
          <w:color w:val="auto"/>
        </w:rPr>
      </w:pPr>
    </w:p>
    <w:p>
      <w:pPr>
        <w:ind w:left="452" w:right="8380" w:hanging="452"/>
        <w:spacing w:after="0" w:line="378" w:lineRule="auto"/>
        <w:tabs>
          <w:tab w:leader="none" w:pos="441"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Charter Hire Receivable</w:t>
      </w:r>
    </w:p>
    <w:p>
      <w:pPr>
        <w:ind w:left="452"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time charters for its vessels. The charter hire is fixed for the duration of the charter. The maximum contracted future annual charter hire receivable (not allowing for any offhire and assuming expiry at the midpoint between the earliest and latest possible end dates) for the fleet of 17 vessels as at September 30, 2013 is as follows:</w:t>
      </w:r>
    </w:p>
    <w:p>
      <w:pPr>
        <w:spacing w:after="0" w:line="184"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Fleet 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gridSpan w:val="4"/>
          </w:tcPr>
          <w:p>
            <w:pPr>
              <w:jc w:val="center"/>
              <w:ind w:left="6572"/>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4"/>
        </w:trPr>
        <w:tc>
          <w:tcPr>
            <w:tcW w:w="6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September 30,</w:t>
            </w:r>
          </w:p>
        </w:tc>
        <w:tc>
          <w:tcPr>
            <w:tcW w:w="7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52" w:hanging="452"/>
        <w:spacing w:after="0"/>
        <w:tabs>
          <w:tab w:leader="none" w:pos="45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21" w:lineRule="exact"/>
        <w:rPr>
          <w:rFonts w:ascii="Times New Roman" w:cs="Times New Roman" w:eastAsia="Times New Roman" w:hAnsi="Times New Roman"/>
          <w:sz w:val="18"/>
          <w:szCs w:val="18"/>
          <w:b w:val="1"/>
          <w:bCs w:val="1"/>
          <w:color w:val="auto"/>
        </w:rPr>
      </w:pPr>
    </w:p>
    <w:p>
      <w:pPr>
        <w:ind w:left="45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September 30, 2013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81" w:lineRule="exact"/>
        <w:rPr>
          <w:rFonts w:ascii="Times New Roman" w:cs="Times New Roman" w:eastAsia="Times New Roman" w:hAnsi="Times New Roman"/>
          <w:sz w:val="18"/>
          <w:szCs w:val="18"/>
          <w:b w:val="1"/>
          <w:bCs w:val="1"/>
          <w:color w:val="auto"/>
        </w:rPr>
      </w:pPr>
    </w:p>
    <w:p>
      <w:pPr>
        <w:ind w:left="1452" w:hanging="547"/>
        <w:spacing w:after="0"/>
        <w:tabs>
          <w:tab w:leader="none" w:pos="14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firstly, to all Class A common shares at the applicable rate for the quarter;</w:t>
      </w:r>
    </w:p>
    <w:p>
      <w:pPr>
        <w:spacing w:after="0" w:line="130" w:lineRule="exact"/>
        <w:rPr>
          <w:rFonts w:ascii="Times New Roman" w:cs="Times New Roman" w:eastAsia="Times New Roman" w:hAnsi="Times New Roman"/>
          <w:sz w:val="18"/>
          <w:szCs w:val="18"/>
          <w:color w:val="auto"/>
        </w:rPr>
      </w:pPr>
    </w:p>
    <w:p>
      <w:pPr>
        <w:ind w:left="1452" w:right="400" w:hanging="547"/>
        <w:spacing w:after="0" w:line="282" w:lineRule="auto"/>
        <w:tabs>
          <w:tab w:leader="none" w:pos="14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secondly, to all Class A common shares until they have received payment for all preceding quarters at the rate of $0.23 per share per quarter;</w:t>
      </w:r>
    </w:p>
    <w:p>
      <w:pPr>
        <w:spacing w:after="0" w:line="67" w:lineRule="exact"/>
        <w:rPr>
          <w:rFonts w:ascii="Times New Roman" w:cs="Times New Roman" w:eastAsia="Times New Roman" w:hAnsi="Times New Roman"/>
          <w:sz w:val="18"/>
          <w:szCs w:val="18"/>
          <w:color w:val="auto"/>
        </w:rPr>
      </w:pPr>
    </w:p>
    <w:p>
      <w:pPr>
        <w:ind w:left="1452" w:hanging="547"/>
        <w:spacing w:after="0"/>
        <w:tabs>
          <w:tab w:leader="none" w:pos="14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thirdly, to all Class B common shares at the applicable rate for the quarter;</w:t>
      </w:r>
    </w:p>
    <w:p>
      <w:pPr>
        <w:spacing w:after="0" w:line="130" w:lineRule="exact"/>
        <w:rPr>
          <w:rFonts w:ascii="Times New Roman" w:cs="Times New Roman" w:eastAsia="Times New Roman" w:hAnsi="Times New Roman"/>
          <w:sz w:val="18"/>
          <w:szCs w:val="18"/>
          <w:color w:val="auto"/>
        </w:rPr>
      </w:pPr>
    </w:p>
    <w:p>
      <w:pPr>
        <w:ind w:left="1452" w:hanging="547"/>
        <w:spacing w:after="0"/>
        <w:tabs>
          <w:tab w:leader="none" w:pos="14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to all Class A and B common shares as if they were a single class.</w:t>
      </w:r>
    </w:p>
    <w:p>
      <w:pPr>
        <w:spacing w:after="0" w:line="117" w:lineRule="exact"/>
        <w:rPr>
          <w:sz w:val="20"/>
          <w:szCs w:val="20"/>
          <w:color w:val="auto"/>
        </w:rPr>
      </w:pPr>
    </w:p>
    <w:p>
      <w:pPr>
        <w:ind w:left="452" w:right="100"/>
        <w:spacing w:after="0" w:line="255" w:lineRule="auto"/>
        <w:rPr>
          <w:sz w:val="20"/>
          <w:szCs w:val="20"/>
          <w:color w:val="auto"/>
        </w:rPr>
      </w:pPr>
      <w:r>
        <w:rPr>
          <w:rFonts w:ascii="Times New Roman" w:cs="Times New Roman" w:eastAsia="Times New Roman" w:hAnsi="Times New Roman"/>
          <w:sz w:val="18"/>
          <w:szCs w:val="18"/>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The last quarter for which a dividend was paid was fourth quarter 2008.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81" w:lineRule="exact"/>
        <w:rPr>
          <w:sz w:val="20"/>
          <w:szCs w:val="20"/>
          <w:color w:val="auto"/>
        </w:rPr>
      </w:pPr>
    </w:p>
    <w:p>
      <w:pPr>
        <w:ind w:left="452" w:right="400"/>
        <w:spacing w:after="0" w:line="282" w:lineRule="auto"/>
        <w:rPr>
          <w:sz w:val="20"/>
          <w:szCs w:val="20"/>
          <w:color w:val="auto"/>
        </w:rPr>
      </w:pPr>
      <w:r>
        <w:rPr>
          <w:rFonts w:ascii="Times New Roman" w:cs="Times New Roman" w:eastAsia="Times New Roman" w:hAnsi="Times New Roman"/>
          <w:sz w:val="18"/>
          <w:szCs w:val="18"/>
          <w:color w:val="auto"/>
        </w:rPr>
        <w:t>Restricted stock units are granted periodically to the Directors and management, under the Company’s 2008 Equity Incentive Plan, as part of their compensation arrangements (see note 11).</w:t>
      </w:r>
    </w:p>
    <w:p>
      <w:pPr>
        <w:spacing w:after="0" w:line="54" w:lineRule="exact"/>
        <w:rPr>
          <w:sz w:val="20"/>
          <w:szCs w:val="20"/>
          <w:color w:val="auto"/>
        </w:rPr>
      </w:pPr>
    </w:p>
    <w:p>
      <w:pPr>
        <w:ind w:left="452" w:right="160"/>
        <w:spacing w:after="0" w:line="282" w:lineRule="auto"/>
        <w:rPr>
          <w:sz w:val="20"/>
          <w:szCs w:val="20"/>
          <w:color w:val="auto"/>
        </w:rPr>
      </w:pPr>
      <w:r>
        <w:rPr>
          <w:rFonts w:ascii="Times New Roman" w:cs="Times New Roman" w:eastAsia="Times New Roman" w:hAnsi="Times New Roman"/>
          <w:sz w:val="18"/>
          <w:szCs w:val="18"/>
          <w:color w:val="auto"/>
        </w:rPr>
        <w:t>The Series A preferred shares rank senior to the common shares and are mandatorily redeemable in 12 quarterly instalments commencing August 31, 2016. They are classified as a long-term liability. The dividend that preferred shareholders are entitled to is presented as part of interest expense.</w:t>
      </w:r>
    </w:p>
    <w:p>
      <w:pPr>
        <w:spacing w:after="0" w:line="54" w:lineRule="exact"/>
        <w:rPr>
          <w:sz w:val="20"/>
          <w:szCs w:val="20"/>
          <w:color w:val="auto"/>
        </w:rPr>
      </w:pPr>
    </w:p>
    <w:p>
      <w:pPr>
        <w:ind w:left="452" w:right="540"/>
        <w:spacing w:after="0" w:line="282" w:lineRule="auto"/>
        <w:rPr>
          <w:sz w:val="20"/>
          <w:szCs w:val="20"/>
          <w:color w:val="auto"/>
        </w:rPr>
      </w:pPr>
      <w:r>
        <w:rPr>
          <w:rFonts w:ascii="Times New Roman" w:cs="Times New Roman" w:eastAsia="Times New Roman" w:hAnsi="Times New Roman"/>
          <w:sz w:val="18"/>
          <w:szCs w:val="18"/>
          <w:color w:val="auto"/>
        </w:rPr>
        <w:t>On September 1, 2013, 6,188,088 Class A Warrants which were convertible to Class A common shares at a price of $9.25 expired without being exercised.</w:t>
      </w:r>
    </w:p>
    <w:p>
      <w:pPr>
        <w:spacing w:after="0" w:line="9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Page 11</w:t>
      </w:r>
    </w:p>
    <w:p>
      <w:pPr>
        <w:sectPr>
          <w:pgSz w:w="11900" w:h="16838" w:orient="portrait"/>
          <w:cols w:equalWidth="0" w:num="1">
            <w:col w:w="11372"/>
          </w:cols>
          <w:pgMar w:left="248" w:top="266" w:right="27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154"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Rate Derivatives and Fair Value Measurements</w:t>
      </w:r>
    </w:p>
    <w:p>
      <w:pPr>
        <w:spacing w:after="0" w:line="121" w:lineRule="exact"/>
        <w:rPr>
          <w:rFonts w:ascii="Times New Roman" w:cs="Times New Roman" w:eastAsia="Times New Roman" w:hAnsi="Times New Roman"/>
          <w:sz w:val="18"/>
          <w:szCs w:val="18"/>
          <w:b w:val="1"/>
          <w:bCs w:val="1"/>
          <w:color w:val="auto"/>
        </w:rPr>
      </w:pPr>
    </w:p>
    <w:p>
      <w:pPr>
        <w:ind w:left="46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exposed to the impact of interest rate changes on its variable rate debt. Accordingly, the Company has entered into interest rate swap agreements to manage the exposure to interest rate variability. As of September 30, 2013 a total of $327,000 of these interest rate swap agreements were in place, at a weighted average rate of 3.74%. These interest rate swap agreements are secured by first priority mortgages on each of the Company’s 17 vessels and rank secondary to the long-term debt (see note 6). None of the Company’s interest rate agreements qualify for hedge accounting and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for the derivatives and periodic cash settlements) are included within cash flows from investing activities in the consolidated statements of cash flows.</w:t>
      </w:r>
    </w:p>
    <w:p>
      <w:pPr>
        <w:spacing w:after="0" w:line="81"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Realized gains or losses from interest rate derivatives are recognized in the consolidated statement of income. In addition, the interest rate derivatives are “marked to market” at each reporting period end and are recorded at fair values. This generates unrealized gains or losses. The unrealized gain on interest rate derivatives for the three months ended September 30, 2013 was $1,390 (2012: $1,492 gain). The unrealised gain on interest rate derivatives for the nine months ended September 30, 2013 was $11,831 (2012: $5,075 gain).</w:t>
      </w:r>
    </w:p>
    <w:p>
      <w:pPr>
        <w:spacing w:after="0" w:line="71" w:lineRule="exact"/>
        <w:rPr>
          <w:rFonts w:ascii="Times New Roman" w:cs="Times New Roman" w:eastAsia="Times New Roman" w:hAnsi="Times New Roman"/>
          <w:sz w:val="18"/>
          <w:szCs w:val="18"/>
          <w:b w:val="1"/>
          <w:bCs w:val="1"/>
          <w:color w:val="auto"/>
        </w:rPr>
      </w:pPr>
    </w:p>
    <w:p>
      <w:pPr>
        <w:ind w:left="46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Derivative instruments held by the Company are categorized as level 2 in the fair value hierarchy. As at September 30, 2013, these derivatives represented a liability of $23,760 (December 31, 2012: $35,591). Within the consolidated balance sheets, there are no offsets of recognized assets or liabilities related to these derivatives.</w:t>
      </w:r>
    </w:p>
    <w:p>
      <w:pPr>
        <w:spacing w:after="0" w:line="3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 based awards are summarized as follows:</w:t>
      </w:r>
    </w:p>
    <w:p>
      <w:pPr>
        <w:spacing w:after="0" w:line="246" w:lineRule="exact"/>
        <w:rPr>
          <w:sz w:val="20"/>
          <w:szCs w:val="20"/>
          <w:color w:val="auto"/>
        </w:rPr>
      </w:pPr>
    </w:p>
    <w:tbl>
      <w:tblPr>
        <w:tblLayout w:type="fixed"/>
        <w:tblInd w:w="7000" w:type="dxa"/>
        <w:tblCellMar>
          <w:top w:w="0" w:type="dxa"/>
          <w:left w:w="0" w:type="dxa"/>
          <w:bottom w:w="0" w:type="dxa"/>
          <w:right w:w="0" w:type="dxa"/>
        </w:tblCellMar>
      </w:tblPr>
      <w:tr>
        <w:trPr>
          <w:trHeight w:val="173"/>
        </w:trPr>
        <w:tc>
          <w:tcPr>
            <w:tcW w:w="10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Weighted</w:t>
            </w:r>
          </w:p>
        </w:tc>
        <w:tc>
          <w:tcPr>
            <w:tcW w:w="74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rPr>
              <w:t>Actual</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Fair</w:t>
            </w:r>
          </w:p>
        </w:tc>
        <w:tc>
          <w:tcPr>
            <w:tcW w:w="74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7"/>
              </w:rPr>
              <w:t>Fair</w:t>
            </w:r>
          </w:p>
        </w:tc>
        <w:tc>
          <w:tcPr>
            <w:tcW w:w="0" w:type="dxa"/>
            <w:vAlign w:val="bottom"/>
          </w:tcPr>
          <w:p>
            <w:pPr>
              <w:spacing w:after="0"/>
              <w:rPr>
                <w:sz w:val="1"/>
                <w:szCs w:val="1"/>
                <w:color w:val="auto"/>
              </w:rPr>
            </w:pPr>
          </w:p>
        </w:tc>
      </w:tr>
      <w:tr>
        <w:trPr>
          <w:trHeight w:val="149"/>
        </w:trPr>
        <w:tc>
          <w:tcPr>
            <w:tcW w:w="20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Number of Units</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 on</w:t>
            </w:r>
          </w:p>
        </w:tc>
        <w:tc>
          <w:tcPr>
            <w:tcW w:w="74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8"/>
              </w:rPr>
              <w:t>Value on</w:t>
            </w:r>
          </w:p>
        </w:tc>
        <w:tc>
          <w:tcPr>
            <w:tcW w:w="0" w:type="dxa"/>
            <w:vAlign w:val="bottom"/>
          </w:tcPr>
          <w:p>
            <w:pPr>
              <w:spacing w:after="0"/>
              <w:rPr>
                <w:sz w:val="1"/>
                <w:szCs w:val="1"/>
                <w:color w:val="auto"/>
              </w:rPr>
            </w:pPr>
          </w:p>
        </w:tc>
      </w:tr>
      <w:tr>
        <w:trPr>
          <w:trHeight w:val="149"/>
        </w:trPr>
        <w:tc>
          <w:tcPr>
            <w:tcW w:w="206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Grant</w:t>
            </w:r>
          </w:p>
        </w:tc>
        <w:tc>
          <w:tcPr>
            <w:tcW w:w="74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w w:val="96"/>
              </w:rPr>
              <w:t>Vesting</w:t>
            </w:r>
          </w:p>
        </w:tc>
        <w:tc>
          <w:tcPr>
            <w:tcW w:w="0" w:type="dxa"/>
            <w:vAlign w:val="bottom"/>
          </w:tcPr>
          <w:p>
            <w:pPr>
              <w:spacing w:after="0"/>
              <w:rPr>
                <w:sz w:val="1"/>
                <w:szCs w:val="1"/>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Management</w:t>
            </w:r>
          </w:p>
        </w:tc>
        <w:tc>
          <w:tcPr>
            <w:tcW w:w="1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Directors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date</w:t>
            </w:r>
          </w:p>
        </w:tc>
        <w:tc>
          <w:tcPr>
            <w:tcW w:w="7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date</w:t>
            </w:r>
          </w:p>
        </w:tc>
        <w:tc>
          <w:tcPr>
            <w:tcW w:w="0" w:type="dxa"/>
            <w:vAlign w:val="bottom"/>
          </w:tcPr>
          <w:p>
            <w:pPr>
              <w:spacing w:after="0"/>
              <w:rPr>
                <w:sz w:val="1"/>
                <w:szCs w:val="1"/>
                <w:color w:val="auto"/>
              </w:rPr>
            </w:pPr>
          </w:p>
        </w:tc>
      </w:tr>
    </w:tbl>
    <w:p>
      <w:pPr>
        <w:spacing w:after="0" w:line="9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as at January 1, 2012</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17,886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3.40</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Vested in January 2012</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6.15</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on March 13, 2012</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75,000</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3.43</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 as at December 31, 2012</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225,000</w:t>
            </w:r>
          </w:p>
        </w:tc>
        <w:tc>
          <w:tcPr>
            <w:tcW w:w="4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32,070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in January 2013</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3.43</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Granted on March 7, 2013</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75,000</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27,550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3.43</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as at September 30, 2013</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27,550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3.26</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color w:val="auto"/>
        </w:rPr>
        <w:t>Using the graded vesting method of expensing the restricted stock unit grants, the calculated weighted average fair value of the stock units is recognized as compensation cost in the consolidated statements of income over the vesting period. During the three months and nine months ended September 30, 2013, the Company recognized a total of $101 (2012: $131) and $286 (2012: $378) share based compensation costs respectively. As at September 30, 2013, there was a total of $326 unrecognized compensation cost relating to the above share based awards (December 31, 2012: $260). The remaining cost is expected to be recognized over a period of 24 months.</w:t>
      </w:r>
    </w:p>
    <w:p>
      <w:pPr>
        <w:spacing w:after="0" w:line="76" w:lineRule="exact"/>
        <w:rPr>
          <w:sz w:val="20"/>
          <w:szCs w:val="20"/>
          <w:color w:val="auto"/>
        </w:rPr>
      </w:pPr>
    </w:p>
    <w:p>
      <w:pPr>
        <w:ind w:left="460" w:right="440"/>
        <w:spacing w:after="0" w:line="282" w:lineRule="auto"/>
        <w:rPr>
          <w:sz w:val="20"/>
          <w:szCs w:val="20"/>
          <w:color w:val="auto"/>
        </w:rPr>
      </w:pPr>
      <w:r>
        <w:rPr>
          <w:rFonts w:ascii="Times New Roman" w:cs="Times New Roman" w:eastAsia="Times New Roman" w:hAnsi="Times New Roman"/>
          <w:sz w:val="18"/>
          <w:szCs w:val="18"/>
          <w:color w:val="auto"/>
        </w:rPr>
        <w:t>The restricted stock units granted to Directors on March 17, 2011 and March 13, 2012 vested in January 2012 and January 2013 respectively. The restricted stock units granted to Directors on March 7, 2013 will vest in January 2014.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12</w:t>
      </w:r>
    </w:p>
    <w:p>
      <w:pPr>
        <w:sectPr>
          <w:pgSz w:w="11900" w:h="16838" w:orient="portrait"/>
          <w:cols w:equalWidth="0" w:num="1">
            <w:col w:w="11400"/>
          </w:cols>
          <w:pgMar w:left="240" w:top="266" w:right="2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4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Share-Based Compensation (continued)</w:t>
      </w:r>
    </w:p>
    <w:p>
      <w:pPr>
        <w:spacing w:after="0" w:line="162"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The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is after September 30, 2012 in respect of half of the grant and after September 30, 2013 for the other half of the grant. The restricted stock units granted to management on March 13, 2012 are expected to vest when the individual leaves employment, provided that this is after September 30, 2014 and is not as a result of resignation or termination for cause. The restricted stock units granted to management on March 7, 2013 are expected to vest when the individual leaves employment, provided that this is after September 30, 2015 and is not as a result of resignation or termination for cause.</w:t>
      </w:r>
    </w:p>
    <w:p>
      <w:pPr>
        <w:spacing w:after="0" w:line="334"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460" w:right="9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53"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and nine months ended September 30, 2013, no dividend was declared (2012: nil dividends).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79" w:lineRule="exact"/>
        <w:rPr>
          <w:rFonts w:ascii="Times New Roman" w:cs="Times New Roman" w:eastAsia="Times New Roman" w:hAnsi="Times New Roman"/>
          <w:sz w:val="18"/>
          <w:szCs w:val="18"/>
          <w:b w:val="1"/>
          <w:bCs w:val="1"/>
          <w:color w:val="auto"/>
        </w:rPr>
      </w:pPr>
    </w:p>
    <w:p>
      <w:pPr>
        <w:jc w:val="both"/>
        <w:ind w:left="4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68" w:lineRule="exact"/>
        <w:rPr>
          <w:rFonts w:ascii="Times New Roman" w:cs="Times New Roman" w:eastAsia="Times New Roman" w:hAnsi="Times New Roman"/>
          <w:sz w:val="18"/>
          <w:szCs w:val="18"/>
          <w:b w:val="1"/>
          <w:bCs w:val="1"/>
          <w:color w:val="auto"/>
        </w:rPr>
      </w:pPr>
    </w:p>
    <w:p>
      <w:pPr>
        <w:ind w:left="4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September 30, 2013, there were 327,550 restricted stock units granted and unvested as part of management’s equity incentive plan and as part of the Directors’ compensation for 2013. As of September 30, 2013 only Class A and B common shares are participating securities.</w:t>
      </w:r>
    </w:p>
    <w:p>
      <w:pPr>
        <w:spacing w:after="0" w:line="53"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months and nine months ended September 30, 2013 and September 30, 2012, the diluted weighted average number of shares includes the incremental effect of outstanding stock based incentive awards.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13</w:t>
      </w:r>
    </w:p>
    <w:p>
      <w:pPr>
        <w:sectPr>
          <w:pgSz w:w="11900" w:h="16838" w:orient="portrait"/>
          <w:cols w:equalWidth="0" w:num="1">
            <w:col w:w="11400"/>
          </w:cols>
          <w:pgMar w:left="240" w:top="266" w:right="259" w:bottom="1440" w:gutter="0" w:footer="0" w:header="0"/>
        </w:sectPr>
      </w:pPr>
    </w:p>
    <w:bookmarkStart w:id="29" w:name="page30"/>
    <w:bookmarkEnd w:id="29"/>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Notes to the Interim Unaudited Consolidated Financial Statements (continued)</w:t>
      </w:r>
    </w:p>
    <w:p>
      <w:pPr>
        <w:spacing w:after="0" w:line="2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4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Earnings per Share (continued)</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data)</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gridSpan w:val="6"/>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3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6"/>
          </w:tcPr>
          <w:p>
            <w:pPr>
              <w:jc w:val="right"/>
              <w:ind w:right="14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2440" w:type="dxa"/>
            <w:vAlign w:val="bottom"/>
            <w:gridSpan w:val="5"/>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shares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(B)</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47,513,934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w w:val="96"/>
              </w:rPr>
              <w:t>47,481,864</w:t>
            </w:r>
          </w:p>
        </w:tc>
        <w:tc>
          <w:tcPr>
            <w:tcW w:w="10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w w:val="96"/>
              </w:rPr>
              <w:t>47,513,934</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47,481,733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vested RSU’s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181,056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154,434</w:t>
            </w:r>
          </w:p>
        </w:tc>
        <w:tc>
          <w:tcPr>
            <w:tcW w:w="1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174,380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118,463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and common share equivalents (F)</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47,769,990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6"/>
              </w:rPr>
              <w:t>47,636,298</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6"/>
              </w:rPr>
              <w:t>47,763,314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47,600,196</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 B common shares</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(D)</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(H)</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shareholders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32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to:</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Class A shareholders for period</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 Class A shareholders for arrears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Class B shareholders for period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 allocate pro-rata between Class A and B</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for Class A (A)</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for Class B (C)</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(A/B)</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B (C/D)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shareholders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32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to:</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Class A shareholders for period</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 Class A shareholders for arrears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Class B shareholders for period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 allocate pro rata between Class A and B</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for Class A (E)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for Class B (G)</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(E/F)</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B (G/H)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Page 14</w:t>
      </w:r>
    </w:p>
    <w:p>
      <w:pPr>
        <w:sectPr>
          <w:pgSz w:w="11900" w:h="16838" w:orient="portrait"/>
          <w:cols w:equalWidth="0" w:num="1">
            <w:col w:w="10960"/>
          </w:cols>
          <w:pgMar w:left="240" w:top="266" w:right="699" w:bottom="1440" w:gutter="0" w:footer="0" w:header="0"/>
        </w:sectPr>
      </w:pPr>
    </w:p>
    <w:bookmarkStart w:id="30" w:name="page31"/>
    <w:bookmarkEnd w:id="30"/>
    <w:p>
      <w:pPr>
        <w:ind w:left="452" w:hanging="452"/>
        <w:spacing w:after="0"/>
        <w:tabs>
          <w:tab w:leader="none" w:pos="45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Events</w:t>
      </w:r>
    </w:p>
    <w:p>
      <w:pPr>
        <w:spacing w:after="0" w:line="121" w:lineRule="exact"/>
        <w:rPr>
          <w:rFonts w:ascii="Times New Roman" w:cs="Times New Roman" w:eastAsia="Times New Roman" w:hAnsi="Times New Roman"/>
          <w:sz w:val="18"/>
          <w:szCs w:val="18"/>
          <w:b w:val="1"/>
          <w:bCs w:val="1"/>
          <w:color w:val="auto"/>
        </w:rPr>
      </w:pPr>
    </w:p>
    <w:p>
      <w:pPr>
        <w:ind w:left="4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no subsequent events other than those disclosed elsewhere in these consolidated financial statements.</w:t>
      </w:r>
    </w:p>
    <w:p>
      <w:pPr>
        <w:spacing w:after="0" w:line="158" w:lineRule="exact"/>
        <w:rPr>
          <w:sz w:val="20"/>
          <w:szCs w:val="20"/>
          <w:color w:val="auto"/>
        </w:rPr>
      </w:pPr>
    </w:p>
    <w:p>
      <w:pPr>
        <w:ind w:left="5412"/>
        <w:spacing w:after="0"/>
        <w:rPr>
          <w:sz w:val="20"/>
          <w:szCs w:val="20"/>
          <w:color w:val="auto"/>
        </w:rPr>
      </w:pPr>
      <w:r>
        <w:rPr>
          <w:rFonts w:ascii="Times New Roman" w:cs="Times New Roman" w:eastAsia="Times New Roman" w:hAnsi="Times New Roman"/>
          <w:sz w:val="18"/>
          <w:szCs w:val="18"/>
          <w:color w:val="auto"/>
        </w:rPr>
        <w:t>Page 15</w:t>
      </w:r>
    </w:p>
    <w:sectPr>
      <w:pgSz w:w="11900" w:h="16838" w:orient="portrait"/>
      <w:cols w:equalWidth="0" w:num="1">
        <w:col w:w="10211"/>
      </w:cols>
      <w:pgMar w:left="248"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2"/>
    </w:lvl>
  </w:abstractNum>
  <w:abstractNum w:abstractNumId="9">
    <w:nsid w:val="6B68079A"/>
    <w:multiLevelType w:val="hybridMultilevel"/>
    <w:lvl w:ilvl="0">
      <w:lvlJc w:val="left"/>
      <w:lvlText w:val="(%1)"/>
      <w:numFmt w:val="lowerLetter"/>
      <w:start w:val="2"/>
    </w:lvl>
  </w:abstractNum>
  <w:abstractNum w:abstractNumId="10">
    <w:nsid w:val="4E6AFB66"/>
    <w:multiLevelType w:val="hybridMultilevel"/>
    <w:lvl w:ilvl="0">
      <w:lvlJc w:val="left"/>
      <w:lvlText w:val="(%1)"/>
      <w:numFmt w:val="lowerRoman"/>
      <w:start w:val="1"/>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1."/>
      <w:numFmt w:val="decimal"/>
      <w:start w:val="4"/>
    </w:lvl>
  </w:abstractNum>
  <w:abstractNum w:abstractNumId="14">
    <w:nsid w:val="3F2DBA31"/>
    <w:multiLevelType w:val="hybridMultilevel"/>
    <w:lvl w:ilvl="0">
      <w:lvlJc w:val="left"/>
      <w:lvlText w:val="%1."/>
      <w:numFmt w:val="decimal"/>
      <w:start w:val="6"/>
    </w:lvl>
  </w:abstractNum>
  <w:abstractNum w:abstractNumId="15">
    <w:nsid w:val="7C83E458"/>
    <w:multiLevelType w:val="hybridMultilevel"/>
    <w:lvl w:ilvl="0">
      <w:lvlJc w:val="left"/>
      <w:lvlText w:val="%1."/>
      <w:numFmt w:val="decimal"/>
      <w:start w:val="6"/>
    </w:lvl>
  </w:abstractNum>
  <w:abstractNum w:abstractNumId="16">
    <w:nsid w:val="257130A3"/>
    <w:multiLevelType w:val="hybridMultilevel"/>
    <w:lvl w:ilvl="0">
      <w:lvlJc w:val="left"/>
      <w:lvlText w:val="%1."/>
      <w:numFmt w:val="decimal"/>
      <w:start w:val="7"/>
    </w:lvl>
  </w:abstractNum>
  <w:abstractNum w:abstractNumId="17">
    <w:nsid w:val="62BBD95A"/>
    <w:multiLevelType w:val="hybridMultilevel"/>
    <w:lvl w:ilvl="0">
      <w:lvlJc w:val="left"/>
      <w:lvlText w:val="%1."/>
      <w:numFmt w:val="decimal"/>
      <w:start w:val="8"/>
    </w:lvl>
  </w:abstractNum>
  <w:abstractNum w:abstractNumId="18">
    <w:nsid w:val="436C6125"/>
    <w:multiLevelType w:val="hybridMultilevel"/>
    <w:lvl w:ilvl="0">
      <w:lvlJc w:val="left"/>
      <w:lvlText w:val="%1."/>
      <w:numFmt w:val="decimal"/>
      <w:start w:val="9"/>
    </w:lvl>
    <w:lvl w:ilvl="1">
      <w:lvlJc w:val="left"/>
      <w:lvlText w:val="•"/>
      <w:numFmt w:val="bullet"/>
      <w:start w:val="1"/>
    </w:lvl>
  </w:abstractNum>
  <w:abstractNum w:abstractNumId="19">
    <w:nsid w:val="628C895D"/>
    <w:multiLevelType w:val="hybridMultilevel"/>
    <w:lvl w:ilvl="0">
      <w:lvlJc w:val="left"/>
      <w:lvlText w:val="%1."/>
      <w:numFmt w:val="decimal"/>
      <w:start w:val="10"/>
    </w:lvl>
  </w:abstractNum>
  <w:abstractNum w:abstractNumId="20">
    <w:nsid w:val="333AB105"/>
    <w:multiLevelType w:val="hybridMultilevel"/>
    <w:lvl w:ilvl="0">
      <w:lvlJc w:val="left"/>
      <w:lvlText w:val="%1."/>
      <w:numFmt w:val="decimal"/>
      <w:start w:val="12"/>
    </w:lvl>
  </w:abstractNum>
  <w:abstractNum w:abstractNumId="21">
    <w:nsid w:val="721DA31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2019-12-07T18:11:33Z</dcterms:created>
  <dcterms:modified xsi:type="dcterms:W3CDTF">2019-12-07T18:11:33Z</dcterms:modified>
</cp:coreProperties>
</file>