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ef20079506_6k.htm"/>
      <w:bookmarkStart w:id="1" w:name="ksef20079506_6k"/>
      <w:bookmarkStart w:id="2" w:name="ef20079506_6k.htm"/>
      <w:bookmarkStart w:id="3" w:name="ksef20079506_6k"/>
      <w:bookmarkEnd w:id="2"/>
      <w:bookmarkEnd w:id="3"/>
    </w:p>
    <w:p>
      <w:pPr>
        <w:pStyle w:val="TextBody"/>
        <w:bidi w:val="0"/>
        <w:spacing w:before="0" w:after="0"/>
        <w:ind w:left="550" w:right="582" w:hanging="0"/>
        <w:jc w:val="center"/>
        <w:rPr>
          <w:rFonts w:ascii="Times New Roman" w:hAnsi="Times New Roman"/>
          <w:b/>
          <w:color w:val="000000"/>
          <w:sz w:val="28"/>
        </w:rPr>
      </w:pPr>
      <w:r>
        <w:rPr>
          <w:rFonts w:ascii="Times New Roman" w:hAnsi="Times New Roman"/>
          <w:b/>
          <w:color w:val="000000"/>
          <w:sz w:val="28"/>
        </w:rPr>
        <w:t>UNITED STATES SECURITIES AND EXCHANGE COMMISSION</w:t>
      </w:r>
    </w:p>
    <w:p>
      <w:pPr>
        <w:pStyle w:val="TextBody"/>
        <w:bidi w:val="0"/>
        <w:spacing w:before="0" w:after="0"/>
        <w:ind w:left="550" w:right="582" w:hanging="0"/>
        <w:jc w:val="center"/>
        <w:rPr>
          <w:rFonts w:ascii="Times New Roman" w:hAnsi="Times New Roman"/>
          <w:b/>
          <w:color w:val="000000"/>
          <w:sz w:val="24"/>
        </w:rPr>
      </w:pPr>
      <w:r>
        <w:rPr>
          <w:rFonts w:ascii="Times New Roman" w:hAnsi="Times New Roman"/>
          <w:b/>
          <w:color w:val="000000"/>
          <w:sz w:val="24"/>
        </w:rPr>
        <w:t>Washington, D.C. 20549</w:t>
      </w:r>
    </w:p>
    <w:p>
      <w:pPr>
        <w:pStyle w:val="TextBody"/>
        <w:bidi w:val="0"/>
        <w:spacing w:before="0" w:after="0"/>
        <w:jc w:val="left"/>
        <w:rPr/>
      </w:pPr>
      <w:r>
        <w:rPr/>
      </w:r>
    </w:p>
    <w:p>
      <w:pPr>
        <w:pStyle w:val="TextBody"/>
        <w:bidi w:val="0"/>
        <w:spacing w:before="0" w:after="0"/>
        <w:ind w:left="550" w:right="582" w:hanging="0"/>
        <w:jc w:val="center"/>
        <w:rPr>
          <w:rFonts w:ascii="Times New Roman" w:hAnsi="Times New Roman"/>
          <w:b/>
          <w:color w:val="000000"/>
          <w:sz w:val="36"/>
        </w:rPr>
      </w:pPr>
      <w:r>
        <w:rPr>
          <w:rFonts w:ascii="Times New Roman" w:hAnsi="Times New Roman"/>
          <w:b/>
          <w:color w:val="000000"/>
          <w:sz w:val="36"/>
        </w:rPr>
        <w:t>FORM 6-K</w:t>
      </w:r>
    </w:p>
    <w:p>
      <w:pPr>
        <w:pStyle w:val="TextBody"/>
        <w:bidi w:val="0"/>
        <w:spacing w:before="0" w:after="0"/>
        <w:jc w:val="left"/>
        <w:rPr/>
      </w:pPr>
      <w:r>
        <w:rPr/>
      </w:r>
    </w:p>
    <w:p>
      <w:pPr>
        <w:pStyle w:val="TextBody"/>
        <w:bidi w:val="0"/>
        <w:spacing w:before="0" w:after="0"/>
        <w:ind w:left="550" w:right="582" w:hanging="0"/>
        <w:jc w:val="center"/>
        <w:rPr>
          <w:rFonts w:ascii="Times New Roman" w:hAnsi="Times New Roman"/>
          <w:b/>
          <w:color w:val="000000"/>
          <w:sz w:val="20"/>
        </w:rPr>
      </w:pPr>
      <w:r>
        <w:rPr>
          <w:rFonts w:ascii="Times New Roman" w:hAnsi="Times New Roman"/>
          <w:b/>
          <w:color w:val="000000"/>
          <w:sz w:val="20"/>
        </w:rPr>
        <w:t>REPORT OF FOREIGN PRIVATE ISSUER PURSUANT TO RULE 13A-16 OR 15D-16 UNDER THE SECURITIES EXCHANGE ACT OF 1934</w:t>
      </w:r>
    </w:p>
    <w:p>
      <w:pPr>
        <w:pStyle w:val="TextBody"/>
        <w:bidi w:val="0"/>
        <w:spacing w:before="0" w:after="0"/>
        <w:jc w:val="left"/>
        <w:rPr/>
      </w:pPr>
      <w:r>
        <w:rPr/>
      </w:r>
    </w:p>
    <w:p>
      <w:pPr>
        <w:pStyle w:val="TextBody"/>
        <w:bidi w:val="0"/>
        <w:spacing w:before="0" w:after="0"/>
        <w:ind w:left="550" w:right="582" w:hanging="0"/>
        <w:jc w:val="center"/>
        <w:rPr>
          <w:rFonts w:ascii="Times New Roman" w:hAnsi="Times New Roman"/>
          <w:color w:val="000000"/>
          <w:sz w:val="20"/>
        </w:rPr>
      </w:pPr>
      <w:r>
        <w:rPr>
          <w:rFonts w:ascii="Times New Roman" w:hAnsi="Times New Roman"/>
          <w:color w:val="000000"/>
          <w:sz w:val="20"/>
        </w:rPr>
        <w:t>For the month of August 2026</w:t>
      </w:r>
    </w:p>
    <w:p>
      <w:pPr>
        <w:pStyle w:val="TextBody"/>
        <w:bidi w:val="0"/>
        <w:spacing w:before="0" w:after="0"/>
        <w:jc w:val="left"/>
        <w:rPr/>
      </w:pPr>
      <w:r>
        <w:rPr/>
      </w:r>
    </w:p>
    <w:p>
      <w:pPr>
        <w:pStyle w:val="TextBody"/>
        <w:bidi w:val="0"/>
        <w:spacing w:before="0" w:after="0"/>
        <w:ind w:left="550" w:right="582" w:hanging="0"/>
        <w:jc w:val="center"/>
        <w:rPr>
          <w:rFonts w:ascii="Times New Roman" w:hAnsi="Times New Roman"/>
          <w:color w:val="000000"/>
          <w:sz w:val="20"/>
        </w:rPr>
      </w:pPr>
      <w:r>
        <w:rPr>
          <w:rFonts w:ascii="Times New Roman" w:hAnsi="Times New Roman"/>
          <w:color w:val="000000"/>
          <w:sz w:val="20"/>
        </w:rPr>
        <w:t>Commission File Number: 001-34153</w:t>
      </w:r>
    </w:p>
    <w:p>
      <w:pPr>
        <w:pStyle w:val="TextBody"/>
        <w:bidi w:val="0"/>
        <w:spacing w:before="0" w:after="0"/>
        <w:jc w:val="left"/>
        <w:rPr/>
      </w:pPr>
      <w:r>
        <w:rPr/>
      </w:r>
    </w:p>
    <w:p>
      <w:pPr>
        <w:pStyle w:val="TextBody"/>
        <w:bidi w:val="0"/>
        <w:spacing w:before="0" w:after="0"/>
        <w:ind w:left="550" w:right="582" w:hanging="0"/>
        <w:jc w:val="center"/>
        <w:rPr>
          <w:rFonts w:ascii="Times New Roman" w:hAnsi="Times New Roman"/>
          <w:b/>
          <w:color w:val="000000"/>
          <w:sz w:val="48"/>
        </w:rPr>
      </w:pPr>
      <w:r>
        <w:rPr>
          <w:rFonts w:ascii="Times New Roman" w:hAnsi="Times New Roman"/>
          <w:b/>
          <w:color w:val="000000"/>
          <w:sz w:val="48"/>
        </w:rPr>
        <w:t>GLOBAL SHIP LEASE, INC.</w:t>
      </w:r>
    </w:p>
    <w:p>
      <w:pPr>
        <w:pStyle w:val="TextBody"/>
        <w:bidi w:val="0"/>
        <w:spacing w:before="0" w:after="0"/>
        <w:ind w:left="550" w:right="582" w:hanging="0"/>
        <w:jc w:val="center"/>
        <w:rPr>
          <w:rFonts w:ascii="Times New Roman" w:hAnsi="Times New Roman"/>
          <w:color w:val="000000"/>
          <w:sz w:val="20"/>
        </w:rPr>
      </w:pPr>
      <w:r>
        <w:rPr>
          <w:rFonts w:ascii="Times New Roman" w:hAnsi="Times New Roman"/>
          <w:color w:val="000000"/>
          <w:sz w:val="20"/>
        </w:rPr>
        <w:t>(Translation of registrant's name into English)</w:t>
      </w:r>
    </w:p>
    <w:p>
      <w:pPr>
        <w:pStyle w:val="TextBody"/>
        <w:bidi w:val="0"/>
        <w:spacing w:before="0" w:after="0"/>
        <w:jc w:val="left"/>
        <w:rPr/>
      </w:pPr>
      <w:r>
        <w:rPr/>
      </w:r>
    </w:p>
    <w:p>
      <w:pPr>
        <w:pStyle w:val="TextBody"/>
        <w:bidi w:val="0"/>
        <w:spacing w:before="0" w:after="0"/>
        <w:ind w:left="550" w:right="582" w:hanging="0"/>
        <w:jc w:val="center"/>
        <w:rPr>
          <w:rFonts w:ascii="Times New Roman" w:hAnsi="Times New Roman"/>
          <w:b/>
          <w:color w:val="000000"/>
          <w:sz w:val="20"/>
        </w:rPr>
      </w:pPr>
      <w:r>
        <w:rPr>
          <w:rFonts w:ascii="Times New Roman" w:hAnsi="Times New Roman"/>
          <w:b/>
          <w:color w:val="000000"/>
          <w:sz w:val="20"/>
        </w:rPr>
        <w:t>c/o GSL Enterprises Ltd.</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9 Irodou Attikou Street</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Kifisia, Athens</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Greece, 14561</w:t>
      </w:r>
    </w:p>
    <w:p>
      <w:pPr>
        <w:pStyle w:val="TextBody"/>
        <w:bidi w:val="0"/>
        <w:spacing w:before="0" w:after="0"/>
        <w:ind w:left="550" w:right="582" w:hanging="0"/>
        <w:jc w:val="center"/>
        <w:rPr>
          <w:rFonts w:ascii="Times New Roman" w:hAnsi="Times New Roman"/>
          <w:color w:val="000000"/>
          <w:sz w:val="20"/>
        </w:rPr>
      </w:pPr>
      <w:r>
        <w:rPr>
          <w:rFonts w:ascii="Times New Roman" w:hAnsi="Times New Roman"/>
          <w:color w:val="000000"/>
          <w:sz w:val="20"/>
        </w:rPr>
        <w:t>(Address of principal executive office)</w:t>
      </w:r>
    </w:p>
    <w:p>
      <w:pPr>
        <w:pStyle w:val="TextBody"/>
        <w:bidi w:val="0"/>
        <w:spacing w:before="0" w:after="0"/>
        <w:jc w:val="left"/>
        <w:rPr/>
      </w:pPr>
      <w:r>
        <w:rPr/>
      </w:r>
    </w:p>
    <w:p>
      <w:pPr>
        <w:pStyle w:val="TextBody"/>
        <w:bidi w:val="0"/>
        <w:spacing w:before="0" w:after="0"/>
        <w:ind w:left="550" w:right="582" w:hanging="0"/>
        <w:jc w:val="left"/>
        <w:rPr>
          <w:rFonts w:ascii="Times New Roman" w:hAnsi="Times New Roman"/>
          <w:color w:val="000000"/>
          <w:sz w:val="20"/>
        </w:rPr>
      </w:pPr>
      <w:r>
        <w:rPr>
          <w:rFonts w:ascii="Times New Roman" w:hAnsi="Times New Roman"/>
          <w:color w:val="000000"/>
          <w:sz w:val="20"/>
        </w:rPr>
        <w:t>Indicate by check mark whether the registrant files or will file annual reports under cover of Form 20-F or Form 40-F:</w:t>
      </w:r>
    </w:p>
    <w:p>
      <w:pPr>
        <w:pStyle w:val="TextBody"/>
        <w:bidi w:val="0"/>
        <w:spacing w:before="0" w:after="0"/>
        <w:jc w:val="left"/>
        <w:rPr/>
      </w:pPr>
      <w:r>
        <w:rPr/>
      </w:r>
    </w:p>
    <w:p>
      <w:pPr>
        <w:pStyle w:val="TextBody"/>
        <w:bidi w:val="0"/>
        <w:spacing w:before="0" w:after="0"/>
        <w:ind w:left="550" w:right="582" w:hanging="0"/>
        <w:jc w:val="center"/>
        <w:rPr>
          <w:rFonts w:ascii="Times New Roman" w:hAnsi="Times New Roman"/>
          <w:b/>
          <w:color w:val="000000"/>
          <w:sz w:val="20"/>
        </w:rPr>
      </w:pPr>
      <w:r>
        <w:rPr>
          <w:rFonts w:ascii="Times New Roman" w:hAnsi="Times New Roman"/>
          <w:b/>
          <w:color w:val="000000"/>
          <w:sz w:val="20"/>
        </w:rPr>
        <w:t>Form 20-F ☒ Form 40-F ☐</w:t>
      </w:r>
    </w:p>
    <w:p>
      <w:pPr>
        <w:pStyle w:val="TextBody"/>
        <w:bidi w:val="0"/>
        <w:spacing w:before="0" w:after="0"/>
        <w:jc w:val="left"/>
        <w:rPr/>
      </w:pPr>
      <w:r>
        <w:rPr/>
      </w:r>
    </w:p>
    <w:p>
      <w:pPr>
        <w:pStyle w:val="HorizontalLine"/>
        <w:bidi w:val="0"/>
        <w:jc w:val="left"/>
        <w:rPr/>
      </w:pPr>
      <w:r>
        <w:rPr/>
      </w:r>
    </w:p>
    <w:p>
      <w:pPr>
        <w:pStyle w:val="HorizontalLine"/>
        <w:pBdr>
          <w:bottom w:val="single" w:sz="12" w:space="0" w:color="808080"/>
        </w:pBdr>
        <w:bidi w:val="0"/>
        <w:spacing w:before="200" w:after="200"/>
        <w:jc w:val="left"/>
        <w:rPr/>
      </w:pPr>
      <w:r>
        <w:rPr/>
      </w:r>
    </w:p>
    <w:p>
      <w:pPr>
        <w:pStyle w:val="TextBody"/>
        <w:bidi w:val="0"/>
        <w:spacing w:before="0" w:after="0"/>
        <w:ind w:left="550" w:right="582" w:hanging="0"/>
        <w:jc w:val="center"/>
        <w:rPr>
          <w:rFonts w:ascii="Times New Roman" w:hAnsi="Times New Roman"/>
          <w:b/>
          <w:color w:val="000000"/>
          <w:sz w:val="20"/>
        </w:rPr>
      </w:pPr>
      <w:r>
        <w:rPr>
          <w:rFonts w:ascii="Times New Roman" w:hAnsi="Times New Roman"/>
          <w:b/>
          <w:color w:val="000000"/>
          <w:sz w:val="20"/>
        </w:rPr>
        <w:t>INFORMATION CONTAINED IN THIS FORM 6-K REPORT</w:t>
      </w:r>
    </w:p>
    <w:p>
      <w:pPr>
        <w:pStyle w:val="TextBody"/>
        <w:bidi w:val="0"/>
        <w:spacing w:before="0" w:after="0"/>
        <w:jc w:val="left"/>
        <w:rPr/>
      </w:pPr>
      <w:r>
        <w:rPr/>
      </w:r>
    </w:p>
    <w:p>
      <w:pPr>
        <w:pStyle w:val="TextBody"/>
        <w:bidi w:val="0"/>
        <w:spacing w:before="0" w:after="0"/>
        <w:ind w:left="0" w:right="0" w:firstLine="720"/>
        <w:jc w:val="both"/>
        <w:rPr/>
      </w:pPr>
      <w:r>
        <w:rPr>
          <w:rFonts w:ascii="Times New Roman" w:hAnsi="Times New Roman"/>
          <w:color w:val="000000"/>
          <w:sz w:val="20"/>
        </w:rPr>
        <w:t xml:space="preserve">Attached to this Report on Form 6-K as </w:t>
      </w:r>
      <w:hyperlink w:anchor="ef20079506_ex99-1.htm">
        <w:r>
          <w:rPr>
            <w:rStyle w:val="InternetLink"/>
          </w:rPr>
          <w:t>Exhibit 99.1</w:t>
        </w:r>
      </w:hyperlink>
      <w:r>
        <w:rPr>
          <w:rFonts w:ascii="Times New Roman" w:hAnsi="Times New Roman"/>
          <w:color w:val="000000"/>
          <w:sz w:val="20"/>
        </w:rPr>
        <w:t xml:space="preserve"> is a copy of the press release of Global Ship Lease, Inc. (the “</w:t>
      </w:r>
      <w:r>
        <w:rPr>
          <w:rFonts w:ascii="Times New Roman" w:hAnsi="Times New Roman"/>
          <w:color w:val="000000"/>
          <w:sz w:val="20"/>
          <w:u w:val="single"/>
        </w:rPr>
        <w:t>Company</w:t>
      </w:r>
      <w:r>
        <w:rPr>
          <w:rFonts w:ascii="Times New Roman" w:hAnsi="Times New Roman"/>
          <w:color w:val="000000"/>
          <w:sz w:val="20"/>
        </w:rPr>
        <w:t>”), dated August 5, 2026, reporting the Company’s financial results for the three and six months ended June 30, 2026.</w:t>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ind w:left="550" w:right="252" w:hanging="0"/>
        <w:jc w:val="center"/>
        <w:rPr>
          <w:rFonts w:ascii="Times New Roman" w:hAnsi="Times New Roman"/>
          <w:b/>
          <w:color w:val="000000"/>
          <w:sz w:val="20"/>
        </w:rPr>
      </w:pPr>
      <w:r>
        <w:rPr>
          <w:rFonts w:ascii="Times New Roman" w:hAnsi="Times New Roman"/>
          <w:b/>
          <w:color w:val="000000"/>
          <w:sz w:val="20"/>
        </w:rPr>
        <w:t>SIGNATURE</w:t>
      </w:r>
    </w:p>
    <w:p>
      <w:pPr>
        <w:pStyle w:val="TextBody"/>
        <w:bidi w:val="0"/>
        <w:spacing w:before="0" w:after="0"/>
        <w:jc w:val="left"/>
        <w:rPr/>
      </w:pPr>
      <w:r>
        <w:rPr/>
      </w:r>
    </w:p>
    <w:p>
      <w:pPr>
        <w:pStyle w:val="TextBody"/>
        <w:bidi w:val="0"/>
        <w:spacing w:before="0" w:after="0"/>
        <w:ind w:left="0" w:right="252" w:firstLine="720"/>
        <w:jc w:val="both"/>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4" w:name="z54b3026aea174574a129f33e1cce224b"/>
      <w:bookmarkStart w:id="5" w:name="z54b3026aea174574a129f33e1cce224b"/>
      <w:bookmarkEnd w:id="5"/>
    </w:p>
    <w:tbl>
      <w:tblPr>
        <w:tblW w:w="5520" w:type="dxa"/>
        <w:jc w:val="left"/>
        <w:tblInd w:w="0" w:type="dxa"/>
        <w:tblLayout w:type="fixed"/>
        <w:tblCellMar>
          <w:top w:w="0" w:type="dxa"/>
          <w:left w:w="0" w:type="dxa"/>
          <w:bottom w:w="0" w:type="dxa"/>
          <w:right w:w="0" w:type="dxa"/>
        </w:tblCellMar>
      </w:tblPr>
      <w:tblGrid>
        <w:gridCol w:w="2060"/>
        <w:gridCol w:w="365"/>
        <w:gridCol w:w="3095"/>
      </w:tblGrid>
      <w:tr>
        <w:trPr/>
        <w:tc>
          <w:tcPr>
            <w:tcW w:w="2060" w:type="dxa"/>
            <w:tcBorders/>
            <w:vAlign w:val="center"/>
          </w:tcPr>
          <w:p>
            <w:pPr>
              <w:pStyle w:val="TableContents"/>
              <w:bidi w:val="0"/>
              <w:spacing w:before="0" w:after="283"/>
              <w:jc w:val="left"/>
              <w:rPr/>
            </w:pPr>
            <w:r>
              <w:rPr/>
              <w:t> </w:t>
            </w:r>
          </w:p>
        </w:tc>
        <w:tc>
          <w:tcPr>
            <w:tcW w:w="3460" w:type="dxa"/>
            <w:gridSpan w:val="2"/>
            <w:tcBorders/>
            <w:vAlign w:val="center"/>
          </w:tcPr>
          <w:p>
            <w:pPr>
              <w:pStyle w:val="TableContents"/>
              <w:bidi w:val="0"/>
              <w:spacing w:before="0" w:after="0"/>
              <w:jc w:val="left"/>
              <w:rPr>
                <w:b/>
              </w:rPr>
            </w:pPr>
            <w:r>
              <w:rPr>
                <w:b/>
              </w:rPr>
              <w:t>GLOBAL SHIP LEASE, INC.</w:t>
            </w:r>
          </w:p>
          <w:p>
            <w:pPr>
              <w:pStyle w:val="TableContents"/>
              <w:bidi w:val="0"/>
              <w:spacing w:before="0" w:after="0"/>
              <w:jc w:val="left"/>
              <w:rPr/>
            </w:pPr>
            <w:r>
              <w:rPr/>
              <w:t>(Registrant)</w:t>
            </w:r>
          </w:p>
        </w:tc>
      </w:tr>
      <w:tr>
        <w:trPr/>
        <w:tc>
          <w:tcPr>
            <w:tcW w:w="2060" w:type="dxa"/>
            <w:tcBorders/>
            <w:vAlign w:val="center"/>
          </w:tcPr>
          <w:p>
            <w:pPr>
              <w:pStyle w:val="TableContents"/>
              <w:bidi w:val="0"/>
              <w:spacing w:before="0" w:after="0"/>
              <w:jc w:val="left"/>
              <w:rPr/>
            </w:pPr>
            <w:r>
              <w:rPr/>
              <w:t>Date: August 5, 2026</w:t>
            </w:r>
          </w:p>
        </w:tc>
        <w:tc>
          <w:tcPr>
            <w:tcW w:w="3460" w:type="dxa"/>
            <w:gridSpan w:val="2"/>
            <w:tcBorders/>
            <w:vAlign w:val="center"/>
          </w:tcPr>
          <w:p>
            <w:pPr>
              <w:pStyle w:val="TableContents"/>
              <w:bidi w:val="0"/>
              <w:spacing w:before="0" w:after="283"/>
              <w:jc w:val="left"/>
              <w:rPr/>
            </w:pPr>
            <w:r>
              <w:rPr/>
              <w:t> </w:t>
            </w:r>
          </w:p>
        </w:tc>
      </w:tr>
      <w:tr>
        <w:trPr/>
        <w:tc>
          <w:tcPr>
            <w:tcW w:w="20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0"/>
              <w:jc w:val="left"/>
              <w:rPr/>
            </w:pPr>
            <w:r>
              <w:rPr/>
              <w:t>By:</w:t>
            </w:r>
          </w:p>
        </w:tc>
        <w:tc>
          <w:tcPr>
            <w:tcW w:w="3095" w:type="dxa"/>
            <w:tcBorders/>
            <w:vAlign w:val="center"/>
          </w:tcPr>
          <w:p>
            <w:pPr>
              <w:pStyle w:val="TableContents"/>
              <w:bidi w:val="0"/>
              <w:spacing w:before="0" w:after="0"/>
              <w:jc w:val="left"/>
              <w:rPr>
                <w:u w:val="single"/>
              </w:rPr>
            </w:pPr>
            <w:r>
              <w:rPr>
                <w:u w:val="single"/>
              </w:rPr>
              <w:t xml:space="preserve">/s/ Thomas Lister                        </w:t>
            </w:r>
          </w:p>
        </w:tc>
      </w:tr>
      <w:tr>
        <w:trPr/>
        <w:tc>
          <w:tcPr>
            <w:tcW w:w="20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095" w:type="dxa"/>
            <w:tcBorders/>
            <w:vAlign w:val="center"/>
          </w:tcPr>
          <w:p>
            <w:pPr>
              <w:pStyle w:val="TableContents"/>
              <w:bidi w:val="0"/>
              <w:spacing w:before="0" w:after="0"/>
              <w:jc w:val="left"/>
              <w:rPr/>
            </w:pPr>
            <w:r>
              <w:rPr/>
              <w:t>Thomas Lister</w:t>
            </w:r>
          </w:p>
        </w:tc>
      </w:tr>
      <w:tr>
        <w:trPr/>
        <w:tc>
          <w:tcPr>
            <w:tcW w:w="20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095" w:type="dxa"/>
            <w:tcBorders/>
            <w:vAlign w:val="center"/>
          </w:tcPr>
          <w:p>
            <w:pPr>
              <w:pStyle w:val="TableContents"/>
              <w:bidi w:val="0"/>
              <w:spacing w:before="0" w:after="0"/>
              <w:jc w:val="left"/>
              <w:rPr/>
            </w:pPr>
            <w:r>
              <w:rPr/>
              <w:t>Chief Executive Officer</w:t>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single" w:sz="12" w:space="0" w:color="808080"/>
        </w:pBdr>
        <w:bidi w:val="0"/>
        <w:jc w:val="left"/>
        <w:rPr/>
      </w:pPr>
      <w:r>
        <w:rPr/>
      </w:r>
    </w:p>
    <w:p>
      <w:pPr>
        <w:pStyle w:val="HorizontalLine"/>
        <w:pBdr>
          <w:bottom w:val="single" w:sz="12" w:space="0" w:color="808080"/>
        </w:pBdr>
        <w:bidi w:val="0"/>
        <w:jc w:val="left"/>
        <w:rPr/>
      </w:pPr>
      <w:r>
        <w:rPr/>
      </w:r>
      <w:bookmarkStart w:id="6" w:name="ef20079506_ex99-1.htm"/>
      <w:bookmarkStart w:id="7" w:name="ksef20079506_ex991"/>
      <w:bookmarkStart w:id="8" w:name="ef20079506_ex99-1.htm"/>
      <w:bookmarkStart w:id="9" w:name="ksef20079506_ex991"/>
      <w:bookmarkEnd w:id="8"/>
      <w:bookmarkEnd w:id="9"/>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99.1</w:t>
      </w:r>
    </w:p>
    <w:p>
      <w:pPr>
        <w:pStyle w:val="TextBody"/>
        <w:bidi w:val="0"/>
        <w:spacing w:before="0" w:after="0"/>
        <w:jc w:val="right"/>
        <w:rPr/>
      </w:pPr>
      <w:r>
        <w:rPr/>
      </w:r>
    </w:p>
    <w:p>
      <w:pPr>
        <w:pStyle w:val="TextBody"/>
        <w:bidi w:val="0"/>
        <w:spacing w:before="0" w:after="0"/>
        <w:jc w:val="right"/>
        <w:rPr>
          <w:rFonts w:ascii="Times New Roman" w:hAnsi="Times New Roman"/>
          <w:color w:val="000000"/>
          <w:sz w:val="20"/>
        </w:rPr>
      </w:pPr>
      <w:r>
        <w:rPr>
          <w:rFonts w:ascii="Times New Roman" w:hAnsi="Times New Roman"/>
          <w:color w:val="000000"/>
          <w:sz w:val="20"/>
        </w:rPr>
        <w:t>Investor and Media Contacts:</w:t>
      </w:r>
    </w:p>
    <w:p>
      <w:pPr>
        <w:pStyle w:val="TextBody"/>
        <w:bidi w:val="0"/>
        <w:spacing w:before="0" w:after="0"/>
        <w:jc w:val="right"/>
        <w:rPr>
          <w:rFonts w:ascii="Times New Roman" w:hAnsi="Times New Roman"/>
          <w:color w:val="000000"/>
          <w:sz w:val="20"/>
        </w:rPr>
      </w:pPr>
      <w:r>
        <w:rPr>
          <w:rFonts w:ascii="Times New Roman" w:hAnsi="Times New Roman"/>
          <w:color w:val="000000"/>
          <w:sz w:val="20"/>
        </w:rPr>
        <w:t>IGB Group</w:t>
      </w:r>
    </w:p>
    <w:p>
      <w:pPr>
        <w:pStyle w:val="TextBody"/>
        <w:bidi w:val="0"/>
        <w:spacing w:before="0" w:after="0"/>
        <w:jc w:val="right"/>
        <w:rPr>
          <w:rFonts w:ascii="Times New Roman" w:hAnsi="Times New Roman"/>
          <w:color w:val="000000"/>
          <w:sz w:val="20"/>
        </w:rPr>
      </w:pPr>
      <w:r>
        <w:rPr>
          <w:rFonts w:ascii="Times New Roman" w:hAnsi="Times New Roman"/>
          <w:color w:val="000000"/>
          <w:sz w:val="20"/>
        </w:rPr>
        <w:t>Bryan Degnan</w:t>
      </w:r>
    </w:p>
    <w:p>
      <w:pPr>
        <w:pStyle w:val="TextBody"/>
        <w:bidi w:val="0"/>
        <w:spacing w:before="0" w:after="0"/>
        <w:jc w:val="right"/>
        <w:rPr>
          <w:rFonts w:ascii="Times New Roman" w:hAnsi="Times New Roman"/>
          <w:color w:val="000000"/>
          <w:sz w:val="20"/>
        </w:rPr>
      </w:pPr>
      <w:r>
        <w:rPr>
          <w:rFonts w:ascii="Times New Roman" w:hAnsi="Times New Roman"/>
          <w:color w:val="000000"/>
          <w:sz w:val="20"/>
        </w:rPr>
        <w:t>646-673-9701</w:t>
      </w:r>
    </w:p>
    <w:p>
      <w:pPr>
        <w:pStyle w:val="TextBody"/>
        <w:bidi w:val="0"/>
        <w:spacing w:before="0" w:after="0"/>
        <w:jc w:val="right"/>
        <w:rPr>
          <w:rFonts w:ascii="Times New Roman" w:hAnsi="Times New Roman"/>
          <w:color w:val="000000"/>
          <w:sz w:val="20"/>
        </w:rPr>
      </w:pPr>
      <w:r>
        <w:rPr>
          <w:rFonts w:ascii="Times New Roman" w:hAnsi="Times New Roman"/>
          <w:color w:val="000000"/>
          <w:sz w:val="20"/>
        </w:rPr>
        <w:t>or</w:t>
      </w:r>
    </w:p>
    <w:p>
      <w:pPr>
        <w:pStyle w:val="TextBody"/>
        <w:bidi w:val="0"/>
        <w:spacing w:before="0" w:after="0"/>
        <w:jc w:val="right"/>
        <w:rPr>
          <w:rFonts w:ascii="Times New Roman" w:hAnsi="Times New Roman"/>
          <w:color w:val="000000"/>
          <w:sz w:val="20"/>
        </w:rPr>
      </w:pPr>
      <w:r>
        <w:rPr>
          <w:rFonts w:ascii="Times New Roman" w:hAnsi="Times New Roman"/>
          <w:color w:val="000000"/>
          <w:sz w:val="20"/>
        </w:rPr>
        <w:t>Leon Berman</w:t>
      </w:r>
    </w:p>
    <w:p>
      <w:pPr>
        <w:pStyle w:val="TextBody"/>
        <w:bidi w:val="0"/>
        <w:spacing w:before="0" w:after="0"/>
        <w:jc w:val="right"/>
        <w:rPr>
          <w:rFonts w:ascii="Times New Roman" w:hAnsi="Times New Roman"/>
          <w:color w:val="000000"/>
          <w:sz w:val="20"/>
        </w:rPr>
      </w:pPr>
      <w:r>
        <w:rPr>
          <w:rFonts w:ascii="Times New Roman" w:hAnsi="Times New Roman"/>
          <w:color w:val="000000"/>
          <w:sz w:val="20"/>
        </w:rPr>
        <w:t>212-477-8438</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Global Ship Lease Reports Results for the Second Quarter of 2026</w:t>
      </w:r>
    </w:p>
    <w:p>
      <w:pPr>
        <w:pStyle w:val="TextBody"/>
        <w:bidi w:val="0"/>
        <w:spacing w:before="0" w:after="0"/>
        <w:jc w:val="left"/>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Ordered 15 mid-size, ultra-high-reefer, wide-beam, latest generation newbuilds for an aggregate contract price of $1.33 billion, over 75% of which is covered by expected Adj. EBITDA from initial charters</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100% contract cover for 2026 and 90% for 2027</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Annualized dividend of $2.50 per Class A Common Share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b/>
          <w:color w:val="000000"/>
          <w:sz w:val="20"/>
        </w:rPr>
        <w:t>ATHENS, GREECE</w:t>
      </w:r>
      <w:r>
        <w:rPr>
          <w:rFonts w:ascii="Times New Roman" w:hAnsi="Times New Roman"/>
          <w:color w:val="000000"/>
          <w:sz w:val="20"/>
        </w:rPr>
        <w:t xml:space="preserve"> – </w:t>
      </w:r>
      <w:r>
        <w:rPr>
          <w:rFonts w:ascii="Times New Roman" w:hAnsi="Times New Roman"/>
          <w:b/>
          <w:color w:val="000000"/>
          <w:sz w:val="20"/>
        </w:rPr>
        <w:t>August 5, 2026</w:t>
      </w:r>
      <w:r>
        <w:rPr>
          <w:rFonts w:ascii="Times New Roman" w:hAnsi="Times New Roman"/>
          <w:color w:val="000000"/>
          <w:sz w:val="20"/>
        </w:rPr>
        <w:t xml:space="preserve"> - Global Ship Lease, Inc. (NYSE: GSL) (the “Company”, “Global Ship Lease” or “GSL”), an owner of containerships, announced today its unaudited results for the three and six-month periods ended June 30, 2026.</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Second Quarter of 2026 and Year to Date Highlights and Other Recent Developments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- 2Q 2026 operating revenue of $198.7 million. 1H 2026 operating revenue of $396.8 million.</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- 2Q 2026 net income available to common shareholders of $89.3 million, or $2.48 Earnings per Share (EPS). 1H 2026 net income available to common shareholders of $180.7 million, or $5.02 EPS.</w:t>
      </w:r>
    </w:p>
    <w:p>
      <w:pPr>
        <w:pStyle w:val="TextBody"/>
        <w:bidi w:val="0"/>
        <w:spacing w:before="0" w:after="0"/>
        <w:jc w:val="left"/>
        <w:rPr/>
      </w:pPr>
      <w:r>
        <w:rPr/>
      </w:r>
    </w:p>
    <w:p>
      <w:pPr>
        <w:pStyle w:val="TextBody"/>
        <w:bidi w:val="0"/>
        <w:spacing w:lineRule="auto" w:line="240" w:before="0" w:after="0"/>
        <w:jc w:val="both"/>
        <w:rPr>
          <w:rFonts w:ascii="Times New Roman" w:hAnsi="Times New Roman"/>
          <w:color w:val="000000"/>
          <w:sz w:val="20"/>
        </w:rPr>
      </w:pPr>
      <w:r>
        <w:rPr>
          <w:rFonts w:ascii="Times New Roman" w:hAnsi="Times New Roman"/>
          <w:color w:val="000000"/>
          <w:sz w:val="20"/>
        </w:rPr>
        <w:t>- 2Q 2026 normalized net income (a non-U.S. GAAP financial measure, described below)3 of $89.3 million, or $2.48 normalized EPS³. 1H 2026 normalized net income of $181.4 million, or $5.04 normalized EPS.</w:t>
      </w:r>
    </w:p>
    <w:p>
      <w:pPr>
        <w:pStyle w:val="TextBody"/>
        <w:bidi w:val="0"/>
        <w:spacing w:before="0" w:after="0"/>
        <w:jc w:val="left"/>
        <w:rPr/>
      </w:pPr>
      <w:r>
        <w:rPr/>
      </w:r>
    </w:p>
    <w:p>
      <w:pPr>
        <w:pStyle w:val="TextBody"/>
        <w:bidi w:val="0"/>
        <w:spacing w:lineRule="auto" w:line="240" w:before="0" w:after="0"/>
        <w:jc w:val="both"/>
        <w:rPr>
          <w:rFonts w:ascii="Times New Roman" w:hAnsi="Times New Roman"/>
          <w:color w:val="000000"/>
          <w:sz w:val="20"/>
        </w:rPr>
      </w:pPr>
      <w:r>
        <w:rPr>
          <w:rFonts w:ascii="Times New Roman" w:hAnsi="Times New Roman"/>
          <w:color w:val="000000"/>
          <w:sz w:val="20"/>
        </w:rPr>
        <w:t>- 2Q 2026 Adjusted EBITDA (a non-U.S. GAAP financial measure, described below)3 of $131.4 million. 1H 2026 Adjusted EBITDA of $264.6 million.</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In June 2026, announced that we have agreed individual newbuilding contracts for 15 mid-size, ultra-high-reefer, wide-beam, latest-generation containerships (“Newbuildings”) for an aggregate purchase price of approximately $1.3 billion. These highly flexible ships have been designed and specified to ensure a superior fit for existing and future market needs, with deliveries scheduled to take place between the fourth quarter of 2028 and the first quarter of 2030. Upon delivery from the respective shipyards, the Newbuildings are contracted to commence employment on multi-year charters, with an average TEU-weighted firm charter term of 7.1 years and at rates expected to generate more than $1.0 billion of Adjusted EBITDA.</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Added $1.45 billion of contracted revenues during 1H 2026 from new charters and extensions on our existing fleet and initial firm charters from the 15 Newbuildings, bringing total contracted revenues as of June 30, 2026, to $3.2 billion, over a TEU-weighted average remaining duration (assuming median firm charter periods) of 3.3 years.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Declared a dividend of $0.625 per Class A common share for the second quarter of 2026, to be paid on September 3, 2026 to Class A common shareholders of record as of August 21, 2026. Paid a dividend of $0.625 per Class A common share for the first quarter of 2026 on June 3, 2026.</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 </w:t>
      </w:r>
      <w:bookmarkStart w:id="10" w:name="z_Hlk203558900"/>
      <w:bookmarkEnd w:id="10"/>
      <w:r>
        <w:rPr>
          <w:rFonts w:ascii="Times New Roman" w:hAnsi="Times New Roman"/>
          <w:color w:val="000000"/>
          <w:sz w:val="20"/>
        </w:rPr>
        <w:t>On June 16, 2026, announced updates by two leading credit rating agencies. Moody’s Investor Service maintained our Ba2 Corporate Family Rating, and upgraded to a positive outlook from a stable outlook. Kroll Bond Rating Agency maintained our corporate credit rating at BB+, with a stable outlook, while also affirming the BBB/stable investment grade rating and stable outlook for our 5.69% Senior Secured Notes due July 15, 2027 (the “2027 Secured Notes”). In addition, on July 7, 2026, S&amp;P Global issued a press release maintaining our Issuer Credit Rating for GSL of BB+, with a stable outlook.</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Page 1</w:t>
      </w:r>
    </w:p>
    <w:p>
      <w:pPr>
        <w:pStyle w:val="HorizontalLine"/>
        <w:pBdr>
          <w:bottom w:val="single" w:sz="12" w:space="0" w:color="808080"/>
        </w:pBdr>
        <w:bidi w:val="0"/>
        <w:spacing w:before="200" w:after="20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During April and May of 2026, we entered into agreements for the forward sales of four non-core ships, built 2000 – 2002, for an aggregate price of $65.5 million and an anticipated gain on sale of approximately $33.0 million. The ships are scheduled to be delivered to the buyers upon expiry of the vessels’ respective charters: Manet, Kumasi and Julie (2,200 TEU, 2001/2-built) in 4Q 2026, 1Q 2027 and 3Q 2027, respectively, and Ian H (5,900 TEU, 2000-built) in 4Q 2027.</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On December 1, 2025, announced the purchase of three 8,586 TEU Korean-built containerships with ECO upgrades (the “Three Newly Acquired Vessels”) for an aggregate purchase price of $90.0 million. Two of the vessels were delivered to us in December 2025 and the third was delivered to us in January 2026. In June 2026, we entered into a loan agreement with Bank of America for $55.5 million to finance these acquisitions. The loan bears interest at SOFR + 1.40% and has a maturity of five years.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George Youroukos, our Executive Chairman, stated: “We are proud to have delivered another quarter of strong results, as our strategic focus on optionality and flexible tonnage continues to serve us well in a highly volatile and unpredictable world. While underlying containerized freight flows remained quite firm throughout the quarter, geopolitics once again played an outsized role in re-arranging and complicating global trade. This was evident not only in and around the Strait of Hormuz, but also in the continued decentralization of global supply chains outside of China and beyond the East-West mainlane trades serviced by ultra-large containership tonnage. As a result, our liner customers are placing a premium on flexibility and reliability in the supply chain, actively expanding their access to flexible, mid-size containerships like those in the GSL fleet. In these conditions, we have taken the opportunity to continue locking in multi-year charters at attractive rates. With 100% charter coverage for 2026, 90% coverage for 2027, and over $3 billion in contracted revenues over 3.3 years, including our Newbuildings, we are in a strong position now and moving forward.</w:t>
      </w:r>
    </w:p>
    <w:p>
      <w:pPr>
        <w:pStyle w:val="TextBody"/>
        <w:bidi w:val="0"/>
        <w:spacing w:before="0" w:after="0"/>
        <w:jc w:val="left"/>
        <w:rPr/>
      </w:pPr>
      <w:r>
        <w:rPr/>
      </w:r>
    </w:p>
    <w:p>
      <w:pPr>
        <w:pStyle w:val="TextBody"/>
        <w:bidi w:val="0"/>
        <w:spacing w:before="0" w:after="0"/>
        <w:jc w:val="both"/>
        <w:rPr>
          <w:color w:val="000000"/>
        </w:rPr>
      </w:pPr>
      <w:r>
        <w:rPr>
          <w:color w:val="000000"/>
        </w:rPr>
        <w:t>“</w:t>
      </w:r>
      <w:r>
        <w:rPr>
          <w:rFonts w:ascii="Times New Roman" w:hAnsi="Times New Roman"/>
          <w:color w:val="000000"/>
          <w:sz w:val="20"/>
        </w:rPr>
        <w:t>We have long appreciated that a combination of patience, discipline and the ability to act quickly is essential to successful fleet investment. On that basis, we are very pleased to have complemented our ongoing on-the-water investment strategy with the addition of highly attractive newbuilding orders for 15 mid-size, ultra-high-reefer, wide-beam, latest generation ECO newbuildings. The initial charters for the Newbuildings, averaging just over 7 years in duration, de-risk the investment right out of the gate, providing expected adjusted EBITDA equivalent to over 75% of the contracted purchase price within 25% of the ships’ expected economic life. Thereafter, we believe that the highly optimized specification and flexibility of these vessels position them to be the workhorses of global containerized trade for many years to come. With charters for five of the 15 Newbuildings structured to include extension options at rates 25% above their initial levels, it is clear that we are not alone in this view. In summary, these high-upside, low-downside risk Newbuildings meet our long-established, demanding investment criteria while also significantly reducing our average fleet age and providing a runway for reliable cash generation throughout the years ahead.”</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Thomas Lister, our Chief Executive Officer, stated: “Optionality remains at the core of our approach to an ever more complex and dynamic containerized trade landscape. As the industry grapples with an ever-expanding series of unpredictable and sometimes dangerous geopolitical developments, it remains imperative that we all keep the welfare of seafarers front-of-mind. Amid this environment, we have continued to find prudent, attractive opportunities to unlock value across finance, operations, chartering, selective divestments and fleet renewal. The strength of our fortress balance sheet and our disciplined capital allocation and decision-making have been affirmed by successive enhancements to our credit ratings and outlooks, and those in turn have provided yet further support to our ability to pay a robust dividend while also being nimble enough to pounce on exciting opportunities to partner with top liners in the newbuild market. Our joint commitment to optionality maximization and decisive, opportunistic action is driving this progress on all fronts, enabling us to create lasting shareholder value amidst both natural cyclicality and unprecedented geopolitical tumult."</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Page 2</w:t>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SELECTED FINANCIAL DATA – UNAUDITED</w:t>
      </w:r>
    </w:p>
    <w:p>
      <w:pPr>
        <w:pStyle w:val="TextBody"/>
        <w:bidi w:val="0"/>
        <w:spacing w:before="0" w:after="0"/>
        <w:jc w:val="left"/>
        <w:rPr/>
      </w:pPr>
      <w:r>
        <w:rPr/>
      </w:r>
    </w:p>
    <w:p>
      <w:pPr>
        <w:pStyle w:val="TextBody"/>
        <w:bidi w:val="0"/>
        <w:spacing w:before="0" w:after="0"/>
        <w:jc w:val="left"/>
        <w:rPr>
          <w:rFonts w:ascii="Times New Roman" w:hAnsi="Times New Roman"/>
          <w:i/>
          <w:color w:val="000000"/>
          <w:sz w:val="20"/>
        </w:rPr>
      </w:pPr>
      <w:r>
        <w:rPr>
          <w:rFonts w:ascii="Times New Roman" w:hAnsi="Times New Roman"/>
          <w:i/>
          <w:color w:val="000000"/>
          <w:sz w:val="20"/>
        </w:rPr>
        <w:t>(thousands of U.S. dollars)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1" w:name="z94a0ce819191496db0f6bf0dc988f111"/>
      <w:bookmarkStart w:id="12" w:name="z94a0ce819191496db0f6bf0dc988f111"/>
      <w:bookmarkEnd w:id="12"/>
    </w:p>
    <w:tbl>
      <w:tblPr>
        <w:tblW w:w="8140" w:type="dxa"/>
        <w:jc w:val="left"/>
        <w:tblInd w:w="0" w:type="dxa"/>
        <w:tblLayout w:type="fixed"/>
        <w:tblCellMar>
          <w:top w:w="0" w:type="dxa"/>
          <w:left w:w="0" w:type="dxa"/>
          <w:bottom w:w="0" w:type="dxa"/>
          <w:right w:w="0" w:type="dxa"/>
        </w:tblCellMar>
      </w:tblPr>
      <w:tblGrid>
        <w:gridCol w:w="2645"/>
        <w:gridCol w:w="60"/>
        <w:gridCol w:w="1355"/>
        <w:gridCol w:w="1355"/>
        <w:gridCol w:w="1355"/>
        <w:gridCol w:w="1370"/>
      </w:tblGrid>
      <w:tr>
        <w:trPr/>
        <w:tc>
          <w:tcPr>
            <w:tcW w:w="26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0"/>
              <w:jc w:val="right"/>
              <w:rPr/>
            </w:pPr>
            <w:r>
              <w:rPr/>
              <w:t>Three</w:t>
            </w:r>
          </w:p>
        </w:tc>
        <w:tc>
          <w:tcPr>
            <w:tcW w:w="1355" w:type="dxa"/>
            <w:tcBorders/>
            <w:vAlign w:val="center"/>
          </w:tcPr>
          <w:p>
            <w:pPr>
              <w:pStyle w:val="TableContents"/>
              <w:bidi w:val="0"/>
              <w:spacing w:before="0" w:after="0"/>
              <w:jc w:val="right"/>
              <w:rPr/>
            </w:pPr>
            <w:r>
              <w:rPr/>
              <w:t>Three</w:t>
            </w:r>
          </w:p>
        </w:tc>
        <w:tc>
          <w:tcPr>
            <w:tcW w:w="1355" w:type="dxa"/>
            <w:tcBorders/>
            <w:vAlign w:val="center"/>
          </w:tcPr>
          <w:p>
            <w:pPr>
              <w:pStyle w:val="TableContents"/>
              <w:bidi w:val="0"/>
              <w:spacing w:before="0" w:after="0"/>
              <w:jc w:val="right"/>
              <w:rPr/>
            </w:pPr>
            <w:r>
              <w:rPr/>
              <w:t>Six</w:t>
            </w:r>
          </w:p>
        </w:tc>
        <w:tc>
          <w:tcPr>
            <w:tcW w:w="1370" w:type="dxa"/>
            <w:tcBorders/>
            <w:vAlign w:val="center"/>
          </w:tcPr>
          <w:p>
            <w:pPr>
              <w:pStyle w:val="TableContents"/>
              <w:bidi w:val="0"/>
              <w:spacing w:before="0" w:after="0"/>
              <w:jc w:val="right"/>
              <w:rPr/>
            </w:pPr>
            <w:r>
              <w:rPr/>
              <w:t>Six</w:t>
            </w:r>
          </w:p>
        </w:tc>
      </w:tr>
      <w:tr>
        <w:trPr/>
        <w:tc>
          <w:tcPr>
            <w:tcW w:w="26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0"/>
              <w:jc w:val="right"/>
              <w:rPr/>
            </w:pPr>
            <w:r>
              <w:rPr/>
              <w:t>months ended</w:t>
            </w:r>
          </w:p>
        </w:tc>
        <w:tc>
          <w:tcPr>
            <w:tcW w:w="1355" w:type="dxa"/>
            <w:tcBorders/>
            <w:vAlign w:val="center"/>
          </w:tcPr>
          <w:p>
            <w:pPr>
              <w:pStyle w:val="TableContents"/>
              <w:bidi w:val="0"/>
              <w:spacing w:before="0" w:after="0"/>
              <w:jc w:val="right"/>
              <w:rPr/>
            </w:pPr>
            <w:r>
              <w:rPr/>
              <w:t>months ended</w:t>
            </w:r>
          </w:p>
        </w:tc>
        <w:tc>
          <w:tcPr>
            <w:tcW w:w="1355" w:type="dxa"/>
            <w:tcBorders/>
            <w:vAlign w:val="center"/>
          </w:tcPr>
          <w:p>
            <w:pPr>
              <w:pStyle w:val="TableContents"/>
              <w:bidi w:val="0"/>
              <w:spacing w:before="0" w:after="0"/>
              <w:jc w:val="right"/>
              <w:rPr/>
            </w:pPr>
            <w:r>
              <w:rPr/>
              <w:t>months ended</w:t>
            </w:r>
          </w:p>
        </w:tc>
        <w:tc>
          <w:tcPr>
            <w:tcW w:w="1370" w:type="dxa"/>
            <w:tcBorders/>
            <w:vAlign w:val="center"/>
          </w:tcPr>
          <w:p>
            <w:pPr>
              <w:pStyle w:val="TableContents"/>
              <w:bidi w:val="0"/>
              <w:spacing w:before="0" w:after="0"/>
              <w:jc w:val="right"/>
              <w:rPr/>
            </w:pPr>
            <w:r>
              <w:rPr/>
              <w:t>months ended</w:t>
            </w:r>
          </w:p>
        </w:tc>
      </w:tr>
      <w:tr>
        <w:trPr/>
        <w:tc>
          <w:tcPr>
            <w:tcW w:w="26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0"/>
              <w:jc w:val="right"/>
              <w:rPr>
                <w:u w:val="single"/>
              </w:rPr>
            </w:pPr>
            <w:r>
              <w:rPr>
                <w:u w:val="single"/>
              </w:rPr>
              <w:t>June 30, 2026</w:t>
            </w:r>
          </w:p>
        </w:tc>
        <w:tc>
          <w:tcPr>
            <w:tcW w:w="1355" w:type="dxa"/>
            <w:tcBorders/>
            <w:vAlign w:val="center"/>
          </w:tcPr>
          <w:p>
            <w:pPr>
              <w:pStyle w:val="TableContents"/>
              <w:bidi w:val="0"/>
              <w:spacing w:before="0" w:after="0"/>
              <w:jc w:val="right"/>
              <w:rPr>
                <w:u w:val="single"/>
              </w:rPr>
            </w:pPr>
            <w:r>
              <w:rPr>
                <w:u w:val="single"/>
              </w:rPr>
              <w:t>June 30, 2025</w:t>
            </w:r>
          </w:p>
        </w:tc>
        <w:tc>
          <w:tcPr>
            <w:tcW w:w="1355" w:type="dxa"/>
            <w:tcBorders/>
            <w:vAlign w:val="center"/>
          </w:tcPr>
          <w:p>
            <w:pPr>
              <w:pStyle w:val="TableContents"/>
              <w:bidi w:val="0"/>
              <w:spacing w:before="0" w:after="0"/>
              <w:jc w:val="right"/>
              <w:rPr>
                <w:u w:val="single"/>
              </w:rPr>
            </w:pPr>
            <w:r>
              <w:rPr>
                <w:u w:val="single"/>
              </w:rPr>
              <w:t>June 30, 2026</w:t>
            </w:r>
          </w:p>
        </w:tc>
        <w:tc>
          <w:tcPr>
            <w:tcW w:w="1370" w:type="dxa"/>
            <w:tcBorders/>
            <w:vAlign w:val="center"/>
          </w:tcPr>
          <w:p>
            <w:pPr>
              <w:pStyle w:val="TableContents"/>
              <w:bidi w:val="0"/>
              <w:spacing w:before="0" w:after="0"/>
              <w:jc w:val="right"/>
              <w:rPr>
                <w:u w:val="single"/>
              </w:rPr>
            </w:pPr>
            <w:r>
              <w:rPr>
                <w:u w:val="single"/>
              </w:rPr>
              <w:t>June 30, 2025</w:t>
            </w:r>
          </w:p>
        </w:tc>
      </w:tr>
      <w:tr>
        <w:trPr/>
        <w:tc>
          <w:tcPr>
            <w:tcW w:w="26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left"/>
              <w:rPr/>
            </w:pPr>
            <w:r>
              <w:rPr/>
              <w:t> </w:t>
            </w:r>
          </w:p>
        </w:tc>
      </w:tr>
      <w:tr>
        <w:trPr/>
        <w:tc>
          <w:tcPr>
            <w:tcW w:w="2645" w:type="dxa"/>
            <w:tcBorders/>
            <w:shd w:fill="CCEEFF" w:val="clear"/>
            <w:vAlign w:val="center"/>
          </w:tcPr>
          <w:p>
            <w:pPr>
              <w:pStyle w:val="TableContents"/>
              <w:bidi w:val="0"/>
              <w:spacing w:lineRule="auto" w:line="240" w:before="0" w:after="0"/>
              <w:jc w:val="left"/>
              <w:rPr/>
            </w:pPr>
            <w:r>
              <w:rPr/>
              <w:t>Operating Revenues (1)</w:t>
            </w:r>
          </w:p>
        </w:tc>
        <w:tc>
          <w:tcPr>
            <w:tcW w:w="60" w:type="dxa"/>
            <w:tcBorders/>
            <w:shd w:fill="CCEEFF" w:val="clear"/>
            <w:vAlign w:val="center"/>
          </w:tcPr>
          <w:p>
            <w:pPr>
              <w:pStyle w:val="TableContents"/>
              <w:bidi w:val="0"/>
              <w:spacing w:before="0" w:after="283"/>
              <w:jc w:val="left"/>
              <w:rPr/>
            </w:pPr>
            <w:r>
              <w:rPr/>
              <w:t> </w:t>
            </w:r>
          </w:p>
        </w:tc>
        <w:tc>
          <w:tcPr>
            <w:tcW w:w="1355" w:type="dxa"/>
            <w:tcBorders/>
            <w:shd w:fill="CCEEFF" w:val="clear"/>
            <w:vAlign w:val="center"/>
          </w:tcPr>
          <w:p>
            <w:pPr>
              <w:pStyle w:val="TableContents"/>
              <w:bidi w:val="0"/>
              <w:spacing w:before="0" w:after="0"/>
              <w:jc w:val="right"/>
              <w:rPr/>
            </w:pPr>
            <w:r>
              <w:rPr/>
              <w:t>198,689</w:t>
            </w:r>
          </w:p>
        </w:tc>
        <w:tc>
          <w:tcPr>
            <w:tcW w:w="1355" w:type="dxa"/>
            <w:tcBorders/>
            <w:shd w:fill="CCEEFF" w:val="clear"/>
            <w:vAlign w:val="center"/>
          </w:tcPr>
          <w:p>
            <w:pPr>
              <w:pStyle w:val="TableContents"/>
              <w:bidi w:val="0"/>
              <w:spacing w:before="0" w:after="0"/>
              <w:jc w:val="right"/>
              <w:rPr/>
            </w:pPr>
            <w:r>
              <w:rPr/>
              <w:t>191,859</w:t>
            </w:r>
          </w:p>
        </w:tc>
        <w:tc>
          <w:tcPr>
            <w:tcW w:w="1355" w:type="dxa"/>
            <w:tcBorders/>
            <w:shd w:fill="CCEEFF" w:val="clear"/>
            <w:vAlign w:val="center"/>
          </w:tcPr>
          <w:p>
            <w:pPr>
              <w:pStyle w:val="TableContents"/>
              <w:bidi w:val="0"/>
              <w:spacing w:before="0" w:after="0"/>
              <w:jc w:val="right"/>
              <w:rPr/>
            </w:pPr>
            <w:r>
              <w:rPr/>
              <w:t>396,768</w:t>
            </w:r>
          </w:p>
        </w:tc>
        <w:tc>
          <w:tcPr>
            <w:tcW w:w="1370" w:type="dxa"/>
            <w:tcBorders/>
            <w:shd w:fill="CCEEFF" w:val="clear"/>
            <w:vAlign w:val="center"/>
          </w:tcPr>
          <w:p>
            <w:pPr>
              <w:pStyle w:val="TableContents"/>
              <w:bidi w:val="0"/>
              <w:spacing w:before="0" w:after="0"/>
              <w:jc w:val="right"/>
              <w:rPr/>
            </w:pPr>
            <w:r>
              <w:rPr/>
              <w:t>382,834</w:t>
            </w:r>
          </w:p>
        </w:tc>
      </w:tr>
      <w:tr>
        <w:trPr/>
        <w:tc>
          <w:tcPr>
            <w:tcW w:w="2645" w:type="dxa"/>
            <w:tcBorders/>
            <w:vAlign w:val="center"/>
          </w:tcPr>
          <w:p>
            <w:pPr>
              <w:pStyle w:val="TableContents"/>
              <w:bidi w:val="0"/>
              <w:spacing w:before="0" w:after="0"/>
              <w:jc w:val="left"/>
              <w:rPr/>
            </w:pPr>
            <w:r>
              <w:rPr/>
              <w:t>Operating Income</w:t>
            </w:r>
          </w:p>
        </w:tc>
        <w:tc>
          <w:tcPr>
            <w:tcW w:w="60" w:type="dxa"/>
            <w:tcBorders/>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0"/>
              <w:jc w:val="right"/>
              <w:rPr/>
            </w:pPr>
            <w:r>
              <w:rPr/>
              <w:t>93,867</w:t>
            </w:r>
          </w:p>
        </w:tc>
        <w:tc>
          <w:tcPr>
            <w:tcW w:w="1355" w:type="dxa"/>
            <w:tcBorders/>
            <w:vAlign w:val="center"/>
          </w:tcPr>
          <w:p>
            <w:pPr>
              <w:pStyle w:val="TableContents"/>
              <w:bidi w:val="0"/>
              <w:spacing w:before="0" w:after="0"/>
              <w:jc w:val="right"/>
              <w:rPr/>
            </w:pPr>
            <w:r>
              <w:rPr/>
              <w:t>101,762</w:t>
            </w:r>
          </w:p>
        </w:tc>
        <w:tc>
          <w:tcPr>
            <w:tcW w:w="1355" w:type="dxa"/>
            <w:tcBorders/>
            <w:vAlign w:val="center"/>
          </w:tcPr>
          <w:p>
            <w:pPr>
              <w:pStyle w:val="TableContents"/>
              <w:bidi w:val="0"/>
              <w:spacing w:before="0" w:after="0"/>
              <w:jc w:val="right"/>
              <w:rPr/>
            </w:pPr>
            <w:r>
              <w:rPr/>
              <w:t>191,285</w:t>
            </w:r>
          </w:p>
        </w:tc>
        <w:tc>
          <w:tcPr>
            <w:tcW w:w="1370" w:type="dxa"/>
            <w:tcBorders/>
            <w:vAlign w:val="center"/>
          </w:tcPr>
          <w:p>
            <w:pPr>
              <w:pStyle w:val="TableContents"/>
              <w:bidi w:val="0"/>
              <w:spacing w:before="0" w:after="0"/>
              <w:jc w:val="right"/>
              <w:rPr/>
            </w:pPr>
            <w:r>
              <w:rPr/>
              <w:t>230,260</w:t>
            </w:r>
          </w:p>
        </w:tc>
      </w:tr>
      <w:tr>
        <w:trPr/>
        <w:tc>
          <w:tcPr>
            <w:tcW w:w="2645" w:type="dxa"/>
            <w:tcBorders/>
            <w:shd w:fill="CCEEFF" w:val="clear"/>
            <w:vAlign w:val="center"/>
          </w:tcPr>
          <w:p>
            <w:pPr>
              <w:pStyle w:val="TableContents"/>
              <w:bidi w:val="0"/>
              <w:spacing w:lineRule="auto" w:line="240" w:before="0" w:after="0"/>
              <w:jc w:val="left"/>
              <w:rPr/>
            </w:pPr>
            <w:r>
              <w:rPr/>
              <w:t>Net Income (2)</w:t>
            </w:r>
          </w:p>
        </w:tc>
        <w:tc>
          <w:tcPr>
            <w:tcW w:w="60" w:type="dxa"/>
            <w:tcBorders/>
            <w:shd w:fill="CCEEFF" w:val="clear"/>
            <w:vAlign w:val="center"/>
          </w:tcPr>
          <w:p>
            <w:pPr>
              <w:pStyle w:val="TableContents"/>
              <w:bidi w:val="0"/>
              <w:spacing w:before="0" w:after="283"/>
              <w:jc w:val="left"/>
              <w:rPr/>
            </w:pPr>
            <w:r>
              <w:rPr/>
              <w:t> </w:t>
            </w:r>
          </w:p>
        </w:tc>
        <w:tc>
          <w:tcPr>
            <w:tcW w:w="1355" w:type="dxa"/>
            <w:tcBorders/>
            <w:shd w:fill="CCEEFF" w:val="clear"/>
            <w:vAlign w:val="center"/>
          </w:tcPr>
          <w:p>
            <w:pPr>
              <w:pStyle w:val="TableContents"/>
              <w:bidi w:val="0"/>
              <w:spacing w:before="0" w:after="0"/>
              <w:jc w:val="right"/>
              <w:rPr/>
            </w:pPr>
            <w:r>
              <w:rPr/>
              <w:t>89,292</w:t>
            </w:r>
          </w:p>
        </w:tc>
        <w:tc>
          <w:tcPr>
            <w:tcW w:w="1355" w:type="dxa"/>
            <w:tcBorders/>
            <w:shd w:fill="CCEEFF" w:val="clear"/>
            <w:vAlign w:val="center"/>
          </w:tcPr>
          <w:p>
            <w:pPr>
              <w:pStyle w:val="TableContents"/>
              <w:bidi w:val="0"/>
              <w:spacing w:before="0" w:after="0"/>
              <w:jc w:val="right"/>
              <w:rPr/>
            </w:pPr>
            <w:r>
              <w:rPr/>
              <w:t>93,053</w:t>
            </w:r>
          </w:p>
        </w:tc>
        <w:tc>
          <w:tcPr>
            <w:tcW w:w="1355" w:type="dxa"/>
            <w:tcBorders/>
            <w:shd w:fill="CCEEFF" w:val="clear"/>
            <w:vAlign w:val="center"/>
          </w:tcPr>
          <w:p>
            <w:pPr>
              <w:pStyle w:val="TableContents"/>
              <w:bidi w:val="0"/>
              <w:spacing w:before="0" w:after="0"/>
              <w:jc w:val="right"/>
              <w:rPr/>
            </w:pPr>
            <w:r>
              <w:rPr/>
              <w:t>180,737</w:t>
            </w:r>
          </w:p>
        </w:tc>
        <w:tc>
          <w:tcPr>
            <w:tcW w:w="1370" w:type="dxa"/>
            <w:tcBorders/>
            <w:shd w:fill="CCEEFF" w:val="clear"/>
            <w:vAlign w:val="center"/>
          </w:tcPr>
          <w:p>
            <w:pPr>
              <w:pStyle w:val="TableContents"/>
              <w:bidi w:val="0"/>
              <w:spacing w:before="0" w:after="0"/>
              <w:jc w:val="right"/>
              <w:rPr/>
            </w:pPr>
            <w:r>
              <w:rPr/>
              <w:t>214,063</w:t>
            </w:r>
          </w:p>
        </w:tc>
      </w:tr>
      <w:tr>
        <w:trPr/>
        <w:tc>
          <w:tcPr>
            <w:tcW w:w="2645" w:type="dxa"/>
            <w:tcBorders/>
            <w:vAlign w:val="center"/>
          </w:tcPr>
          <w:p>
            <w:pPr>
              <w:pStyle w:val="TableContents"/>
              <w:bidi w:val="0"/>
              <w:spacing w:lineRule="auto" w:line="240" w:before="0" w:after="0"/>
              <w:jc w:val="left"/>
              <w:rPr/>
            </w:pPr>
            <w:r>
              <w:rPr/>
              <w:t>Adjusted EBITDA (3)</w:t>
            </w:r>
          </w:p>
        </w:tc>
        <w:tc>
          <w:tcPr>
            <w:tcW w:w="60" w:type="dxa"/>
            <w:tcBorders/>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0"/>
              <w:jc w:val="right"/>
              <w:rPr/>
            </w:pPr>
            <w:r>
              <w:rPr/>
              <w:t>131,366</w:t>
            </w:r>
          </w:p>
        </w:tc>
        <w:tc>
          <w:tcPr>
            <w:tcW w:w="1355" w:type="dxa"/>
            <w:tcBorders/>
            <w:vAlign w:val="center"/>
          </w:tcPr>
          <w:p>
            <w:pPr>
              <w:pStyle w:val="TableContents"/>
              <w:bidi w:val="0"/>
              <w:spacing w:before="0" w:after="0"/>
              <w:jc w:val="right"/>
              <w:rPr/>
            </w:pPr>
            <w:r>
              <w:rPr/>
              <w:t>134,183</w:t>
            </w:r>
          </w:p>
        </w:tc>
        <w:tc>
          <w:tcPr>
            <w:tcW w:w="1355" w:type="dxa"/>
            <w:tcBorders/>
            <w:vAlign w:val="center"/>
          </w:tcPr>
          <w:p>
            <w:pPr>
              <w:pStyle w:val="TableContents"/>
              <w:bidi w:val="0"/>
              <w:spacing w:before="0" w:after="0"/>
              <w:jc w:val="right"/>
              <w:rPr/>
            </w:pPr>
            <w:r>
              <w:rPr/>
              <w:t>264,551</w:t>
            </w:r>
          </w:p>
        </w:tc>
        <w:tc>
          <w:tcPr>
            <w:tcW w:w="1370" w:type="dxa"/>
            <w:tcBorders/>
            <w:vAlign w:val="center"/>
          </w:tcPr>
          <w:p>
            <w:pPr>
              <w:pStyle w:val="TableContents"/>
              <w:bidi w:val="0"/>
              <w:spacing w:before="0" w:after="0"/>
              <w:jc w:val="right"/>
              <w:rPr/>
            </w:pPr>
            <w:r>
              <w:rPr/>
              <w:t>266,481</w:t>
            </w:r>
          </w:p>
        </w:tc>
      </w:tr>
      <w:tr>
        <w:trPr/>
        <w:tc>
          <w:tcPr>
            <w:tcW w:w="2645" w:type="dxa"/>
            <w:tcBorders/>
            <w:shd w:fill="CCEEFF" w:val="clear"/>
            <w:vAlign w:val="center"/>
          </w:tcPr>
          <w:p>
            <w:pPr>
              <w:pStyle w:val="TableContents"/>
              <w:bidi w:val="0"/>
              <w:spacing w:lineRule="auto" w:line="240" w:before="0" w:after="0"/>
              <w:jc w:val="left"/>
              <w:rPr/>
            </w:pPr>
            <w:r>
              <w:rPr/>
              <w:t>Normalized Net Income (3)</w:t>
            </w:r>
          </w:p>
        </w:tc>
        <w:tc>
          <w:tcPr>
            <w:tcW w:w="60" w:type="dxa"/>
            <w:tcBorders/>
            <w:shd w:fill="CCEEFF" w:val="clear"/>
            <w:vAlign w:val="center"/>
          </w:tcPr>
          <w:p>
            <w:pPr>
              <w:pStyle w:val="TableContents"/>
              <w:bidi w:val="0"/>
              <w:spacing w:before="0" w:after="283"/>
              <w:jc w:val="left"/>
              <w:rPr/>
            </w:pPr>
            <w:r>
              <w:rPr/>
              <w:t> </w:t>
            </w:r>
          </w:p>
        </w:tc>
        <w:tc>
          <w:tcPr>
            <w:tcW w:w="1355" w:type="dxa"/>
            <w:tcBorders/>
            <w:shd w:fill="CCEEFF" w:val="clear"/>
            <w:vAlign w:val="center"/>
          </w:tcPr>
          <w:p>
            <w:pPr>
              <w:pStyle w:val="TableContents"/>
              <w:bidi w:val="0"/>
              <w:spacing w:before="0" w:after="0"/>
              <w:jc w:val="right"/>
              <w:rPr/>
            </w:pPr>
            <w:r>
              <w:rPr/>
              <w:t>89,261</w:t>
            </w:r>
          </w:p>
        </w:tc>
        <w:tc>
          <w:tcPr>
            <w:tcW w:w="1355" w:type="dxa"/>
            <w:tcBorders/>
            <w:shd w:fill="CCEEFF" w:val="clear"/>
            <w:vAlign w:val="center"/>
          </w:tcPr>
          <w:p>
            <w:pPr>
              <w:pStyle w:val="TableContents"/>
              <w:bidi w:val="0"/>
              <w:spacing w:before="0" w:after="0"/>
              <w:jc w:val="right"/>
              <w:rPr/>
            </w:pPr>
            <w:r>
              <w:rPr/>
              <w:t>95,149</w:t>
            </w:r>
          </w:p>
        </w:tc>
        <w:tc>
          <w:tcPr>
            <w:tcW w:w="1355" w:type="dxa"/>
            <w:tcBorders/>
            <w:shd w:fill="CCEEFF" w:val="clear"/>
            <w:vAlign w:val="center"/>
          </w:tcPr>
          <w:p>
            <w:pPr>
              <w:pStyle w:val="TableContents"/>
              <w:bidi w:val="0"/>
              <w:spacing w:before="0" w:after="0"/>
              <w:jc w:val="right"/>
              <w:rPr/>
            </w:pPr>
            <w:r>
              <w:rPr/>
              <w:t>181,351</w:t>
            </w:r>
          </w:p>
        </w:tc>
        <w:tc>
          <w:tcPr>
            <w:tcW w:w="1370" w:type="dxa"/>
            <w:tcBorders/>
            <w:shd w:fill="CCEEFF" w:val="clear"/>
            <w:vAlign w:val="center"/>
          </w:tcPr>
          <w:p>
            <w:pPr>
              <w:pStyle w:val="TableContents"/>
              <w:bidi w:val="0"/>
              <w:spacing w:before="0" w:after="0"/>
              <w:jc w:val="right"/>
              <w:rPr/>
            </w:pPr>
            <w:r>
              <w:rPr/>
              <w:t>189,426</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 Operating Revenues are net of address commissions which represent a discount provided directly to a charterer based on a fixed percentage of the agreed upon charter rate and also includes the amortization of intangible liabilities, the effect of the straight lining of time charter modifications and the compensation from charterers for drydock and for other capitalized expenses for vessel upgrades or retrofits. Brokerage commissions are included in “Time charter and voyage expenses” (see below).</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(2) Net Income available to common shareholders.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(3) </w:t>
      </w:r>
      <w:bookmarkStart w:id="13" w:name="z_Hlk190955586"/>
      <w:bookmarkEnd w:id="13"/>
      <w:r>
        <w:rPr>
          <w:rFonts w:ascii="Times New Roman" w:hAnsi="Times New Roman"/>
          <w:color w:val="000000"/>
          <w:sz w:val="20"/>
        </w:rPr>
        <w:t>Adjusted EBITDA, Normalized Net Income, and Normalized Earnings per Share are non-U.S. Generally Accepted Accounting Principles (“U.S. GAAP”) financial measures, as explained further in this press release, and are considered by Global Ship Lease to be useful measures of its performance. For reconciliations of these non-U.S. GAAP financial measures to the most directly comparable U.S. GAAP financial measure, please see “Reconciliation of Non-U.S. GAAP Financial Measures” below.</w:t>
      </w:r>
    </w:p>
    <w:p>
      <w:pPr>
        <w:pStyle w:val="TextBody"/>
        <w:bidi w:val="0"/>
        <w:spacing w:before="0" w:after="0"/>
        <w:jc w:val="left"/>
        <w:rPr/>
      </w:pPr>
      <w:r>
        <w:rPr/>
      </w:r>
    </w:p>
    <w:p>
      <w:pPr>
        <w:pStyle w:val="TextBody"/>
        <w:bidi w:val="0"/>
        <w:spacing w:before="0" w:after="0"/>
        <w:jc w:val="both"/>
        <w:rPr>
          <w:rFonts w:ascii="Times New Roman" w:hAnsi="Times New Roman"/>
          <w:i/>
          <w:color w:val="000000"/>
          <w:sz w:val="20"/>
        </w:rPr>
      </w:pPr>
      <w:r>
        <w:rPr>
          <w:rFonts w:ascii="Times New Roman" w:hAnsi="Times New Roman"/>
          <w:i/>
          <w:color w:val="000000"/>
          <w:sz w:val="20"/>
        </w:rPr>
        <w:t>Operating Revenues and Utilization</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Operating revenues derived from fixed-rate, mainly long-term, time-charters were $198.7 million in the second quarter of 2026, up $6.8 million (or 3.5%) on operating revenues of $191.9 million in the prior year period. The period-on-period increase in operating revenues was principally due to (i) the net effect of higher rates on charter renewals, (ii) the addition of the Three Newly Acquired Vessels offset by the sale of Dimitris Y in the fourth quarter of 2025 and (iii) a non-cash $3.1 million increase in the amortization of intangible liabilities arising from below-market charters attached to certain vessel additions counterbalanced by a non-cash $0.4 million negative effect from straight lining time charter modifications. There were 210 days of offhire in the second quarter of 2026, of which 181 were for scheduled drydockings, compared to 182 days of offhire and idle time in the prior year period, of which 145 were for scheduled drydockings. Utilization for the second quarter of 2026 was 96.7% compared to utilization of 97.1% in the prior year period.</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For the six months ended June 30, 2026, operating revenues were $396.8 million, up $14.0 million (or 3.7%) on operating revenues of $382.8 million in the comparative period, mainly due to (i) the net effect of higher rates on charter renewals, (ii) the addition of the Three Newly Acquired Vessels offset by the sales of four vessels in 2025 (Tasman, Keta, Akiteta and Dimitris Y) and (iii) a non-cash $6.1 million increase in the amortization of intangible liabilities arising from below-market charters attached to certain vessel additions counterbalanced by a non-cash $1.7 million negative effect from straight lining time charter modifications. There were 328 days of offhire in the six-month period ended June 30, 2026, of which 265 were for scheduled drydockings, compared to 588 days of offhire and idle time in the prior year period, of which 475 were for scheduled drydockings. Utilization for the six-month period ended June 30, 2026 was 97.4% compared to utilization of 95.4% in the prior year period.</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Page 3</w:t>
      </w:r>
    </w:p>
    <w:p>
      <w:pPr>
        <w:pStyle w:val="HorizontalLine"/>
        <w:pBdr>
          <w:bottom w:val="single" w:sz="12" w:space="0" w:color="808080"/>
        </w:pBdr>
        <w:bidi w:val="0"/>
        <w:spacing w:before="200" w:after="20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Our revenue origin by country, using the respective head office location of each of our charterers as a proxy for origin, for the six months ended June 30, 2026 and 2025, respectively, was as follows: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zfd60615ffcb24d2b88538afff0606303"/>
      <w:bookmarkStart w:id="15" w:name="zfd60615ffcb24d2b88538afff0606303"/>
      <w:bookmarkEnd w:id="15"/>
    </w:p>
    <w:tbl>
      <w:tblPr>
        <w:tblW w:w="13895" w:type="dxa"/>
        <w:jc w:val="left"/>
        <w:tblInd w:w="-15" w:type="dxa"/>
        <w:tblLayout w:type="fixed"/>
        <w:tblCellMar>
          <w:top w:w="28" w:type="dxa"/>
          <w:left w:w="28" w:type="dxa"/>
          <w:bottom w:w="28" w:type="dxa"/>
          <w:right w:w="28" w:type="dxa"/>
        </w:tblCellMar>
      </w:tblPr>
      <w:tblGrid>
        <w:gridCol w:w="4861"/>
        <w:gridCol w:w="2341"/>
        <w:gridCol w:w="2176"/>
        <w:gridCol w:w="2341"/>
        <w:gridCol w:w="2176"/>
      </w:tblGrid>
      <w:tr>
        <w:trPr/>
        <w:tc>
          <w:tcPr>
            <w:tcW w:w="4861"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lineRule="auto" w:line="240" w:before="0" w:after="0"/>
              <w:jc w:val="left"/>
              <w:rPr/>
            </w:pPr>
            <w:r>
              <w:rPr/>
              <w:t> </w:t>
            </w:r>
            <w:r>
              <w:rPr/>
              <w:t>Unaudited Revenue origin by country 1</w:t>
            </w:r>
          </w:p>
        </w:tc>
        <w:tc>
          <w:tcPr>
            <w:tcW w:w="4517" w:type="dxa"/>
            <w:gridSpan w:val="2"/>
            <w:tcBorders>
              <w:top w:val="single" w:sz="12" w:space="0" w:color="000000"/>
              <w:bottom w:val="single" w:sz="12" w:space="0" w:color="000000"/>
              <w:right w:val="single" w:sz="12" w:space="0" w:color="000000"/>
            </w:tcBorders>
            <w:tcMar>
              <w:left w:w="0" w:type="dxa"/>
            </w:tcMar>
            <w:vAlign w:val="center"/>
          </w:tcPr>
          <w:p>
            <w:pPr>
              <w:pStyle w:val="TableContents"/>
              <w:bidi w:val="0"/>
              <w:spacing w:before="0" w:after="0"/>
              <w:jc w:val="center"/>
              <w:rPr/>
            </w:pPr>
            <w:r>
              <w:rPr/>
              <w:t>Six months ended June 30, 2026</w:t>
            </w:r>
          </w:p>
        </w:tc>
        <w:tc>
          <w:tcPr>
            <w:tcW w:w="4517" w:type="dxa"/>
            <w:gridSpan w:val="2"/>
            <w:tcBorders>
              <w:top w:val="single" w:sz="12" w:space="0" w:color="000000"/>
              <w:bottom w:val="single" w:sz="12" w:space="0" w:color="000000"/>
              <w:right w:val="single" w:sz="12" w:space="0" w:color="000000"/>
            </w:tcBorders>
            <w:tcMar>
              <w:left w:w="0" w:type="dxa"/>
            </w:tcMar>
            <w:vAlign w:val="center"/>
          </w:tcPr>
          <w:p>
            <w:pPr>
              <w:pStyle w:val="TableContents"/>
              <w:bidi w:val="0"/>
              <w:spacing w:before="0" w:after="0"/>
              <w:jc w:val="center"/>
              <w:rPr/>
            </w:pPr>
            <w:r>
              <w:rPr/>
              <w:t>Six months ended June 30, 2025</w:t>
            </w:r>
          </w:p>
        </w:tc>
      </w:tr>
      <w:tr>
        <w:trPr/>
        <w:tc>
          <w:tcPr>
            <w:tcW w:w="4861"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left"/>
              <w:rPr/>
            </w:pPr>
            <w:r>
              <w:rPr/>
              <w:t> </w:t>
            </w:r>
          </w:p>
        </w:tc>
        <w:tc>
          <w:tcPr>
            <w:tcW w:w="2341" w:type="dxa"/>
            <w:tcBorders>
              <w:bottom w:val="single" w:sz="12" w:space="0" w:color="000000"/>
              <w:right w:val="single" w:sz="12" w:space="0" w:color="000000"/>
            </w:tcBorders>
            <w:tcMar>
              <w:top w:w="0" w:type="dxa"/>
              <w:left w:w="0" w:type="dxa"/>
            </w:tcMar>
            <w:vAlign w:val="center"/>
          </w:tcPr>
          <w:p>
            <w:pPr>
              <w:pStyle w:val="TableContents"/>
              <w:bidi w:val="0"/>
              <w:spacing w:before="0" w:after="0"/>
              <w:jc w:val="center"/>
              <w:rPr/>
            </w:pPr>
            <w:r>
              <w:rPr/>
              <w:t>Revenue (USD million)</w:t>
            </w:r>
          </w:p>
        </w:tc>
        <w:tc>
          <w:tcPr>
            <w:tcW w:w="2176" w:type="dxa"/>
            <w:tcBorders>
              <w:bottom w:val="single" w:sz="12" w:space="0" w:color="000000"/>
              <w:right w:val="single" w:sz="12" w:space="0" w:color="000000"/>
            </w:tcBorders>
            <w:tcMar>
              <w:top w:w="0" w:type="dxa"/>
              <w:left w:w="0" w:type="dxa"/>
            </w:tcMar>
            <w:vAlign w:val="center"/>
          </w:tcPr>
          <w:p>
            <w:pPr>
              <w:pStyle w:val="TableContents"/>
              <w:bidi w:val="0"/>
              <w:spacing w:before="0" w:after="0"/>
              <w:jc w:val="center"/>
              <w:rPr/>
            </w:pPr>
            <w:r>
              <w:rPr/>
              <w:t>Percentage of revenue</w:t>
            </w:r>
          </w:p>
        </w:tc>
        <w:tc>
          <w:tcPr>
            <w:tcW w:w="2341" w:type="dxa"/>
            <w:tcBorders>
              <w:bottom w:val="single" w:sz="12" w:space="0" w:color="000000"/>
              <w:right w:val="single" w:sz="12" w:space="0" w:color="000000"/>
            </w:tcBorders>
            <w:tcMar>
              <w:top w:w="0" w:type="dxa"/>
              <w:left w:w="0" w:type="dxa"/>
            </w:tcMar>
            <w:vAlign w:val="center"/>
          </w:tcPr>
          <w:p>
            <w:pPr>
              <w:pStyle w:val="TableContents"/>
              <w:bidi w:val="0"/>
              <w:spacing w:before="0" w:after="0"/>
              <w:jc w:val="center"/>
              <w:rPr/>
            </w:pPr>
            <w:r>
              <w:rPr/>
              <w:t>Revenue (USD million)</w:t>
            </w:r>
          </w:p>
        </w:tc>
        <w:tc>
          <w:tcPr>
            <w:tcW w:w="2176" w:type="dxa"/>
            <w:tcBorders>
              <w:bottom w:val="single" w:sz="12" w:space="0" w:color="000000"/>
              <w:right w:val="single" w:sz="12" w:space="0" w:color="000000"/>
            </w:tcBorders>
            <w:tcMar>
              <w:top w:w="0" w:type="dxa"/>
              <w:left w:w="0" w:type="dxa"/>
            </w:tcMar>
            <w:vAlign w:val="center"/>
          </w:tcPr>
          <w:p>
            <w:pPr>
              <w:pStyle w:val="TableContents"/>
              <w:bidi w:val="0"/>
              <w:spacing w:before="0" w:after="0"/>
              <w:jc w:val="center"/>
              <w:rPr/>
            </w:pPr>
            <w:r>
              <w:rPr/>
              <w:t>Percentage of revenue</w:t>
            </w:r>
          </w:p>
        </w:tc>
      </w:tr>
      <w:tr>
        <w:trPr/>
        <w:tc>
          <w:tcPr>
            <w:tcW w:w="4861" w:type="dxa"/>
            <w:tcBorders>
              <w:left w:val="single" w:sz="12" w:space="0" w:color="000000"/>
              <w:bottom w:val="single" w:sz="12" w:space="0" w:color="000000"/>
              <w:right w:val="single" w:sz="12" w:space="0" w:color="000000"/>
            </w:tcBorders>
            <w:shd w:fill="CCEEFF" w:val="clear"/>
            <w:tcMar>
              <w:top w:w="0" w:type="dxa"/>
            </w:tcMar>
            <w:vAlign w:val="center"/>
          </w:tcPr>
          <w:p>
            <w:pPr>
              <w:pStyle w:val="TableContents"/>
              <w:bidi w:val="0"/>
              <w:spacing w:before="0" w:after="0"/>
              <w:jc w:val="left"/>
              <w:rPr/>
            </w:pPr>
            <w:r>
              <w:rPr/>
              <w:t>Denmark (Maersk)</w:t>
            </w:r>
          </w:p>
        </w:tc>
        <w:tc>
          <w:tcPr>
            <w:tcW w:w="2341" w:type="dxa"/>
            <w:tcBorders>
              <w:bottom w:val="single" w:sz="12" w:space="0" w:color="000000"/>
              <w:right w:val="single" w:sz="12" w:space="0" w:color="000000"/>
            </w:tcBorders>
            <w:shd w:fill="CCEEFF" w:val="clear"/>
            <w:tcMar>
              <w:top w:w="0" w:type="dxa"/>
              <w:left w:w="0" w:type="dxa"/>
            </w:tcMar>
            <w:vAlign w:val="center"/>
          </w:tcPr>
          <w:p>
            <w:pPr>
              <w:pStyle w:val="TableContents"/>
              <w:bidi w:val="0"/>
              <w:spacing w:before="0" w:after="0"/>
              <w:jc w:val="right"/>
              <w:rPr/>
            </w:pPr>
            <w:r>
              <w:rPr/>
              <w:t>117.45</w:t>
            </w:r>
          </w:p>
        </w:tc>
        <w:tc>
          <w:tcPr>
            <w:tcW w:w="2176" w:type="dxa"/>
            <w:tcBorders>
              <w:bottom w:val="single" w:sz="12" w:space="0" w:color="000000"/>
              <w:right w:val="single" w:sz="12" w:space="0" w:color="000000"/>
            </w:tcBorders>
            <w:shd w:fill="CCEEFF" w:val="clear"/>
            <w:tcMar>
              <w:top w:w="0" w:type="dxa"/>
              <w:left w:w="0" w:type="dxa"/>
            </w:tcMar>
            <w:vAlign w:val="center"/>
          </w:tcPr>
          <w:p>
            <w:pPr>
              <w:pStyle w:val="TableContents"/>
              <w:bidi w:val="0"/>
              <w:spacing w:before="0" w:after="0"/>
              <w:jc w:val="right"/>
              <w:rPr/>
            </w:pPr>
            <w:r>
              <w:rPr/>
              <w:t>29.60%</w:t>
            </w:r>
          </w:p>
        </w:tc>
        <w:tc>
          <w:tcPr>
            <w:tcW w:w="2341" w:type="dxa"/>
            <w:tcBorders>
              <w:bottom w:val="single" w:sz="12" w:space="0" w:color="000000"/>
              <w:right w:val="single" w:sz="12" w:space="0" w:color="000000"/>
            </w:tcBorders>
            <w:shd w:fill="CCEEFF" w:val="clear"/>
            <w:tcMar>
              <w:top w:w="0" w:type="dxa"/>
              <w:left w:w="0" w:type="dxa"/>
            </w:tcMar>
            <w:vAlign w:val="center"/>
          </w:tcPr>
          <w:p>
            <w:pPr>
              <w:pStyle w:val="TableContents"/>
              <w:bidi w:val="0"/>
              <w:spacing w:before="0" w:after="0"/>
              <w:jc w:val="right"/>
              <w:rPr/>
            </w:pPr>
            <w:r>
              <w:rPr/>
              <w:t>122.00</w:t>
            </w:r>
          </w:p>
        </w:tc>
        <w:tc>
          <w:tcPr>
            <w:tcW w:w="2176" w:type="dxa"/>
            <w:tcBorders>
              <w:bottom w:val="single" w:sz="12" w:space="0" w:color="000000"/>
              <w:right w:val="single" w:sz="12" w:space="0" w:color="000000"/>
            </w:tcBorders>
            <w:shd w:fill="CCEEFF" w:val="clear"/>
            <w:tcMar>
              <w:top w:w="0" w:type="dxa"/>
              <w:left w:w="0" w:type="dxa"/>
            </w:tcMar>
            <w:vAlign w:val="center"/>
          </w:tcPr>
          <w:p>
            <w:pPr>
              <w:pStyle w:val="TableContents"/>
              <w:bidi w:val="0"/>
              <w:spacing w:before="0" w:after="0"/>
              <w:jc w:val="right"/>
              <w:rPr/>
            </w:pPr>
            <w:r>
              <w:rPr/>
              <w:t>31.87%</w:t>
            </w:r>
          </w:p>
        </w:tc>
      </w:tr>
      <w:tr>
        <w:trPr/>
        <w:tc>
          <w:tcPr>
            <w:tcW w:w="4861"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left"/>
              <w:rPr/>
            </w:pPr>
            <w:r>
              <w:rPr/>
              <w:t>France (CMA CGM)</w:t>
            </w:r>
          </w:p>
        </w:tc>
        <w:tc>
          <w:tcPr>
            <w:tcW w:w="2341" w:type="dxa"/>
            <w:tcBorders>
              <w:bottom w:val="single" w:sz="12" w:space="0" w:color="000000"/>
              <w:right w:val="single" w:sz="12" w:space="0" w:color="000000"/>
            </w:tcBorders>
            <w:tcMar>
              <w:top w:w="0" w:type="dxa"/>
              <w:left w:w="0" w:type="dxa"/>
            </w:tcMar>
            <w:vAlign w:val="center"/>
          </w:tcPr>
          <w:p>
            <w:pPr>
              <w:pStyle w:val="TableContents"/>
              <w:bidi w:val="0"/>
              <w:spacing w:before="0" w:after="0"/>
              <w:jc w:val="right"/>
              <w:rPr/>
            </w:pPr>
            <w:r>
              <w:rPr/>
              <w:t>79.07</w:t>
            </w:r>
          </w:p>
        </w:tc>
        <w:tc>
          <w:tcPr>
            <w:tcW w:w="2176" w:type="dxa"/>
            <w:tcBorders>
              <w:bottom w:val="single" w:sz="12" w:space="0" w:color="000000"/>
              <w:right w:val="single" w:sz="12" w:space="0" w:color="000000"/>
            </w:tcBorders>
            <w:tcMar>
              <w:top w:w="0" w:type="dxa"/>
              <w:left w:w="0" w:type="dxa"/>
            </w:tcMar>
            <w:vAlign w:val="center"/>
          </w:tcPr>
          <w:p>
            <w:pPr>
              <w:pStyle w:val="TableContents"/>
              <w:bidi w:val="0"/>
              <w:spacing w:before="0" w:after="0"/>
              <w:jc w:val="right"/>
              <w:rPr/>
            </w:pPr>
            <w:r>
              <w:rPr/>
              <w:t>19.93%</w:t>
            </w:r>
          </w:p>
        </w:tc>
        <w:tc>
          <w:tcPr>
            <w:tcW w:w="2341" w:type="dxa"/>
            <w:tcBorders>
              <w:bottom w:val="single" w:sz="12" w:space="0" w:color="000000"/>
              <w:right w:val="single" w:sz="12" w:space="0" w:color="000000"/>
            </w:tcBorders>
            <w:tcMar>
              <w:top w:w="0" w:type="dxa"/>
              <w:left w:w="0" w:type="dxa"/>
            </w:tcMar>
            <w:vAlign w:val="center"/>
          </w:tcPr>
          <w:p>
            <w:pPr>
              <w:pStyle w:val="TableContents"/>
              <w:bidi w:val="0"/>
              <w:spacing w:before="0" w:after="0"/>
              <w:jc w:val="right"/>
              <w:rPr/>
            </w:pPr>
            <w:r>
              <w:rPr/>
              <w:t>71.14</w:t>
            </w:r>
          </w:p>
        </w:tc>
        <w:tc>
          <w:tcPr>
            <w:tcW w:w="2176" w:type="dxa"/>
            <w:tcBorders>
              <w:bottom w:val="single" w:sz="12" w:space="0" w:color="000000"/>
              <w:right w:val="single" w:sz="12" w:space="0" w:color="000000"/>
            </w:tcBorders>
            <w:tcMar>
              <w:top w:w="0" w:type="dxa"/>
              <w:left w:w="0" w:type="dxa"/>
            </w:tcMar>
            <w:vAlign w:val="center"/>
          </w:tcPr>
          <w:p>
            <w:pPr>
              <w:pStyle w:val="TableContents"/>
              <w:bidi w:val="0"/>
              <w:spacing w:before="0" w:after="0"/>
              <w:jc w:val="right"/>
              <w:rPr/>
            </w:pPr>
            <w:r>
              <w:rPr/>
              <w:t>18.59%</w:t>
            </w:r>
          </w:p>
        </w:tc>
      </w:tr>
      <w:tr>
        <w:trPr/>
        <w:tc>
          <w:tcPr>
            <w:tcW w:w="4861" w:type="dxa"/>
            <w:tcBorders>
              <w:left w:val="single" w:sz="12" w:space="0" w:color="000000"/>
              <w:bottom w:val="single" w:sz="12" w:space="0" w:color="000000"/>
              <w:right w:val="single" w:sz="12" w:space="0" w:color="000000"/>
            </w:tcBorders>
            <w:shd w:fill="CCEEFF" w:val="clear"/>
            <w:tcMar>
              <w:top w:w="0" w:type="dxa"/>
            </w:tcMar>
            <w:vAlign w:val="center"/>
          </w:tcPr>
          <w:p>
            <w:pPr>
              <w:pStyle w:val="TableContents"/>
              <w:bidi w:val="0"/>
              <w:spacing w:before="0" w:after="0"/>
              <w:jc w:val="left"/>
              <w:rPr/>
            </w:pPr>
            <w:r>
              <w:rPr/>
              <w:t>Germany (Hapag Lloyd)</w:t>
            </w:r>
          </w:p>
        </w:tc>
        <w:tc>
          <w:tcPr>
            <w:tcW w:w="2341" w:type="dxa"/>
            <w:tcBorders>
              <w:bottom w:val="single" w:sz="12" w:space="0" w:color="000000"/>
              <w:right w:val="single" w:sz="12" w:space="0" w:color="000000"/>
            </w:tcBorders>
            <w:shd w:fill="CCEEFF" w:val="clear"/>
            <w:tcMar>
              <w:top w:w="0" w:type="dxa"/>
              <w:left w:w="0" w:type="dxa"/>
            </w:tcMar>
            <w:vAlign w:val="center"/>
          </w:tcPr>
          <w:p>
            <w:pPr>
              <w:pStyle w:val="TableContents"/>
              <w:bidi w:val="0"/>
              <w:spacing w:before="0" w:after="0"/>
              <w:jc w:val="right"/>
              <w:rPr/>
            </w:pPr>
            <w:r>
              <w:rPr/>
              <w:t>74.17</w:t>
            </w:r>
          </w:p>
        </w:tc>
        <w:tc>
          <w:tcPr>
            <w:tcW w:w="2176" w:type="dxa"/>
            <w:tcBorders>
              <w:bottom w:val="single" w:sz="12" w:space="0" w:color="000000"/>
              <w:right w:val="single" w:sz="12" w:space="0" w:color="000000"/>
            </w:tcBorders>
            <w:shd w:fill="CCEEFF" w:val="clear"/>
            <w:tcMar>
              <w:top w:w="0" w:type="dxa"/>
              <w:left w:w="0" w:type="dxa"/>
            </w:tcMar>
            <w:vAlign w:val="center"/>
          </w:tcPr>
          <w:p>
            <w:pPr>
              <w:pStyle w:val="TableContents"/>
              <w:bidi w:val="0"/>
              <w:spacing w:before="0" w:after="0"/>
              <w:jc w:val="right"/>
              <w:rPr/>
            </w:pPr>
            <w:r>
              <w:rPr/>
              <w:t>18.69%</w:t>
            </w:r>
          </w:p>
        </w:tc>
        <w:tc>
          <w:tcPr>
            <w:tcW w:w="2341" w:type="dxa"/>
            <w:tcBorders>
              <w:bottom w:val="single" w:sz="12" w:space="0" w:color="000000"/>
              <w:right w:val="single" w:sz="12" w:space="0" w:color="000000"/>
            </w:tcBorders>
            <w:shd w:fill="CCEEFF" w:val="clear"/>
            <w:tcMar>
              <w:top w:w="0" w:type="dxa"/>
              <w:left w:w="0" w:type="dxa"/>
            </w:tcMar>
            <w:vAlign w:val="center"/>
          </w:tcPr>
          <w:p>
            <w:pPr>
              <w:pStyle w:val="TableContents"/>
              <w:bidi w:val="0"/>
              <w:spacing w:before="0" w:after="0"/>
              <w:jc w:val="right"/>
              <w:rPr/>
            </w:pPr>
            <w:r>
              <w:rPr/>
              <w:t>73.03</w:t>
            </w:r>
          </w:p>
        </w:tc>
        <w:tc>
          <w:tcPr>
            <w:tcW w:w="2176" w:type="dxa"/>
            <w:tcBorders>
              <w:bottom w:val="single" w:sz="12" w:space="0" w:color="000000"/>
              <w:right w:val="single" w:sz="12" w:space="0" w:color="000000"/>
            </w:tcBorders>
            <w:shd w:fill="CCEEFF" w:val="clear"/>
            <w:tcMar>
              <w:top w:w="0" w:type="dxa"/>
              <w:left w:w="0" w:type="dxa"/>
            </w:tcMar>
            <w:vAlign w:val="center"/>
          </w:tcPr>
          <w:p>
            <w:pPr>
              <w:pStyle w:val="TableContents"/>
              <w:bidi w:val="0"/>
              <w:spacing w:before="0" w:after="0"/>
              <w:jc w:val="right"/>
              <w:rPr/>
            </w:pPr>
            <w:r>
              <w:rPr/>
              <w:t>19.08%</w:t>
            </w:r>
          </w:p>
        </w:tc>
      </w:tr>
      <w:tr>
        <w:trPr/>
        <w:tc>
          <w:tcPr>
            <w:tcW w:w="4861"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left"/>
              <w:rPr/>
            </w:pPr>
            <w:r>
              <w:rPr/>
              <w:t>Switzerland (MSC)</w:t>
            </w:r>
          </w:p>
        </w:tc>
        <w:tc>
          <w:tcPr>
            <w:tcW w:w="2341" w:type="dxa"/>
            <w:tcBorders>
              <w:bottom w:val="single" w:sz="12" w:space="0" w:color="000000"/>
              <w:right w:val="single" w:sz="12" w:space="0" w:color="000000"/>
            </w:tcBorders>
            <w:tcMar>
              <w:top w:w="0" w:type="dxa"/>
              <w:left w:w="0" w:type="dxa"/>
            </w:tcMar>
            <w:vAlign w:val="center"/>
          </w:tcPr>
          <w:p>
            <w:pPr>
              <w:pStyle w:val="TableContents"/>
              <w:bidi w:val="0"/>
              <w:spacing w:before="0" w:after="0"/>
              <w:jc w:val="right"/>
              <w:rPr/>
            </w:pPr>
            <w:r>
              <w:rPr/>
              <w:t>55.76</w:t>
            </w:r>
          </w:p>
        </w:tc>
        <w:tc>
          <w:tcPr>
            <w:tcW w:w="2176" w:type="dxa"/>
            <w:tcBorders>
              <w:bottom w:val="single" w:sz="12" w:space="0" w:color="000000"/>
              <w:right w:val="single" w:sz="12" w:space="0" w:color="000000"/>
            </w:tcBorders>
            <w:tcMar>
              <w:top w:w="0" w:type="dxa"/>
              <w:left w:w="0" w:type="dxa"/>
            </w:tcMar>
            <w:vAlign w:val="center"/>
          </w:tcPr>
          <w:p>
            <w:pPr>
              <w:pStyle w:val="TableContents"/>
              <w:bidi w:val="0"/>
              <w:spacing w:before="0" w:after="0"/>
              <w:jc w:val="right"/>
              <w:rPr/>
            </w:pPr>
            <w:r>
              <w:rPr/>
              <w:t>14.05%</w:t>
            </w:r>
          </w:p>
        </w:tc>
        <w:tc>
          <w:tcPr>
            <w:tcW w:w="2341" w:type="dxa"/>
            <w:tcBorders>
              <w:bottom w:val="single" w:sz="12" w:space="0" w:color="000000"/>
              <w:right w:val="single" w:sz="12" w:space="0" w:color="000000"/>
            </w:tcBorders>
            <w:tcMar>
              <w:top w:w="0" w:type="dxa"/>
              <w:left w:w="0" w:type="dxa"/>
            </w:tcMar>
            <w:vAlign w:val="center"/>
          </w:tcPr>
          <w:p>
            <w:pPr>
              <w:pStyle w:val="TableContents"/>
              <w:bidi w:val="0"/>
              <w:spacing w:before="0" w:after="0"/>
              <w:jc w:val="right"/>
              <w:rPr/>
            </w:pPr>
            <w:r>
              <w:rPr/>
              <w:t>42.99</w:t>
            </w:r>
          </w:p>
        </w:tc>
        <w:tc>
          <w:tcPr>
            <w:tcW w:w="2176" w:type="dxa"/>
            <w:tcBorders>
              <w:bottom w:val="single" w:sz="12" w:space="0" w:color="000000"/>
              <w:right w:val="single" w:sz="12" w:space="0" w:color="000000"/>
            </w:tcBorders>
            <w:tcMar>
              <w:top w:w="0" w:type="dxa"/>
              <w:left w:w="0" w:type="dxa"/>
            </w:tcMar>
            <w:vAlign w:val="center"/>
          </w:tcPr>
          <w:p>
            <w:pPr>
              <w:pStyle w:val="TableContents"/>
              <w:bidi w:val="0"/>
              <w:spacing w:before="0" w:after="0"/>
              <w:jc w:val="right"/>
              <w:rPr/>
            </w:pPr>
            <w:r>
              <w:rPr/>
              <w:t>11.23%</w:t>
            </w:r>
          </w:p>
        </w:tc>
      </w:tr>
      <w:tr>
        <w:trPr/>
        <w:tc>
          <w:tcPr>
            <w:tcW w:w="4861" w:type="dxa"/>
            <w:tcBorders>
              <w:left w:val="single" w:sz="12" w:space="0" w:color="000000"/>
              <w:bottom w:val="single" w:sz="12" w:space="0" w:color="000000"/>
              <w:right w:val="single" w:sz="12" w:space="0" w:color="000000"/>
            </w:tcBorders>
            <w:shd w:fill="CCEEFF" w:val="clear"/>
            <w:tcMar>
              <w:top w:w="0" w:type="dxa"/>
            </w:tcMar>
            <w:vAlign w:val="center"/>
          </w:tcPr>
          <w:p>
            <w:pPr>
              <w:pStyle w:val="TableContents"/>
              <w:bidi w:val="0"/>
              <w:spacing w:before="0" w:after="0"/>
              <w:jc w:val="left"/>
              <w:rPr/>
            </w:pPr>
            <w:r>
              <w:rPr/>
              <w:t>China, including Hong Kong (COSCO &amp; OOCL)</w:t>
            </w:r>
          </w:p>
        </w:tc>
        <w:tc>
          <w:tcPr>
            <w:tcW w:w="2341" w:type="dxa"/>
            <w:tcBorders>
              <w:bottom w:val="single" w:sz="12" w:space="0" w:color="000000"/>
              <w:right w:val="single" w:sz="12" w:space="0" w:color="000000"/>
            </w:tcBorders>
            <w:shd w:fill="CCEEFF" w:val="clear"/>
            <w:tcMar>
              <w:top w:w="0" w:type="dxa"/>
              <w:left w:w="0" w:type="dxa"/>
            </w:tcMar>
            <w:vAlign w:val="center"/>
          </w:tcPr>
          <w:p>
            <w:pPr>
              <w:pStyle w:val="TableContents"/>
              <w:bidi w:val="0"/>
              <w:spacing w:before="0" w:after="0"/>
              <w:jc w:val="right"/>
              <w:rPr/>
            </w:pPr>
            <w:r>
              <w:rPr/>
              <w:t>29.11</w:t>
            </w:r>
          </w:p>
        </w:tc>
        <w:tc>
          <w:tcPr>
            <w:tcW w:w="2176" w:type="dxa"/>
            <w:tcBorders>
              <w:bottom w:val="single" w:sz="12" w:space="0" w:color="000000"/>
              <w:right w:val="single" w:sz="12" w:space="0" w:color="000000"/>
            </w:tcBorders>
            <w:shd w:fill="CCEEFF" w:val="clear"/>
            <w:tcMar>
              <w:top w:w="0" w:type="dxa"/>
              <w:left w:w="0" w:type="dxa"/>
            </w:tcMar>
            <w:vAlign w:val="center"/>
          </w:tcPr>
          <w:p>
            <w:pPr>
              <w:pStyle w:val="TableContents"/>
              <w:bidi w:val="0"/>
              <w:spacing w:before="0" w:after="0"/>
              <w:jc w:val="right"/>
              <w:rPr/>
            </w:pPr>
            <w:r>
              <w:rPr/>
              <w:t>7.34%</w:t>
            </w:r>
          </w:p>
        </w:tc>
        <w:tc>
          <w:tcPr>
            <w:tcW w:w="2341" w:type="dxa"/>
            <w:tcBorders>
              <w:bottom w:val="single" w:sz="12" w:space="0" w:color="000000"/>
              <w:right w:val="single" w:sz="12" w:space="0" w:color="000000"/>
            </w:tcBorders>
            <w:shd w:fill="CCEEFF" w:val="clear"/>
            <w:tcMar>
              <w:top w:w="0" w:type="dxa"/>
              <w:left w:w="0" w:type="dxa"/>
            </w:tcMar>
            <w:vAlign w:val="center"/>
          </w:tcPr>
          <w:p>
            <w:pPr>
              <w:pStyle w:val="TableContents"/>
              <w:bidi w:val="0"/>
              <w:spacing w:before="0" w:after="0"/>
              <w:jc w:val="right"/>
              <w:rPr/>
            </w:pPr>
            <w:r>
              <w:rPr/>
              <w:t>21.99</w:t>
            </w:r>
          </w:p>
        </w:tc>
        <w:tc>
          <w:tcPr>
            <w:tcW w:w="2176" w:type="dxa"/>
            <w:tcBorders>
              <w:bottom w:val="single" w:sz="12" w:space="0" w:color="000000"/>
              <w:right w:val="single" w:sz="12" w:space="0" w:color="000000"/>
            </w:tcBorders>
            <w:shd w:fill="CCEEFF" w:val="clear"/>
            <w:tcMar>
              <w:top w:w="0" w:type="dxa"/>
              <w:left w:w="0" w:type="dxa"/>
            </w:tcMar>
            <w:vAlign w:val="center"/>
          </w:tcPr>
          <w:p>
            <w:pPr>
              <w:pStyle w:val="TableContents"/>
              <w:bidi w:val="0"/>
              <w:spacing w:before="0" w:after="0"/>
              <w:jc w:val="right"/>
              <w:rPr/>
            </w:pPr>
            <w:r>
              <w:rPr/>
              <w:t>5.74%</w:t>
            </w:r>
          </w:p>
        </w:tc>
      </w:tr>
      <w:tr>
        <w:trPr/>
        <w:tc>
          <w:tcPr>
            <w:tcW w:w="4861"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left"/>
              <w:rPr/>
            </w:pPr>
            <w:r>
              <w:rPr/>
              <w:t>Israel (ZIM)</w:t>
            </w:r>
          </w:p>
        </w:tc>
        <w:tc>
          <w:tcPr>
            <w:tcW w:w="2341" w:type="dxa"/>
            <w:tcBorders>
              <w:bottom w:val="single" w:sz="12" w:space="0" w:color="000000"/>
              <w:right w:val="single" w:sz="12" w:space="0" w:color="000000"/>
            </w:tcBorders>
            <w:tcMar>
              <w:top w:w="0" w:type="dxa"/>
              <w:left w:w="0" w:type="dxa"/>
            </w:tcMar>
            <w:vAlign w:val="center"/>
          </w:tcPr>
          <w:p>
            <w:pPr>
              <w:pStyle w:val="TableContents"/>
              <w:bidi w:val="0"/>
              <w:spacing w:before="0" w:after="0"/>
              <w:jc w:val="right"/>
              <w:rPr/>
            </w:pPr>
            <w:r>
              <w:rPr/>
              <w:t>26.52</w:t>
            </w:r>
          </w:p>
        </w:tc>
        <w:tc>
          <w:tcPr>
            <w:tcW w:w="2176" w:type="dxa"/>
            <w:tcBorders>
              <w:bottom w:val="single" w:sz="12" w:space="0" w:color="000000"/>
              <w:right w:val="single" w:sz="12" w:space="0" w:color="000000"/>
            </w:tcBorders>
            <w:tcMar>
              <w:top w:w="0" w:type="dxa"/>
              <w:left w:w="0" w:type="dxa"/>
            </w:tcMar>
            <w:vAlign w:val="center"/>
          </w:tcPr>
          <w:p>
            <w:pPr>
              <w:pStyle w:val="TableContents"/>
              <w:bidi w:val="0"/>
              <w:spacing w:before="0" w:after="0"/>
              <w:jc w:val="right"/>
              <w:rPr/>
            </w:pPr>
            <w:r>
              <w:rPr/>
              <w:t>6.68%</w:t>
            </w:r>
          </w:p>
        </w:tc>
        <w:tc>
          <w:tcPr>
            <w:tcW w:w="2341" w:type="dxa"/>
            <w:tcBorders>
              <w:bottom w:val="single" w:sz="12" w:space="0" w:color="000000"/>
              <w:right w:val="single" w:sz="12" w:space="0" w:color="000000"/>
            </w:tcBorders>
            <w:tcMar>
              <w:top w:w="0" w:type="dxa"/>
              <w:left w:w="0" w:type="dxa"/>
            </w:tcMar>
            <w:vAlign w:val="center"/>
          </w:tcPr>
          <w:p>
            <w:pPr>
              <w:pStyle w:val="TableContents"/>
              <w:bidi w:val="0"/>
              <w:spacing w:before="0" w:after="0"/>
              <w:jc w:val="right"/>
              <w:rPr/>
            </w:pPr>
            <w:r>
              <w:rPr/>
              <w:t>33.75</w:t>
            </w:r>
          </w:p>
        </w:tc>
        <w:tc>
          <w:tcPr>
            <w:tcW w:w="2176" w:type="dxa"/>
            <w:tcBorders>
              <w:bottom w:val="single" w:sz="12" w:space="0" w:color="000000"/>
              <w:right w:val="single" w:sz="12" w:space="0" w:color="000000"/>
            </w:tcBorders>
            <w:tcMar>
              <w:top w:w="0" w:type="dxa"/>
              <w:left w:w="0" w:type="dxa"/>
            </w:tcMar>
            <w:vAlign w:val="center"/>
          </w:tcPr>
          <w:p>
            <w:pPr>
              <w:pStyle w:val="TableContents"/>
              <w:bidi w:val="0"/>
              <w:spacing w:before="0" w:after="0"/>
              <w:jc w:val="right"/>
              <w:rPr/>
            </w:pPr>
            <w:r>
              <w:rPr/>
              <w:t>8.81%</w:t>
            </w:r>
          </w:p>
        </w:tc>
      </w:tr>
      <w:tr>
        <w:trPr/>
        <w:tc>
          <w:tcPr>
            <w:tcW w:w="4861" w:type="dxa"/>
            <w:tcBorders>
              <w:left w:val="single" w:sz="12" w:space="0" w:color="000000"/>
              <w:bottom w:val="single" w:sz="12" w:space="0" w:color="000000"/>
              <w:right w:val="single" w:sz="12" w:space="0" w:color="000000"/>
            </w:tcBorders>
            <w:shd w:fill="CCEEFF" w:val="clear"/>
            <w:tcMar>
              <w:top w:w="0" w:type="dxa"/>
            </w:tcMar>
            <w:vAlign w:val="center"/>
          </w:tcPr>
          <w:p>
            <w:pPr>
              <w:pStyle w:val="TableContents"/>
              <w:bidi w:val="0"/>
              <w:spacing w:before="0" w:after="0"/>
              <w:jc w:val="left"/>
              <w:rPr/>
            </w:pPr>
            <w:r>
              <w:rPr/>
              <w:t>Singapore (ONE, Swire Shipping, RCL Feeder)</w:t>
            </w:r>
          </w:p>
        </w:tc>
        <w:tc>
          <w:tcPr>
            <w:tcW w:w="2341" w:type="dxa"/>
            <w:tcBorders>
              <w:bottom w:val="single" w:sz="12" w:space="0" w:color="000000"/>
              <w:right w:val="single" w:sz="12" w:space="0" w:color="000000"/>
            </w:tcBorders>
            <w:shd w:fill="CCEEFF" w:val="clear"/>
            <w:tcMar>
              <w:top w:w="0" w:type="dxa"/>
              <w:left w:w="0" w:type="dxa"/>
            </w:tcMar>
            <w:vAlign w:val="center"/>
          </w:tcPr>
          <w:p>
            <w:pPr>
              <w:pStyle w:val="TableContents"/>
              <w:bidi w:val="0"/>
              <w:spacing w:before="0" w:after="0"/>
              <w:jc w:val="right"/>
              <w:rPr/>
            </w:pPr>
            <w:r>
              <w:rPr/>
              <w:t>14.69</w:t>
            </w:r>
          </w:p>
        </w:tc>
        <w:tc>
          <w:tcPr>
            <w:tcW w:w="2176" w:type="dxa"/>
            <w:tcBorders>
              <w:bottom w:val="single" w:sz="12" w:space="0" w:color="000000"/>
              <w:right w:val="single" w:sz="12" w:space="0" w:color="000000"/>
            </w:tcBorders>
            <w:shd w:fill="CCEEFF" w:val="clear"/>
            <w:tcMar>
              <w:top w:w="0" w:type="dxa"/>
              <w:left w:w="0" w:type="dxa"/>
            </w:tcMar>
            <w:vAlign w:val="center"/>
          </w:tcPr>
          <w:p>
            <w:pPr>
              <w:pStyle w:val="TableContents"/>
              <w:bidi w:val="0"/>
              <w:spacing w:before="0" w:after="0"/>
              <w:jc w:val="right"/>
              <w:rPr/>
            </w:pPr>
            <w:r>
              <w:rPr/>
              <w:t>3.71%</w:t>
            </w:r>
          </w:p>
        </w:tc>
        <w:tc>
          <w:tcPr>
            <w:tcW w:w="2341" w:type="dxa"/>
            <w:tcBorders>
              <w:bottom w:val="single" w:sz="12" w:space="0" w:color="000000"/>
              <w:right w:val="single" w:sz="12" w:space="0" w:color="000000"/>
            </w:tcBorders>
            <w:shd w:fill="CCEEFF" w:val="clear"/>
            <w:tcMar>
              <w:top w:w="0" w:type="dxa"/>
              <w:left w:w="0" w:type="dxa"/>
            </w:tcMar>
            <w:vAlign w:val="center"/>
          </w:tcPr>
          <w:p>
            <w:pPr>
              <w:pStyle w:val="TableContents"/>
              <w:bidi w:val="0"/>
              <w:spacing w:before="0" w:after="0"/>
              <w:jc w:val="right"/>
              <w:rPr/>
            </w:pPr>
            <w:r>
              <w:rPr/>
              <w:t>9.85</w:t>
            </w:r>
          </w:p>
        </w:tc>
        <w:tc>
          <w:tcPr>
            <w:tcW w:w="2176" w:type="dxa"/>
            <w:tcBorders>
              <w:bottom w:val="single" w:sz="12" w:space="0" w:color="000000"/>
              <w:right w:val="single" w:sz="12" w:space="0" w:color="000000"/>
            </w:tcBorders>
            <w:shd w:fill="CCEEFF" w:val="clear"/>
            <w:tcMar>
              <w:top w:w="0" w:type="dxa"/>
              <w:left w:w="0" w:type="dxa"/>
            </w:tcMar>
            <w:vAlign w:val="center"/>
          </w:tcPr>
          <w:p>
            <w:pPr>
              <w:pStyle w:val="TableContents"/>
              <w:bidi w:val="0"/>
              <w:spacing w:before="0" w:after="0"/>
              <w:jc w:val="right"/>
              <w:rPr/>
            </w:pPr>
            <w:r>
              <w:rPr/>
              <w:t>2.57%</w:t>
            </w:r>
          </w:p>
        </w:tc>
      </w:tr>
      <w:tr>
        <w:trPr/>
        <w:tc>
          <w:tcPr>
            <w:tcW w:w="4861"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left"/>
              <w:rPr/>
            </w:pPr>
            <w:r>
              <w:rPr/>
              <w:t>USA (Matson)</w:t>
            </w:r>
          </w:p>
        </w:tc>
        <w:tc>
          <w:tcPr>
            <w:tcW w:w="2341" w:type="dxa"/>
            <w:tcBorders>
              <w:bottom w:val="single" w:sz="12" w:space="0" w:color="000000"/>
              <w:right w:val="single" w:sz="12" w:space="0" w:color="000000"/>
            </w:tcBorders>
            <w:tcMar>
              <w:top w:w="0" w:type="dxa"/>
              <w:left w:w="0" w:type="dxa"/>
            </w:tcMar>
            <w:vAlign w:val="center"/>
          </w:tcPr>
          <w:p>
            <w:pPr>
              <w:pStyle w:val="TableContents"/>
              <w:bidi w:val="0"/>
              <w:spacing w:before="0" w:after="0"/>
              <w:jc w:val="right"/>
              <w:rPr/>
            </w:pPr>
            <w:r>
              <w:rPr/>
              <w:t>-</w:t>
            </w:r>
          </w:p>
        </w:tc>
        <w:tc>
          <w:tcPr>
            <w:tcW w:w="2176" w:type="dxa"/>
            <w:tcBorders>
              <w:bottom w:val="single" w:sz="12" w:space="0" w:color="000000"/>
              <w:right w:val="single" w:sz="12" w:space="0" w:color="000000"/>
            </w:tcBorders>
            <w:tcMar>
              <w:top w:w="0" w:type="dxa"/>
              <w:left w:w="0" w:type="dxa"/>
            </w:tcMar>
            <w:vAlign w:val="center"/>
          </w:tcPr>
          <w:p>
            <w:pPr>
              <w:pStyle w:val="TableContents"/>
              <w:bidi w:val="0"/>
              <w:spacing w:before="0" w:after="0"/>
              <w:jc w:val="right"/>
              <w:rPr/>
            </w:pPr>
            <w:r>
              <w:rPr/>
              <w:t>-</w:t>
            </w:r>
          </w:p>
        </w:tc>
        <w:tc>
          <w:tcPr>
            <w:tcW w:w="2341" w:type="dxa"/>
            <w:tcBorders>
              <w:bottom w:val="single" w:sz="12" w:space="0" w:color="000000"/>
              <w:right w:val="single" w:sz="12" w:space="0" w:color="000000"/>
            </w:tcBorders>
            <w:tcMar>
              <w:top w:w="0" w:type="dxa"/>
              <w:left w:w="0" w:type="dxa"/>
            </w:tcMar>
            <w:vAlign w:val="center"/>
          </w:tcPr>
          <w:p>
            <w:pPr>
              <w:pStyle w:val="TableContents"/>
              <w:bidi w:val="0"/>
              <w:spacing w:before="0" w:after="0"/>
              <w:jc w:val="right"/>
              <w:rPr/>
            </w:pPr>
            <w:r>
              <w:rPr/>
              <w:t>5.80</w:t>
            </w:r>
          </w:p>
        </w:tc>
        <w:tc>
          <w:tcPr>
            <w:tcW w:w="2176" w:type="dxa"/>
            <w:tcBorders>
              <w:bottom w:val="single" w:sz="12" w:space="0" w:color="000000"/>
              <w:right w:val="single" w:sz="12" w:space="0" w:color="000000"/>
            </w:tcBorders>
            <w:tcMar>
              <w:top w:w="0" w:type="dxa"/>
              <w:left w:w="0" w:type="dxa"/>
            </w:tcMar>
            <w:vAlign w:val="center"/>
          </w:tcPr>
          <w:p>
            <w:pPr>
              <w:pStyle w:val="TableContents"/>
              <w:bidi w:val="0"/>
              <w:spacing w:before="0" w:after="0"/>
              <w:jc w:val="right"/>
              <w:rPr/>
            </w:pPr>
            <w:r>
              <w:rPr/>
              <w:t>1.51%</w:t>
            </w:r>
          </w:p>
        </w:tc>
      </w:tr>
      <w:tr>
        <w:trPr/>
        <w:tc>
          <w:tcPr>
            <w:tcW w:w="4861" w:type="dxa"/>
            <w:tcBorders>
              <w:left w:val="single" w:sz="12" w:space="0" w:color="000000"/>
              <w:bottom w:val="single" w:sz="12" w:space="0" w:color="000000"/>
              <w:right w:val="single" w:sz="12" w:space="0" w:color="000000"/>
            </w:tcBorders>
            <w:shd w:fill="CCEEFF" w:val="clear"/>
            <w:tcMar>
              <w:top w:w="0" w:type="dxa"/>
            </w:tcMar>
            <w:vAlign w:val="center"/>
          </w:tcPr>
          <w:p>
            <w:pPr>
              <w:pStyle w:val="TableContents"/>
              <w:bidi w:val="0"/>
              <w:spacing w:before="0" w:after="0"/>
              <w:jc w:val="left"/>
              <w:rPr/>
            </w:pPr>
            <w:r>
              <w:rPr/>
              <w:t>Taiwan (Wan Hai)</w:t>
            </w:r>
          </w:p>
        </w:tc>
        <w:tc>
          <w:tcPr>
            <w:tcW w:w="2341" w:type="dxa"/>
            <w:tcBorders>
              <w:bottom w:val="single" w:sz="12" w:space="0" w:color="000000"/>
              <w:right w:val="single" w:sz="12" w:space="0" w:color="000000"/>
            </w:tcBorders>
            <w:shd w:fill="CCEEFF" w:val="clear"/>
            <w:tcMar>
              <w:top w:w="0" w:type="dxa"/>
              <w:left w:w="0" w:type="dxa"/>
            </w:tcMar>
            <w:vAlign w:val="center"/>
          </w:tcPr>
          <w:p>
            <w:pPr>
              <w:pStyle w:val="TableContents"/>
              <w:bidi w:val="0"/>
              <w:spacing w:before="0" w:after="0"/>
              <w:jc w:val="right"/>
              <w:rPr/>
            </w:pPr>
            <w:r>
              <w:rPr/>
              <w:t>-</w:t>
            </w:r>
          </w:p>
        </w:tc>
        <w:tc>
          <w:tcPr>
            <w:tcW w:w="2176" w:type="dxa"/>
            <w:tcBorders>
              <w:bottom w:val="single" w:sz="12" w:space="0" w:color="000000"/>
              <w:right w:val="single" w:sz="12" w:space="0" w:color="000000"/>
            </w:tcBorders>
            <w:shd w:fill="CCEEFF" w:val="clear"/>
            <w:tcMar>
              <w:top w:w="0" w:type="dxa"/>
              <w:left w:w="0" w:type="dxa"/>
            </w:tcMar>
            <w:vAlign w:val="center"/>
          </w:tcPr>
          <w:p>
            <w:pPr>
              <w:pStyle w:val="TableContents"/>
              <w:bidi w:val="0"/>
              <w:spacing w:before="0" w:after="0"/>
              <w:jc w:val="right"/>
              <w:rPr/>
            </w:pPr>
            <w:r>
              <w:rPr/>
              <w:t>-</w:t>
            </w:r>
          </w:p>
        </w:tc>
        <w:tc>
          <w:tcPr>
            <w:tcW w:w="2341" w:type="dxa"/>
            <w:tcBorders>
              <w:bottom w:val="single" w:sz="12" w:space="0" w:color="000000"/>
              <w:right w:val="single" w:sz="12" w:space="0" w:color="000000"/>
            </w:tcBorders>
            <w:shd w:fill="CCEEFF" w:val="clear"/>
            <w:tcMar>
              <w:top w:w="0" w:type="dxa"/>
              <w:left w:w="0" w:type="dxa"/>
            </w:tcMar>
            <w:vAlign w:val="center"/>
          </w:tcPr>
          <w:p>
            <w:pPr>
              <w:pStyle w:val="TableContents"/>
              <w:bidi w:val="0"/>
              <w:spacing w:before="0" w:after="0"/>
              <w:jc w:val="right"/>
              <w:rPr/>
            </w:pPr>
            <w:r>
              <w:rPr/>
              <w:t>2.28</w:t>
            </w:r>
          </w:p>
        </w:tc>
        <w:tc>
          <w:tcPr>
            <w:tcW w:w="2176" w:type="dxa"/>
            <w:tcBorders>
              <w:bottom w:val="single" w:sz="12" w:space="0" w:color="000000"/>
              <w:right w:val="single" w:sz="12" w:space="0" w:color="000000"/>
            </w:tcBorders>
            <w:shd w:fill="CCEEFF" w:val="clear"/>
            <w:tcMar>
              <w:top w:w="0" w:type="dxa"/>
              <w:left w:w="0" w:type="dxa"/>
            </w:tcMar>
            <w:vAlign w:val="center"/>
          </w:tcPr>
          <w:p>
            <w:pPr>
              <w:pStyle w:val="TableContents"/>
              <w:bidi w:val="0"/>
              <w:spacing w:before="0" w:after="0"/>
              <w:jc w:val="right"/>
              <w:rPr/>
            </w:pPr>
            <w:r>
              <w:rPr/>
              <w:t>0.60%</w:t>
            </w:r>
          </w:p>
        </w:tc>
      </w:tr>
      <w:tr>
        <w:trPr/>
        <w:tc>
          <w:tcPr>
            <w:tcW w:w="4861"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left"/>
              <w:rPr>
                <w:b/>
              </w:rPr>
            </w:pPr>
            <w:r>
              <w:rPr>
                <w:b/>
              </w:rPr>
              <w:t>Total</w:t>
            </w:r>
          </w:p>
        </w:tc>
        <w:tc>
          <w:tcPr>
            <w:tcW w:w="2341" w:type="dxa"/>
            <w:tcBorders>
              <w:bottom w:val="single" w:sz="12" w:space="0" w:color="000000"/>
              <w:right w:val="single" w:sz="12" w:space="0" w:color="000000"/>
            </w:tcBorders>
            <w:tcMar>
              <w:top w:w="0" w:type="dxa"/>
              <w:left w:w="0" w:type="dxa"/>
            </w:tcMar>
            <w:vAlign w:val="center"/>
          </w:tcPr>
          <w:p>
            <w:pPr>
              <w:pStyle w:val="TableContents"/>
              <w:bidi w:val="0"/>
              <w:spacing w:before="0" w:after="0"/>
              <w:jc w:val="right"/>
              <w:rPr/>
            </w:pPr>
            <w:r>
              <w:rPr/>
              <w:t>              </w:t>
            </w:r>
            <w:r>
              <w:rPr>
                <w:b/>
              </w:rPr>
              <w:t>396.77</w:t>
            </w:r>
          </w:p>
        </w:tc>
        <w:tc>
          <w:tcPr>
            <w:tcW w:w="2176" w:type="dxa"/>
            <w:tcBorders>
              <w:bottom w:val="single" w:sz="12" w:space="0" w:color="000000"/>
              <w:right w:val="single" w:sz="12" w:space="0" w:color="000000"/>
            </w:tcBorders>
            <w:tcMar>
              <w:top w:w="0" w:type="dxa"/>
              <w:left w:w="0" w:type="dxa"/>
            </w:tcMar>
            <w:vAlign w:val="center"/>
          </w:tcPr>
          <w:p>
            <w:pPr>
              <w:pStyle w:val="TableContents"/>
              <w:bidi w:val="0"/>
              <w:spacing w:before="0" w:after="0"/>
              <w:jc w:val="right"/>
              <w:rPr>
                <w:b/>
              </w:rPr>
            </w:pPr>
            <w:r>
              <w:rPr>
                <w:b/>
              </w:rPr>
              <w:t>100.00%</w:t>
            </w:r>
          </w:p>
        </w:tc>
        <w:tc>
          <w:tcPr>
            <w:tcW w:w="2341" w:type="dxa"/>
            <w:tcBorders>
              <w:bottom w:val="single" w:sz="12" w:space="0" w:color="000000"/>
              <w:right w:val="single" w:sz="12" w:space="0" w:color="000000"/>
            </w:tcBorders>
            <w:tcMar>
              <w:top w:w="0" w:type="dxa"/>
              <w:left w:w="0" w:type="dxa"/>
            </w:tcMar>
            <w:vAlign w:val="center"/>
          </w:tcPr>
          <w:p>
            <w:pPr>
              <w:pStyle w:val="TableContents"/>
              <w:bidi w:val="0"/>
              <w:spacing w:before="0" w:after="0"/>
              <w:jc w:val="right"/>
              <w:rPr/>
            </w:pPr>
            <w:r>
              <w:rPr/>
              <w:t>           </w:t>
            </w:r>
            <w:r>
              <w:rPr>
                <w:b/>
              </w:rPr>
              <w:t>382.83</w:t>
            </w:r>
          </w:p>
        </w:tc>
        <w:tc>
          <w:tcPr>
            <w:tcW w:w="2176" w:type="dxa"/>
            <w:tcBorders>
              <w:bottom w:val="single" w:sz="12" w:space="0" w:color="000000"/>
              <w:right w:val="single" w:sz="12" w:space="0" w:color="000000"/>
            </w:tcBorders>
            <w:tcMar>
              <w:top w:w="0" w:type="dxa"/>
              <w:left w:w="0" w:type="dxa"/>
            </w:tcMar>
            <w:vAlign w:val="center"/>
          </w:tcPr>
          <w:p>
            <w:pPr>
              <w:pStyle w:val="TableContents"/>
              <w:bidi w:val="0"/>
              <w:spacing w:before="0" w:after="0"/>
              <w:jc w:val="right"/>
              <w:rPr>
                <w:b/>
              </w:rPr>
            </w:pPr>
            <w:r>
              <w:rPr>
                <w:b/>
              </w:rPr>
              <w:t>100.00%</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z7bdf83e4150241c38a74a2f370bb87d5"/>
      <w:bookmarkStart w:id="17" w:name="z7bdf83e4150241c38a74a2f370bb87d5"/>
      <w:bookmarkEnd w:id="17"/>
    </w:p>
    <w:tbl>
      <w:tblPr>
        <w:tblW w:w="5328" w:type="dxa"/>
        <w:jc w:val="left"/>
        <w:tblInd w:w="0" w:type="dxa"/>
        <w:tblLayout w:type="fixed"/>
        <w:tblCellMar>
          <w:top w:w="0" w:type="dxa"/>
          <w:left w:w="0" w:type="dxa"/>
          <w:bottom w:w="0" w:type="dxa"/>
          <w:right w:w="0" w:type="dxa"/>
        </w:tblCellMar>
      </w:tblPr>
      <w:tblGrid>
        <w:gridCol w:w="38"/>
        <w:gridCol w:w="200"/>
        <w:gridCol w:w="5090"/>
      </w:tblGrid>
      <w:tr>
        <w:trPr/>
        <w:tc>
          <w:tcPr>
            <w:tcW w:w="3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pPr>
            <w:r>
              <w:rPr/>
              <w:t>1.</w:t>
            </w:r>
          </w:p>
        </w:tc>
        <w:tc>
          <w:tcPr>
            <w:tcW w:w="5090" w:type="dxa"/>
            <w:tcBorders/>
            <w:vAlign w:val="center"/>
          </w:tcPr>
          <w:p>
            <w:pPr>
              <w:pStyle w:val="TableContents"/>
              <w:bidi w:val="0"/>
              <w:spacing w:before="0" w:after="0"/>
              <w:jc w:val="both"/>
              <w:rPr/>
            </w:pPr>
            <w:r>
              <w:rPr/>
              <w:t>Based on jurisdiction of head office of each charterer.</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table below shows unaudited fleet utilization data for the three and six months ended June 30, 2026 and 2025, and for the years ended December 31, 2025, 2024, 2023 and 2022.</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ze00e9741828f41dda20a0a6f50fd5daa"/>
      <w:bookmarkStart w:id="19" w:name="ze00e9741828f41dda20a0a6f50fd5daa"/>
      <w:bookmarkEnd w:id="19"/>
    </w:p>
    <w:tbl>
      <w:tblPr>
        <w:tblW w:w="10205" w:type="dxa"/>
        <w:jc w:val="left"/>
        <w:tblInd w:w="0" w:type="dxa"/>
        <w:tblLayout w:type="fixed"/>
        <w:tblCellMar>
          <w:top w:w="0" w:type="dxa"/>
          <w:left w:w="0" w:type="dxa"/>
          <w:bottom w:w="0" w:type="dxa"/>
          <w:right w:w="0" w:type="dxa"/>
        </w:tblCellMar>
      </w:tblPr>
      <w:tblGrid>
        <w:gridCol w:w="3470"/>
        <w:gridCol w:w="934"/>
        <w:gridCol w:w="934"/>
        <w:gridCol w:w="60"/>
        <w:gridCol w:w="839"/>
        <w:gridCol w:w="839"/>
        <w:gridCol w:w="60"/>
        <w:gridCol w:w="760"/>
        <w:gridCol w:w="760"/>
        <w:gridCol w:w="760"/>
        <w:gridCol w:w="789"/>
      </w:tblGrid>
      <w:tr>
        <w:trPr/>
        <w:tc>
          <w:tcPr>
            <w:tcW w:w="3470" w:type="dxa"/>
            <w:tcBorders/>
            <w:vAlign w:val="center"/>
          </w:tcPr>
          <w:p>
            <w:pPr>
              <w:pStyle w:val="TableContents"/>
              <w:bidi w:val="0"/>
              <w:spacing w:before="0" w:after="283"/>
              <w:jc w:val="left"/>
              <w:rPr/>
            </w:pPr>
            <w:r>
              <w:rPr/>
              <w:t> </w:t>
            </w:r>
          </w:p>
        </w:tc>
        <w:tc>
          <w:tcPr>
            <w:tcW w:w="1868" w:type="dxa"/>
            <w:gridSpan w:val="2"/>
            <w:tcBorders>
              <w:bottom w:val="single" w:sz="12" w:space="0" w:color="000000"/>
            </w:tcBorders>
            <w:tcMar>
              <w:bottom w:w="28" w:type="dxa"/>
            </w:tcMar>
            <w:vAlign w:val="center"/>
          </w:tcPr>
          <w:p>
            <w:pPr>
              <w:pStyle w:val="TableContents"/>
              <w:bidi w:val="0"/>
              <w:spacing w:before="0" w:after="0"/>
              <w:jc w:val="center"/>
              <w:rPr>
                <w:color w:val="000000"/>
              </w:rPr>
            </w:pPr>
            <w:r>
              <w:rPr>
                <w:color w:val="000000"/>
              </w:rPr>
              <w:t>Three months ended</w:t>
            </w:r>
          </w:p>
        </w:tc>
        <w:tc>
          <w:tcPr>
            <w:tcW w:w="60" w:type="dxa"/>
            <w:tcBorders/>
            <w:vAlign w:val="center"/>
          </w:tcPr>
          <w:p>
            <w:pPr>
              <w:pStyle w:val="TableContents"/>
              <w:bidi w:val="0"/>
              <w:spacing w:before="0" w:after="283"/>
              <w:jc w:val="left"/>
              <w:rPr/>
            </w:pPr>
            <w:r>
              <w:rPr/>
              <w:t> </w:t>
            </w:r>
          </w:p>
        </w:tc>
        <w:tc>
          <w:tcPr>
            <w:tcW w:w="1678" w:type="dxa"/>
            <w:gridSpan w:val="2"/>
            <w:tcBorders>
              <w:bottom w:val="single" w:sz="12" w:space="0" w:color="000000"/>
            </w:tcBorders>
            <w:tcMar>
              <w:bottom w:w="28" w:type="dxa"/>
            </w:tcMar>
            <w:vAlign w:val="center"/>
          </w:tcPr>
          <w:p>
            <w:pPr>
              <w:pStyle w:val="TableContents"/>
              <w:bidi w:val="0"/>
              <w:spacing w:before="0" w:after="0"/>
              <w:jc w:val="center"/>
              <w:rPr>
                <w:color w:val="000000"/>
              </w:rPr>
            </w:pPr>
            <w:r>
              <w:rPr>
                <w:color w:val="000000"/>
              </w:rPr>
              <w:t>Six months ended</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3069" w:type="dxa"/>
            <w:gridSpan w:val="4"/>
            <w:tcBorders>
              <w:bottom w:val="single" w:sz="12" w:space="0" w:color="000000"/>
            </w:tcBorders>
            <w:tcMar>
              <w:bottom w:w="28" w:type="dxa"/>
            </w:tcMar>
            <w:vAlign w:val="center"/>
          </w:tcPr>
          <w:p>
            <w:pPr>
              <w:pStyle w:val="TableContents"/>
              <w:bidi w:val="0"/>
              <w:spacing w:before="0" w:after="0"/>
              <w:jc w:val="center"/>
              <w:rPr/>
            </w:pPr>
            <w:r>
              <w:rPr/>
              <w:t>Year ended</w:t>
            </w:r>
          </w:p>
        </w:tc>
      </w:tr>
      <w:tr>
        <w:trPr/>
        <w:tc>
          <w:tcPr>
            <w:tcW w:w="3470" w:type="dxa"/>
            <w:tcBorders/>
            <w:vAlign w:val="center"/>
          </w:tcPr>
          <w:p>
            <w:pPr>
              <w:pStyle w:val="TableContents"/>
              <w:bidi w:val="0"/>
              <w:spacing w:before="0" w:after="283"/>
              <w:jc w:val="left"/>
              <w:rPr/>
            </w:pPr>
            <w:r>
              <w:rPr/>
              <w:t> </w:t>
            </w:r>
          </w:p>
        </w:tc>
        <w:tc>
          <w:tcPr>
            <w:tcW w:w="934" w:type="dxa"/>
            <w:tcBorders/>
            <w:vAlign w:val="center"/>
          </w:tcPr>
          <w:p>
            <w:pPr>
              <w:pStyle w:val="TableContents"/>
              <w:bidi w:val="0"/>
              <w:spacing w:before="0" w:after="0"/>
              <w:jc w:val="right"/>
              <w:rPr>
                <w:color w:val="000000"/>
              </w:rPr>
            </w:pPr>
            <w:r>
              <w:rPr>
                <w:color w:val="000000"/>
              </w:rPr>
              <w:t>June 30,</w:t>
            </w:r>
          </w:p>
        </w:tc>
        <w:tc>
          <w:tcPr>
            <w:tcW w:w="934" w:type="dxa"/>
            <w:tcBorders/>
            <w:vAlign w:val="center"/>
          </w:tcPr>
          <w:p>
            <w:pPr>
              <w:pStyle w:val="TableContents"/>
              <w:bidi w:val="0"/>
              <w:spacing w:before="0" w:after="0"/>
              <w:jc w:val="right"/>
              <w:rPr>
                <w:color w:val="000000"/>
              </w:rPr>
            </w:pPr>
            <w:r>
              <w:rPr>
                <w:color w:val="000000"/>
              </w:rPr>
              <w:t>June 30,</w:t>
            </w:r>
          </w:p>
        </w:tc>
        <w:tc>
          <w:tcPr>
            <w:tcW w:w="60" w:type="dxa"/>
            <w:tcBorders/>
            <w:vAlign w:val="center"/>
          </w:tcPr>
          <w:p>
            <w:pPr>
              <w:pStyle w:val="TableContents"/>
              <w:bidi w:val="0"/>
              <w:spacing w:before="0" w:after="283"/>
              <w:jc w:val="left"/>
              <w:rPr/>
            </w:pPr>
            <w:r>
              <w:rPr/>
              <w:t> </w:t>
            </w:r>
          </w:p>
        </w:tc>
        <w:tc>
          <w:tcPr>
            <w:tcW w:w="839" w:type="dxa"/>
            <w:tcBorders/>
            <w:vAlign w:val="center"/>
          </w:tcPr>
          <w:p>
            <w:pPr>
              <w:pStyle w:val="TableContents"/>
              <w:bidi w:val="0"/>
              <w:spacing w:before="0" w:after="0"/>
              <w:jc w:val="right"/>
              <w:rPr>
                <w:color w:val="000000"/>
              </w:rPr>
            </w:pPr>
            <w:r>
              <w:rPr>
                <w:color w:val="000000"/>
              </w:rPr>
              <w:t>June 30,</w:t>
            </w:r>
          </w:p>
        </w:tc>
        <w:tc>
          <w:tcPr>
            <w:tcW w:w="839" w:type="dxa"/>
            <w:tcBorders/>
            <w:vAlign w:val="center"/>
          </w:tcPr>
          <w:p>
            <w:pPr>
              <w:pStyle w:val="TableContents"/>
              <w:bidi w:val="0"/>
              <w:spacing w:before="0" w:after="0"/>
              <w:jc w:val="right"/>
              <w:rPr>
                <w:color w:val="000000"/>
              </w:rPr>
            </w:pPr>
            <w:r>
              <w:rPr>
                <w:color w:val="000000"/>
              </w:rPr>
              <w:t>June 30,</w:t>
            </w:r>
          </w:p>
        </w:tc>
        <w:tc>
          <w:tcPr>
            <w:tcW w:w="60"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0"/>
              <w:jc w:val="right"/>
              <w:rPr>
                <w:color w:val="000000"/>
              </w:rPr>
            </w:pPr>
            <w:r>
              <w:rPr>
                <w:color w:val="000000"/>
              </w:rPr>
              <w:t>Dec 31,</w:t>
            </w:r>
          </w:p>
        </w:tc>
        <w:tc>
          <w:tcPr>
            <w:tcW w:w="760" w:type="dxa"/>
            <w:tcBorders/>
            <w:vAlign w:val="center"/>
          </w:tcPr>
          <w:p>
            <w:pPr>
              <w:pStyle w:val="TableContents"/>
              <w:bidi w:val="0"/>
              <w:spacing w:before="0" w:after="0"/>
              <w:jc w:val="right"/>
              <w:rPr/>
            </w:pPr>
            <w:r>
              <w:rPr/>
              <w:t>Dec 31,</w:t>
            </w:r>
          </w:p>
        </w:tc>
        <w:tc>
          <w:tcPr>
            <w:tcW w:w="760" w:type="dxa"/>
            <w:tcBorders/>
            <w:vAlign w:val="center"/>
          </w:tcPr>
          <w:p>
            <w:pPr>
              <w:pStyle w:val="TableContents"/>
              <w:bidi w:val="0"/>
              <w:spacing w:before="0" w:after="0"/>
              <w:jc w:val="right"/>
              <w:rPr/>
            </w:pPr>
            <w:r>
              <w:rPr/>
              <w:t>Dec 31,</w:t>
            </w:r>
          </w:p>
        </w:tc>
        <w:tc>
          <w:tcPr>
            <w:tcW w:w="789" w:type="dxa"/>
            <w:tcBorders/>
            <w:vAlign w:val="center"/>
          </w:tcPr>
          <w:p>
            <w:pPr>
              <w:pStyle w:val="TableContents"/>
              <w:bidi w:val="0"/>
              <w:spacing w:before="0" w:after="0"/>
              <w:jc w:val="right"/>
              <w:rPr/>
            </w:pPr>
            <w:r>
              <w:rPr/>
              <w:t>Dec 31,</w:t>
            </w:r>
          </w:p>
        </w:tc>
      </w:tr>
      <w:tr>
        <w:trPr/>
        <w:tc>
          <w:tcPr>
            <w:tcW w:w="3470" w:type="dxa"/>
            <w:tcBorders>
              <w:bottom w:val="single" w:sz="12" w:space="0" w:color="000000"/>
            </w:tcBorders>
            <w:tcMar>
              <w:bottom w:w="28" w:type="dxa"/>
            </w:tcMar>
            <w:vAlign w:val="center"/>
          </w:tcPr>
          <w:p>
            <w:pPr>
              <w:pStyle w:val="TableContents"/>
              <w:bidi w:val="0"/>
              <w:spacing w:before="0" w:after="0"/>
              <w:jc w:val="left"/>
              <w:rPr>
                <w:color w:val="000000"/>
              </w:rPr>
            </w:pPr>
            <w:r>
              <w:rPr>
                <w:color w:val="000000"/>
              </w:rPr>
              <w:t>Days</w:t>
            </w:r>
          </w:p>
        </w:tc>
        <w:tc>
          <w:tcPr>
            <w:tcW w:w="934" w:type="dxa"/>
            <w:tcBorders>
              <w:bottom w:val="single" w:sz="12" w:space="0" w:color="000000"/>
            </w:tcBorders>
            <w:tcMar>
              <w:bottom w:w="28" w:type="dxa"/>
            </w:tcMar>
            <w:vAlign w:val="center"/>
          </w:tcPr>
          <w:p>
            <w:pPr>
              <w:pStyle w:val="TableContents"/>
              <w:bidi w:val="0"/>
              <w:spacing w:before="0" w:after="0"/>
              <w:jc w:val="right"/>
              <w:rPr>
                <w:color w:val="000000"/>
              </w:rPr>
            </w:pPr>
            <w:r>
              <w:rPr>
                <w:color w:val="000000"/>
              </w:rPr>
              <w:t>2026</w:t>
            </w:r>
          </w:p>
        </w:tc>
        <w:tc>
          <w:tcPr>
            <w:tcW w:w="934" w:type="dxa"/>
            <w:tcBorders>
              <w:bottom w:val="single" w:sz="12" w:space="0" w:color="000000"/>
            </w:tcBorders>
            <w:tcMar>
              <w:bottom w:w="28" w:type="dxa"/>
            </w:tcMar>
            <w:vAlign w:val="center"/>
          </w:tcPr>
          <w:p>
            <w:pPr>
              <w:pStyle w:val="TableContents"/>
              <w:bidi w:val="0"/>
              <w:spacing w:before="0" w:after="0"/>
              <w:jc w:val="right"/>
              <w:rPr>
                <w:color w:val="000000"/>
              </w:rPr>
            </w:pPr>
            <w:r>
              <w:rPr>
                <w:color w:val="000000"/>
              </w:rPr>
              <w:t>2025</w:t>
            </w:r>
          </w:p>
        </w:tc>
        <w:tc>
          <w:tcPr>
            <w:tcW w:w="60" w:type="dxa"/>
            <w:tcBorders/>
            <w:vAlign w:val="center"/>
          </w:tcPr>
          <w:p>
            <w:pPr>
              <w:pStyle w:val="TableContents"/>
              <w:bidi w:val="0"/>
              <w:spacing w:before="0" w:after="283"/>
              <w:jc w:val="left"/>
              <w:rPr/>
            </w:pPr>
            <w:r>
              <w:rPr/>
              <w:t> </w:t>
            </w:r>
          </w:p>
        </w:tc>
        <w:tc>
          <w:tcPr>
            <w:tcW w:w="839" w:type="dxa"/>
            <w:tcBorders>
              <w:bottom w:val="single" w:sz="12" w:space="0" w:color="000000"/>
            </w:tcBorders>
            <w:tcMar>
              <w:bottom w:w="28" w:type="dxa"/>
            </w:tcMar>
            <w:vAlign w:val="center"/>
          </w:tcPr>
          <w:p>
            <w:pPr>
              <w:pStyle w:val="TableContents"/>
              <w:bidi w:val="0"/>
              <w:spacing w:before="0" w:after="0"/>
              <w:jc w:val="right"/>
              <w:rPr>
                <w:color w:val="000000"/>
              </w:rPr>
            </w:pPr>
            <w:r>
              <w:rPr>
                <w:color w:val="000000"/>
              </w:rPr>
              <w:t>2026</w:t>
            </w:r>
          </w:p>
        </w:tc>
        <w:tc>
          <w:tcPr>
            <w:tcW w:w="839" w:type="dxa"/>
            <w:tcBorders>
              <w:bottom w:val="single" w:sz="12" w:space="0" w:color="000000"/>
            </w:tcBorders>
            <w:tcMar>
              <w:bottom w:w="28" w:type="dxa"/>
            </w:tcMar>
            <w:vAlign w:val="center"/>
          </w:tcPr>
          <w:p>
            <w:pPr>
              <w:pStyle w:val="TableContents"/>
              <w:bidi w:val="0"/>
              <w:spacing w:before="0" w:after="0"/>
              <w:jc w:val="right"/>
              <w:rPr>
                <w:color w:val="000000"/>
              </w:rPr>
            </w:pPr>
            <w:r>
              <w:rPr>
                <w:color w:val="000000"/>
              </w:rPr>
              <w:t>2025</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760" w:type="dxa"/>
            <w:tcBorders>
              <w:bottom w:val="single" w:sz="12" w:space="0" w:color="000000"/>
            </w:tcBorders>
            <w:tcMar>
              <w:bottom w:w="28" w:type="dxa"/>
            </w:tcMar>
            <w:vAlign w:val="center"/>
          </w:tcPr>
          <w:p>
            <w:pPr>
              <w:pStyle w:val="TableContents"/>
              <w:bidi w:val="0"/>
              <w:spacing w:before="0" w:after="0"/>
              <w:jc w:val="right"/>
              <w:rPr>
                <w:color w:val="000000"/>
              </w:rPr>
            </w:pPr>
            <w:r>
              <w:rPr>
                <w:color w:val="000000"/>
              </w:rPr>
              <w:t>2025</w:t>
            </w:r>
          </w:p>
        </w:tc>
        <w:tc>
          <w:tcPr>
            <w:tcW w:w="760" w:type="dxa"/>
            <w:tcBorders>
              <w:bottom w:val="single" w:sz="12" w:space="0" w:color="000000"/>
            </w:tcBorders>
            <w:tcMar>
              <w:bottom w:w="28" w:type="dxa"/>
            </w:tcMar>
            <w:vAlign w:val="center"/>
          </w:tcPr>
          <w:p>
            <w:pPr>
              <w:pStyle w:val="TableContents"/>
              <w:bidi w:val="0"/>
              <w:spacing w:before="0" w:after="0"/>
              <w:jc w:val="right"/>
              <w:rPr/>
            </w:pPr>
            <w:r>
              <w:rPr/>
              <w:t>2024</w:t>
            </w:r>
          </w:p>
        </w:tc>
        <w:tc>
          <w:tcPr>
            <w:tcW w:w="760" w:type="dxa"/>
            <w:tcBorders>
              <w:bottom w:val="single" w:sz="12" w:space="0" w:color="000000"/>
            </w:tcBorders>
            <w:tcMar>
              <w:bottom w:w="28" w:type="dxa"/>
            </w:tcMar>
            <w:vAlign w:val="center"/>
          </w:tcPr>
          <w:p>
            <w:pPr>
              <w:pStyle w:val="TableContents"/>
              <w:bidi w:val="0"/>
              <w:spacing w:before="0" w:after="0"/>
              <w:jc w:val="right"/>
              <w:rPr/>
            </w:pPr>
            <w:r>
              <w:rPr/>
              <w:t>2023</w:t>
            </w:r>
          </w:p>
        </w:tc>
        <w:tc>
          <w:tcPr>
            <w:tcW w:w="789" w:type="dxa"/>
            <w:tcBorders>
              <w:bottom w:val="single" w:sz="12" w:space="0" w:color="000000"/>
            </w:tcBorders>
            <w:tcMar>
              <w:bottom w:w="28" w:type="dxa"/>
            </w:tcMar>
            <w:vAlign w:val="center"/>
          </w:tcPr>
          <w:p>
            <w:pPr>
              <w:pStyle w:val="TableContents"/>
              <w:bidi w:val="0"/>
              <w:spacing w:before="0" w:after="0"/>
              <w:jc w:val="right"/>
              <w:rPr/>
            </w:pPr>
            <w:r>
              <w:rPr/>
              <w:t>2022</w:t>
            </w:r>
          </w:p>
        </w:tc>
      </w:tr>
      <w:tr>
        <w:trPr/>
        <w:tc>
          <w:tcPr>
            <w:tcW w:w="3470" w:type="dxa"/>
            <w:tcBorders/>
            <w:vAlign w:val="center"/>
          </w:tcPr>
          <w:p>
            <w:pPr>
              <w:pStyle w:val="TableContents"/>
              <w:bidi w:val="0"/>
              <w:spacing w:before="0" w:after="283"/>
              <w:jc w:val="left"/>
              <w:rPr/>
            </w:pPr>
            <w:r>
              <w:rPr/>
              <w:t> </w:t>
            </w:r>
          </w:p>
        </w:tc>
        <w:tc>
          <w:tcPr>
            <w:tcW w:w="934" w:type="dxa"/>
            <w:tcBorders/>
            <w:vAlign w:val="center"/>
          </w:tcPr>
          <w:p>
            <w:pPr>
              <w:pStyle w:val="TableContents"/>
              <w:bidi w:val="0"/>
              <w:spacing w:before="0" w:after="283"/>
              <w:jc w:val="left"/>
              <w:rPr/>
            </w:pPr>
            <w:r>
              <w:rPr/>
              <w:t> </w:t>
            </w:r>
          </w:p>
        </w:tc>
        <w:tc>
          <w:tcPr>
            <w:tcW w:w="93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9" w:type="dxa"/>
            <w:tcBorders/>
            <w:vAlign w:val="center"/>
          </w:tcPr>
          <w:p>
            <w:pPr>
              <w:pStyle w:val="TableContents"/>
              <w:bidi w:val="0"/>
              <w:spacing w:before="0" w:after="283"/>
              <w:jc w:val="left"/>
              <w:rPr/>
            </w:pPr>
            <w:r>
              <w:rPr/>
              <w:t> </w:t>
            </w:r>
          </w:p>
        </w:tc>
        <w:tc>
          <w:tcPr>
            <w:tcW w:w="83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left"/>
              <w:rPr/>
            </w:pPr>
            <w:r>
              <w:rPr/>
              <w:t> </w:t>
            </w:r>
          </w:p>
        </w:tc>
        <w:tc>
          <w:tcPr>
            <w:tcW w:w="789" w:type="dxa"/>
            <w:tcBorders/>
            <w:vAlign w:val="center"/>
          </w:tcPr>
          <w:p>
            <w:pPr>
              <w:pStyle w:val="TableContents"/>
              <w:bidi w:val="0"/>
              <w:spacing w:before="0" w:after="283"/>
              <w:jc w:val="left"/>
              <w:rPr/>
            </w:pPr>
            <w:r>
              <w:rPr/>
              <w:t> </w:t>
            </w:r>
          </w:p>
        </w:tc>
      </w:tr>
      <w:tr>
        <w:trPr/>
        <w:tc>
          <w:tcPr>
            <w:tcW w:w="3470" w:type="dxa"/>
            <w:tcBorders/>
            <w:shd w:fill="CCEEFF" w:val="clear"/>
            <w:vAlign w:val="center"/>
          </w:tcPr>
          <w:p>
            <w:pPr>
              <w:pStyle w:val="TableContents"/>
              <w:bidi w:val="0"/>
              <w:spacing w:before="0" w:after="0"/>
              <w:jc w:val="left"/>
              <w:rPr>
                <w:color w:val="000000"/>
              </w:rPr>
            </w:pPr>
            <w:r>
              <w:rPr>
                <w:color w:val="000000"/>
              </w:rPr>
              <w:t>Ownership days</w:t>
            </w:r>
          </w:p>
        </w:tc>
        <w:tc>
          <w:tcPr>
            <w:tcW w:w="934" w:type="dxa"/>
            <w:tcBorders/>
            <w:shd w:fill="CCEEFF" w:val="clear"/>
            <w:vAlign w:val="center"/>
          </w:tcPr>
          <w:p>
            <w:pPr>
              <w:pStyle w:val="TableContents"/>
              <w:bidi w:val="0"/>
              <w:spacing w:before="0" w:after="0"/>
              <w:jc w:val="right"/>
              <w:rPr>
                <w:color w:val="000000"/>
              </w:rPr>
            </w:pPr>
            <w:r>
              <w:rPr>
                <w:color w:val="000000"/>
              </w:rPr>
              <w:t>6,461</w:t>
            </w:r>
          </w:p>
        </w:tc>
        <w:tc>
          <w:tcPr>
            <w:tcW w:w="934" w:type="dxa"/>
            <w:tcBorders/>
            <w:shd w:fill="CCEEFF" w:val="clear"/>
            <w:vAlign w:val="center"/>
          </w:tcPr>
          <w:p>
            <w:pPr>
              <w:pStyle w:val="TableContents"/>
              <w:bidi w:val="0"/>
              <w:spacing w:before="0" w:after="0"/>
              <w:jc w:val="right"/>
              <w:rPr>
                <w:color w:val="000000"/>
              </w:rPr>
            </w:pPr>
            <w:r>
              <w:rPr>
                <w:color w:val="000000"/>
              </w:rPr>
              <w:t>6,279</w:t>
            </w:r>
          </w:p>
        </w:tc>
        <w:tc>
          <w:tcPr>
            <w:tcW w:w="60" w:type="dxa"/>
            <w:tcBorders/>
            <w:shd w:fill="CCEEFF" w:val="clear"/>
            <w:vAlign w:val="center"/>
          </w:tcPr>
          <w:p>
            <w:pPr>
              <w:pStyle w:val="TableContents"/>
              <w:bidi w:val="0"/>
              <w:spacing w:before="0" w:after="283"/>
              <w:jc w:val="left"/>
              <w:rPr/>
            </w:pPr>
            <w:r>
              <w:rPr/>
              <w:t> </w:t>
            </w:r>
          </w:p>
        </w:tc>
        <w:tc>
          <w:tcPr>
            <w:tcW w:w="839" w:type="dxa"/>
            <w:tcBorders/>
            <w:shd w:fill="CCEEFF" w:val="clear"/>
            <w:vAlign w:val="center"/>
          </w:tcPr>
          <w:p>
            <w:pPr>
              <w:pStyle w:val="TableContents"/>
              <w:bidi w:val="0"/>
              <w:spacing w:before="0" w:after="0"/>
              <w:jc w:val="right"/>
              <w:rPr>
                <w:color w:val="000000"/>
              </w:rPr>
            </w:pPr>
            <w:r>
              <w:rPr>
                <w:color w:val="000000"/>
              </w:rPr>
              <w:t>12,843</w:t>
            </w:r>
          </w:p>
        </w:tc>
        <w:tc>
          <w:tcPr>
            <w:tcW w:w="839" w:type="dxa"/>
            <w:tcBorders/>
            <w:shd w:fill="CCEEFF" w:val="clear"/>
            <w:vAlign w:val="center"/>
          </w:tcPr>
          <w:p>
            <w:pPr>
              <w:pStyle w:val="TableContents"/>
              <w:bidi w:val="0"/>
              <w:spacing w:before="0" w:after="0"/>
              <w:jc w:val="right"/>
              <w:rPr>
                <w:color w:val="000000"/>
              </w:rPr>
            </w:pPr>
            <w:r>
              <w:rPr>
                <w:color w:val="000000"/>
              </w:rPr>
              <w:t>12,683</w:t>
            </w:r>
          </w:p>
        </w:tc>
        <w:tc>
          <w:tcPr>
            <w:tcW w:w="60" w:type="dxa"/>
            <w:tcBorders/>
            <w:shd w:fill="CCEEFF" w:val="clear"/>
            <w:vAlign w:val="center"/>
          </w:tcPr>
          <w:p>
            <w:pPr>
              <w:pStyle w:val="TableContents"/>
              <w:bidi w:val="0"/>
              <w:spacing w:before="0" w:after="283"/>
              <w:jc w:val="left"/>
              <w:rPr/>
            </w:pPr>
            <w:r>
              <w:rPr/>
              <w:t> </w:t>
            </w:r>
          </w:p>
        </w:tc>
        <w:tc>
          <w:tcPr>
            <w:tcW w:w="760" w:type="dxa"/>
            <w:tcBorders/>
            <w:shd w:fill="CCEEFF" w:val="clear"/>
            <w:vAlign w:val="center"/>
          </w:tcPr>
          <w:p>
            <w:pPr>
              <w:pStyle w:val="TableContents"/>
              <w:bidi w:val="0"/>
              <w:spacing w:before="0" w:after="0"/>
              <w:jc w:val="right"/>
              <w:rPr>
                <w:color w:val="000000"/>
              </w:rPr>
            </w:pPr>
            <w:r>
              <w:rPr>
                <w:color w:val="000000"/>
              </w:rPr>
              <w:t>25,323</w:t>
            </w:r>
          </w:p>
        </w:tc>
        <w:tc>
          <w:tcPr>
            <w:tcW w:w="760" w:type="dxa"/>
            <w:tcBorders/>
            <w:shd w:fill="CCEEFF" w:val="clear"/>
            <w:vAlign w:val="center"/>
          </w:tcPr>
          <w:p>
            <w:pPr>
              <w:pStyle w:val="TableContents"/>
              <w:bidi w:val="0"/>
              <w:spacing w:before="0" w:after="0"/>
              <w:jc w:val="right"/>
              <w:rPr>
                <w:color w:val="000000"/>
              </w:rPr>
            </w:pPr>
            <w:r>
              <w:rPr>
                <w:color w:val="000000"/>
              </w:rPr>
              <w:t>24,937</w:t>
            </w:r>
          </w:p>
        </w:tc>
        <w:tc>
          <w:tcPr>
            <w:tcW w:w="760" w:type="dxa"/>
            <w:tcBorders/>
            <w:shd w:fill="CCEEFF" w:val="clear"/>
            <w:vAlign w:val="center"/>
          </w:tcPr>
          <w:p>
            <w:pPr>
              <w:pStyle w:val="TableContents"/>
              <w:bidi w:val="0"/>
              <w:spacing w:before="0" w:after="0"/>
              <w:jc w:val="right"/>
              <w:rPr>
                <w:color w:val="000000"/>
              </w:rPr>
            </w:pPr>
            <w:r>
              <w:rPr>
                <w:color w:val="000000"/>
              </w:rPr>
              <w:t>24,285</w:t>
            </w:r>
          </w:p>
        </w:tc>
        <w:tc>
          <w:tcPr>
            <w:tcW w:w="789" w:type="dxa"/>
            <w:tcBorders/>
            <w:shd w:fill="CCEEFF" w:val="clear"/>
            <w:vAlign w:val="center"/>
          </w:tcPr>
          <w:p>
            <w:pPr>
              <w:pStyle w:val="TableContents"/>
              <w:bidi w:val="0"/>
              <w:spacing w:before="0" w:after="0"/>
              <w:jc w:val="right"/>
              <w:rPr>
                <w:color w:val="000000"/>
              </w:rPr>
            </w:pPr>
            <w:r>
              <w:rPr>
                <w:color w:val="000000"/>
              </w:rPr>
              <w:t>23,725</w:t>
            </w:r>
          </w:p>
        </w:tc>
      </w:tr>
      <w:tr>
        <w:trPr/>
        <w:tc>
          <w:tcPr>
            <w:tcW w:w="3470" w:type="dxa"/>
            <w:tcBorders/>
            <w:vAlign w:val="center"/>
          </w:tcPr>
          <w:p>
            <w:pPr>
              <w:pStyle w:val="TableContents"/>
              <w:bidi w:val="0"/>
              <w:spacing w:before="0" w:after="0"/>
              <w:jc w:val="left"/>
              <w:rPr>
                <w:color w:val="000000"/>
              </w:rPr>
            </w:pPr>
            <w:r>
              <w:rPr>
                <w:color w:val="000000"/>
              </w:rPr>
              <w:t>Planned offhire - scheduled drydock</w:t>
            </w:r>
          </w:p>
        </w:tc>
        <w:tc>
          <w:tcPr>
            <w:tcW w:w="934" w:type="dxa"/>
            <w:tcBorders/>
            <w:vAlign w:val="center"/>
          </w:tcPr>
          <w:p>
            <w:pPr>
              <w:pStyle w:val="TableContents"/>
              <w:bidi w:val="0"/>
              <w:spacing w:before="0" w:after="0"/>
              <w:jc w:val="right"/>
              <w:rPr>
                <w:color w:val="000000"/>
              </w:rPr>
            </w:pPr>
            <w:r>
              <w:rPr>
                <w:color w:val="000000"/>
              </w:rPr>
              <w:t>(181)</w:t>
            </w:r>
          </w:p>
        </w:tc>
        <w:tc>
          <w:tcPr>
            <w:tcW w:w="934" w:type="dxa"/>
            <w:tcBorders/>
            <w:vAlign w:val="center"/>
          </w:tcPr>
          <w:p>
            <w:pPr>
              <w:pStyle w:val="TableContents"/>
              <w:bidi w:val="0"/>
              <w:spacing w:before="0" w:after="0"/>
              <w:jc w:val="right"/>
              <w:rPr>
                <w:color w:val="000000"/>
              </w:rPr>
            </w:pPr>
            <w:r>
              <w:rPr>
                <w:color w:val="000000"/>
              </w:rPr>
              <w:t>(145)</w:t>
            </w:r>
          </w:p>
        </w:tc>
        <w:tc>
          <w:tcPr>
            <w:tcW w:w="60" w:type="dxa"/>
            <w:tcBorders/>
            <w:vAlign w:val="center"/>
          </w:tcPr>
          <w:p>
            <w:pPr>
              <w:pStyle w:val="TableContents"/>
              <w:bidi w:val="0"/>
              <w:spacing w:before="0" w:after="283"/>
              <w:jc w:val="left"/>
              <w:rPr/>
            </w:pPr>
            <w:r>
              <w:rPr/>
              <w:t> </w:t>
            </w:r>
          </w:p>
        </w:tc>
        <w:tc>
          <w:tcPr>
            <w:tcW w:w="839" w:type="dxa"/>
            <w:tcBorders/>
            <w:vAlign w:val="center"/>
          </w:tcPr>
          <w:p>
            <w:pPr>
              <w:pStyle w:val="TableContents"/>
              <w:bidi w:val="0"/>
              <w:spacing w:before="0" w:after="0"/>
              <w:jc w:val="right"/>
              <w:rPr>
                <w:color w:val="000000"/>
              </w:rPr>
            </w:pPr>
            <w:r>
              <w:rPr>
                <w:color w:val="000000"/>
              </w:rPr>
              <w:t>(265)</w:t>
            </w:r>
          </w:p>
        </w:tc>
        <w:tc>
          <w:tcPr>
            <w:tcW w:w="839" w:type="dxa"/>
            <w:tcBorders/>
            <w:vAlign w:val="center"/>
          </w:tcPr>
          <w:p>
            <w:pPr>
              <w:pStyle w:val="TableContents"/>
              <w:bidi w:val="0"/>
              <w:spacing w:before="0" w:after="0"/>
              <w:jc w:val="right"/>
              <w:rPr>
                <w:color w:val="000000"/>
              </w:rPr>
            </w:pPr>
            <w:r>
              <w:rPr>
                <w:color w:val="000000"/>
              </w:rPr>
              <w:t>(475)</w:t>
            </w:r>
          </w:p>
        </w:tc>
        <w:tc>
          <w:tcPr>
            <w:tcW w:w="60"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0"/>
              <w:jc w:val="right"/>
              <w:rPr>
                <w:color w:val="000000"/>
              </w:rPr>
            </w:pPr>
            <w:r>
              <w:rPr>
                <w:color w:val="000000"/>
              </w:rPr>
              <w:t>(816)</w:t>
            </w:r>
          </w:p>
        </w:tc>
        <w:tc>
          <w:tcPr>
            <w:tcW w:w="760" w:type="dxa"/>
            <w:tcBorders/>
            <w:vAlign w:val="center"/>
          </w:tcPr>
          <w:p>
            <w:pPr>
              <w:pStyle w:val="TableContents"/>
              <w:bidi w:val="0"/>
              <w:spacing w:before="0" w:after="0"/>
              <w:jc w:val="right"/>
              <w:rPr>
                <w:color w:val="000000"/>
              </w:rPr>
            </w:pPr>
            <w:r>
              <w:rPr>
                <w:color w:val="000000"/>
              </w:rPr>
              <w:t>(807)</w:t>
            </w:r>
          </w:p>
        </w:tc>
        <w:tc>
          <w:tcPr>
            <w:tcW w:w="760" w:type="dxa"/>
            <w:tcBorders/>
            <w:vAlign w:val="center"/>
          </w:tcPr>
          <w:p>
            <w:pPr>
              <w:pStyle w:val="TableContents"/>
              <w:bidi w:val="0"/>
              <w:spacing w:before="0" w:after="0"/>
              <w:jc w:val="right"/>
              <w:rPr>
                <w:color w:val="000000"/>
              </w:rPr>
            </w:pPr>
            <w:r>
              <w:rPr>
                <w:color w:val="000000"/>
              </w:rPr>
              <w:t>(701)</w:t>
            </w:r>
          </w:p>
        </w:tc>
        <w:tc>
          <w:tcPr>
            <w:tcW w:w="789" w:type="dxa"/>
            <w:tcBorders/>
            <w:vAlign w:val="center"/>
          </w:tcPr>
          <w:p>
            <w:pPr>
              <w:pStyle w:val="TableContents"/>
              <w:bidi w:val="0"/>
              <w:spacing w:before="0" w:after="0"/>
              <w:jc w:val="right"/>
              <w:rPr>
                <w:color w:val="000000"/>
              </w:rPr>
            </w:pPr>
            <w:r>
              <w:rPr>
                <w:color w:val="000000"/>
              </w:rPr>
              <w:t>(581)</w:t>
            </w:r>
          </w:p>
        </w:tc>
      </w:tr>
      <w:tr>
        <w:trPr/>
        <w:tc>
          <w:tcPr>
            <w:tcW w:w="3470" w:type="dxa"/>
            <w:tcBorders/>
            <w:shd w:fill="CCEEFF" w:val="clear"/>
            <w:vAlign w:val="center"/>
          </w:tcPr>
          <w:p>
            <w:pPr>
              <w:pStyle w:val="TableContents"/>
              <w:bidi w:val="0"/>
              <w:spacing w:before="0" w:after="0"/>
              <w:jc w:val="left"/>
              <w:rPr>
                <w:color w:val="000000"/>
              </w:rPr>
            </w:pPr>
            <w:r>
              <w:rPr>
                <w:color w:val="000000"/>
              </w:rPr>
              <w:t>Unplanned offhire</w:t>
            </w:r>
          </w:p>
        </w:tc>
        <w:tc>
          <w:tcPr>
            <w:tcW w:w="934" w:type="dxa"/>
            <w:tcBorders/>
            <w:shd w:fill="CCEEFF" w:val="clear"/>
            <w:vAlign w:val="center"/>
          </w:tcPr>
          <w:p>
            <w:pPr>
              <w:pStyle w:val="TableContents"/>
              <w:bidi w:val="0"/>
              <w:spacing w:before="0" w:after="0"/>
              <w:jc w:val="right"/>
              <w:rPr>
                <w:color w:val="000000"/>
              </w:rPr>
            </w:pPr>
            <w:r>
              <w:rPr>
                <w:color w:val="000000"/>
              </w:rPr>
              <w:t>(29)</w:t>
            </w:r>
          </w:p>
        </w:tc>
        <w:tc>
          <w:tcPr>
            <w:tcW w:w="934" w:type="dxa"/>
            <w:tcBorders/>
            <w:shd w:fill="CCEEFF" w:val="clear"/>
            <w:vAlign w:val="center"/>
          </w:tcPr>
          <w:p>
            <w:pPr>
              <w:pStyle w:val="TableContents"/>
              <w:bidi w:val="0"/>
              <w:spacing w:before="0" w:after="0"/>
              <w:jc w:val="right"/>
              <w:rPr>
                <w:color w:val="000000"/>
              </w:rPr>
            </w:pPr>
            <w:r>
              <w:rPr>
                <w:color w:val="000000"/>
              </w:rPr>
              <w:t>(29)</w:t>
            </w:r>
          </w:p>
        </w:tc>
        <w:tc>
          <w:tcPr>
            <w:tcW w:w="60" w:type="dxa"/>
            <w:tcBorders/>
            <w:shd w:fill="CCEEFF" w:val="clear"/>
            <w:vAlign w:val="center"/>
          </w:tcPr>
          <w:p>
            <w:pPr>
              <w:pStyle w:val="TableContents"/>
              <w:bidi w:val="0"/>
              <w:spacing w:before="0" w:after="283"/>
              <w:jc w:val="left"/>
              <w:rPr/>
            </w:pPr>
            <w:r>
              <w:rPr/>
              <w:t> </w:t>
            </w:r>
          </w:p>
        </w:tc>
        <w:tc>
          <w:tcPr>
            <w:tcW w:w="839" w:type="dxa"/>
            <w:tcBorders/>
            <w:shd w:fill="CCEEFF" w:val="clear"/>
            <w:vAlign w:val="center"/>
          </w:tcPr>
          <w:p>
            <w:pPr>
              <w:pStyle w:val="TableContents"/>
              <w:bidi w:val="0"/>
              <w:spacing w:before="0" w:after="0"/>
              <w:jc w:val="right"/>
              <w:rPr>
                <w:color w:val="000000"/>
              </w:rPr>
            </w:pPr>
            <w:r>
              <w:rPr>
                <w:color w:val="000000"/>
              </w:rPr>
              <w:t>(63)</w:t>
            </w:r>
          </w:p>
        </w:tc>
        <w:tc>
          <w:tcPr>
            <w:tcW w:w="839" w:type="dxa"/>
            <w:tcBorders/>
            <w:shd w:fill="CCEEFF" w:val="clear"/>
            <w:vAlign w:val="center"/>
          </w:tcPr>
          <w:p>
            <w:pPr>
              <w:pStyle w:val="TableContents"/>
              <w:bidi w:val="0"/>
              <w:spacing w:before="0" w:after="0"/>
              <w:jc w:val="right"/>
              <w:rPr>
                <w:color w:val="000000"/>
              </w:rPr>
            </w:pPr>
            <w:r>
              <w:rPr>
                <w:color w:val="000000"/>
              </w:rPr>
              <w:t>(70)</w:t>
            </w:r>
          </w:p>
        </w:tc>
        <w:tc>
          <w:tcPr>
            <w:tcW w:w="60" w:type="dxa"/>
            <w:tcBorders/>
            <w:shd w:fill="CCEEFF" w:val="clear"/>
            <w:vAlign w:val="center"/>
          </w:tcPr>
          <w:p>
            <w:pPr>
              <w:pStyle w:val="TableContents"/>
              <w:bidi w:val="0"/>
              <w:spacing w:before="0" w:after="283"/>
              <w:jc w:val="left"/>
              <w:rPr/>
            </w:pPr>
            <w:r>
              <w:rPr/>
              <w:t> </w:t>
            </w:r>
          </w:p>
        </w:tc>
        <w:tc>
          <w:tcPr>
            <w:tcW w:w="760" w:type="dxa"/>
            <w:tcBorders/>
            <w:shd w:fill="CCEEFF" w:val="clear"/>
            <w:vAlign w:val="center"/>
          </w:tcPr>
          <w:p>
            <w:pPr>
              <w:pStyle w:val="TableContents"/>
              <w:bidi w:val="0"/>
              <w:spacing w:before="0" w:after="0"/>
              <w:jc w:val="right"/>
              <w:rPr>
                <w:color w:val="000000"/>
              </w:rPr>
            </w:pPr>
            <w:r>
              <w:rPr>
                <w:color w:val="000000"/>
              </w:rPr>
              <w:t>(262)</w:t>
            </w:r>
          </w:p>
        </w:tc>
        <w:tc>
          <w:tcPr>
            <w:tcW w:w="760" w:type="dxa"/>
            <w:tcBorders/>
            <w:shd w:fill="CCEEFF" w:val="clear"/>
            <w:vAlign w:val="center"/>
          </w:tcPr>
          <w:p>
            <w:pPr>
              <w:pStyle w:val="TableContents"/>
              <w:bidi w:val="0"/>
              <w:spacing w:before="0" w:after="0"/>
              <w:jc w:val="right"/>
              <w:rPr>
                <w:color w:val="000000"/>
              </w:rPr>
            </w:pPr>
            <w:r>
              <w:rPr>
                <w:color w:val="000000"/>
              </w:rPr>
              <w:t>(144)</w:t>
            </w:r>
          </w:p>
        </w:tc>
        <w:tc>
          <w:tcPr>
            <w:tcW w:w="760" w:type="dxa"/>
            <w:tcBorders/>
            <w:shd w:fill="CCEEFF" w:val="clear"/>
            <w:vAlign w:val="center"/>
          </w:tcPr>
          <w:p>
            <w:pPr>
              <w:pStyle w:val="TableContents"/>
              <w:bidi w:val="0"/>
              <w:spacing w:before="0" w:after="0"/>
              <w:jc w:val="right"/>
              <w:rPr>
                <w:color w:val="000000"/>
              </w:rPr>
            </w:pPr>
            <w:r>
              <w:rPr>
                <w:color w:val="000000"/>
              </w:rPr>
              <w:t>(233)</w:t>
            </w:r>
          </w:p>
        </w:tc>
        <w:tc>
          <w:tcPr>
            <w:tcW w:w="789" w:type="dxa"/>
            <w:tcBorders/>
            <w:shd w:fill="CCEEFF" w:val="clear"/>
            <w:vAlign w:val="center"/>
          </w:tcPr>
          <w:p>
            <w:pPr>
              <w:pStyle w:val="TableContents"/>
              <w:bidi w:val="0"/>
              <w:spacing w:before="0" w:after="0"/>
              <w:jc w:val="right"/>
              <w:rPr>
                <w:color w:val="000000"/>
              </w:rPr>
            </w:pPr>
            <w:r>
              <w:rPr>
                <w:color w:val="000000"/>
              </w:rPr>
              <w:t>(460)</w:t>
            </w:r>
          </w:p>
        </w:tc>
      </w:tr>
      <w:tr>
        <w:trPr/>
        <w:tc>
          <w:tcPr>
            <w:tcW w:w="3470" w:type="dxa"/>
            <w:tcBorders/>
            <w:vAlign w:val="center"/>
          </w:tcPr>
          <w:p>
            <w:pPr>
              <w:pStyle w:val="TableContents"/>
              <w:bidi w:val="0"/>
              <w:spacing w:before="0" w:after="0"/>
              <w:jc w:val="left"/>
              <w:rPr>
                <w:color w:val="000000"/>
              </w:rPr>
            </w:pPr>
            <w:r>
              <w:rPr>
                <w:color w:val="000000"/>
              </w:rPr>
              <w:t>Idle time</w:t>
            </w:r>
          </w:p>
        </w:tc>
        <w:tc>
          <w:tcPr>
            <w:tcW w:w="934" w:type="dxa"/>
            <w:tcBorders>
              <w:bottom w:val="single" w:sz="12" w:space="0" w:color="000000"/>
            </w:tcBorders>
            <w:tcMar>
              <w:bottom w:w="28" w:type="dxa"/>
            </w:tcMar>
            <w:vAlign w:val="center"/>
          </w:tcPr>
          <w:p>
            <w:pPr>
              <w:pStyle w:val="TableContents"/>
              <w:bidi w:val="0"/>
              <w:spacing w:before="0" w:after="0"/>
              <w:jc w:val="right"/>
              <w:rPr>
                <w:color w:val="000000"/>
              </w:rPr>
            </w:pPr>
            <w:r>
              <w:rPr>
                <w:color w:val="000000"/>
              </w:rPr>
              <w:t>-</w:t>
            </w:r>
          </w:p>
        </w:tc>
        <w:tc>
          <w:tcPr>
            <w:tcW w:w="934" w:type="dxa"/>
            <w:tcBorders>
              <w:bottom w:val="single" w:sz="12" w:space="0" w:color="000000"/>
            </w:tcBorders>
            <w:tcMar>
              <w:bottom w:w="28" w:type="dxa"/>
            </w:tcMar>
            <w:vAlign w:val="center"/>
          </w:tcPr>
          <w:p>
            <w:pPr>
              <w:pStyle w:val="TableContents"/>
              <w:bidi w:val="0"/>
              <w:spacing w:before="0" w:after="0"/>
              <w:jc w:val="right"/>
              <w:rPr>
                <w:color w:val="000000"/>
              </w:rPr>
            </w:pPr>
            <w:r>
              <w:rPr>
                <w:color w:val="000000"/>
              </w:rPr>
              <w:t>(8)</w:t>
            </w:r>
          </w:p>
        </w:tc>
        <w:tc>
          <w:tcPr>
            <w:tcW w:w="60" w:type="dxa"/>
            <w:tcBorders/>
            <w:vAlign w:val="center"/>
          </w:tcPr>
          <w:p>
            <w:pPr>
              <w:pStyle w:val="TableContents"/>
              <w:bidi w:val="0"/>
              <w:spacing w:before="0" w:after="283"/>
              <w:jc w:val="left"/>
              <w:rPr/>
            </w:pPr>
            <w:r>
              <w:rPr/>
              <w:t> </w:t>
            </w:r>
          </w:p>
        </w:tc>
        <w:tc>
          <w:tcPr>
            <w:tcW w:w="839" w:type="dxa"/>
            <w:tcBorders>
              <w:bottom w:val="single" w:sz="12" w:space="0" w:color="000000"/>
            </w:tcBorders>
            <w:tcMar>
              <w:bottom w:w="28" w:type="dxa"/>
            </w:tcMar>
            <w:vAlign w:val="center"/>
          </w:tcPr>
          <w:p>
            <w:pPr>
              <w:pStyle w:val="TableContents"/>
              <w:bidi w:val="0"/>
              <w:spacing w:before="0" w:after="0"/>
              <w:jc w:val="right"/>
              <w:rPr>
                <w:color w:val="000000"/>
              </w:rPr>
            </w:pPr>
            <w:r>
              <w:rPr>
                <w:color w:val="000000"/>
              </w:rPr>
              <w:t>-</w:t>
            </w:r>
          </w:p>
        </w:tc>
        <w:tc>
          <w:tcPr>
            <w:tcW w:w="839" w:type="dxa"/>
            <w:tcBorders>
              <w:bottom w:val="single" w:sz="12" w:space="0" w:color="000000"/>
            </w:tcBorders>
            <w:tcMar>
              <w:bottom w:w="28" w:type="dxa"/>
            </w:tcMar>
            <w:vAlign w:val="center"/>
          </w:tcPr>
          <w:p>
            <w:pPr>
              <w:pStyle w:val="TableContents"/>
              <w:bidi w:val="0"/>
              <w:spacing w:before="0" w:after="0"/>
              <w:jc w:val="right"/>
              <w:rPr>
                <w:color w:val="000000"/>
              </w:rPr>
            </w:pPr>
            <w:r>
              <w:rPr>
                <w:color w:val="000000"/>
              </w:rPr>
              <w:t>(43)</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760" w:type="dxa"/>
            <w:tcBorders>
              <w:bottom w:val="single" w:sz="12" w:space="0" w:color="000000"/>
            </w:tcBorders>
            <w:tcMar>
              <w:bottom w:w="28" w:type="dxa"/>
            </w:tcMar>
            <w:vAlign w:val="center"/>
          </w:tcPr>
          <w:p>
            <w:pPr>
              <w:pStyle w:val="TableContents"/>
              <w:bidi w:val="0"/>
              <w:spacing w:before="0" w:after="0"/>
              <w:jc w:val="right"/>
              <w:rPr>
                <w:color w:val="000000"/>
              </w:rPr>
            </w:pPr>
            <w:r>
              <w:rPr>
                <w:color w:val="000000"/>
              </w:rPr>
              <w:t>(47)</w:t>
            </w:r>
          </w:p>
        </w:tc>
        <w:tc>
          <w:tcPr>
            <w:tcW w:w="760" w:type="dxa"/>
            <w:tcBorders>
              <w:bottom w:val="single" w:sz="12" w:space="0" w:color="000000"/>
            </w:tcBorders>
            <w:tcMar>
              <w:bottom w:w="28" w:type="dxa"/>
            </w:tcMar>
            <w:vAlign w:val="center"/>
          </w:tcPr>
          <w:p>
            <w:pPr>
              <w:pStyle w:val="TableContents"/>
              <w:bidi w:val="0"/>
              <w:spacing w:before="0" w:after="0"/>
              <w:jc w:val="right"/>
              <w:rPr>
                <w:color w:val="000000"/>
              </w:rPr>
            </w:pPr>
            <w:r>
              <w:rPr>
                <w:color w:val="000000"/>
              </w:rPr>
              <w:t>(15)</w:t>
            </w:r>
          </w:p>
        </w:tc>
        <w:tc>
          <w:tcPr>
            <w:tcW w:w="760" w:type="dxa"/>
            <w:tcBorders>
              <w:bottom w:val="single" w:sz="12" w:space="0" w:color="000000"/>
            </w:tcBorders>
            <w:tcMar>
              <w:bottom w:w="28" w:type="dxa"/>
            </w:tcMar>
            <w:vAlign w:val="center"/>
          </w:tcPr>
          <w:p>
            <w:pPr>
              <w:pStyle w:val="TableContents"/>
              <w:bidi w:val="0"/>
              <w:spacing w:before="0" w:after="0"/>
              <w:jc w:val="right"/>
              <w:rPr>
                <w:color w:val="000000"/>
              </w:rPr>
            </w:pPr>
            <w:r>
              <w:rPr>
                <w:color w:val="000000"/>
              </w:rPr>
              <w:t>(62)</w:t>
            </w:r>
          </w:p>
        </w:tc>
        <w:tc>
          <w:tcPr>
            <w:tcW w:w="789" w:type="dxa"/>
            <w:tcBorders>
              <w:bottom w:val="single" w:sz="12" w:space="0" w:color="000000"/>
            </w:tcBorders>
            <w:tcMar>
              <w:bottom w:w="28" w:type="dxa"/>
            </w:tcMar>
            <w:vAlign w:val="center"/>
          </w:tcPr>
          <w:p>
            <w:pPr>
              <w:pStyle w:val="TableContents"/>
              <w:bidi w:val="0"/>
              <w:spacing w:before="0" w:after="0"/>
              <w:jc w:val="right"/>
              <w:rPr>
                <w:color w:val="000000"/>
              </w:rPr>
            </w:pPr>
            <w:r>
              <w:rPr>
                <w:color w:val="000000"/>
              </w:rPr>
              <w:t>(30)</w:t>
            </w:r>
          </w:p>
        </w:tc>
      </w:tr>
      <w:tr>
        <w:trPr/>
        <w:tc>
          <w:tcPr>
            <w:tcW w:w="3470" w:type="dxa"/>
            <w:tcBorders/>
            <w:shd w:fill="CCEEFF" w:val="clear"/>
            <w:vAlign w:val="center"/>
          </w:tcPr>
          <w:p>
            <w:pPr>
              <w:pStyle w:val="TableContents"/>
              <w:bidi w:val="0"/>
              <w:spacing w:before="0" w:after="0"/>
              <w:jc w:val="left"/>
              <w:rPr>
                <w:color w:val="000000"/>
              </w:rPr>
            </w:pPr>
            <w:r>
              <w:rPr>
                <w:color w:val="000000"/>
              </w:rPr>
              <w:t>Operating days</w:t>
            </w:r>
          </w:p>
        </w:tc>
        <w:tc>
          <w:tcPr>
            <w:tcW w:w="934" w:type="dxa"/>
            <w:tcBorders/>
            <w:shd w:fill="CCEEFF" w:val="clear"/>
            <w:vAlign w:val="center"/>
          </w:tcPr>
          <w:p>
            <w:pPr>
              <w:pStyle w:val="TableContents"/>
              <w:bidi w:val="0"/>
              <w:spacing w:before="0" w:after="0"/>
              <w:jc w:val="right"/>
              <w:rPr>
                <w:color w:val="000000"/>
              </w:rPr>
            </w:pPr>
            <w:r>
              <w:rPr>
                <w:color w:val="000000"/>
              </w:rPr>
              <w:t>6,251</w:t>
            </w:r>
          </w:p>
        </w:tc>
        <w:tc>
          <w:tcPr>
            <w:tcW w:w="934" w:type="dxa"/>
            <w:tcBorders/>
            <w:shd w:fill="CCEEFF" w:val="clear"/>
            <w:vAlign w:val="center"/>
          </w:tcPr>
          <w:p>
            <w:pPr>
              <w:pStyle w:val="TableContents"/>
              <w:bidi w:val="0"/>
              <w:spacing w:before="0" w:after="0"/>
              <w:jc w:val="right"/>
              <w:rPr>
                <w:color w:val="000000"/>
              </w:rPr>
            </w:pPr>
            <w:r>
              <w:rPr>
                <w:color w:val="000000"/>
              </w:rPr>
              <w:t>6,097</w:t>
            </w:r>
          </w:p>
        </w:tc>
        <w:tc>
          <w:tcPr>
            <w:tcW w:w="60" w:type="dxa"/>
            <w:tcBorders/>
            <w:shd w:fill="CCEEFF" w:val="clear"/>
            <w:vAlign w:val="center"/>
          </w:tcPr>
          <w:p>
            <w:pPr>
              <w:pStyle w:val="TableContents"/>
              <w:bidi w:val="0"/>
              <w:spacing w:before="0" w:after="283"/>
              <w:jc w:val="left"/>
              <w:rPr/>
            </w:pPr>
            <w:r>
              <w:rPr/>
              <w:t> </w:t>
            </w:r>
          </w:p>
        </w:tc>
        <w:tc>
          <w:tcPr>
            <w:tcW w:w="839" w:type="dxa"/>
            <w:tcBorders/>
            <w:shd w:fill="CCEEFF" w:val="clear"/>
            <w:vAlign w:val="center"/>
          </w:tcPr>
          <w:p>
            <w:pPr>
              <w:pStyle w:val="TableContents"/>
              <w:bidi w:val="0"/>
              <w:spacing w:before="0" w:after="0"/>
              <w:jc w:val="right"/>
              <w:rPr>
                <w:color w:val="000000"/>
              </w:rPr>
            </w:pPr>
            <w:r>
              <w:rPr>
                <w:color w:val="000000"/>
              </w:rPr>
              <w:t>12,515</w:t>
            </w:r>
          </w:p>
        </w:tc>
        <w:tc>
          <w:tcPr>
            <w:tcW w:w="839" w:type="dxa"/>
            <w:tcBorders/>
            <w:shd w:fill="CCEEFF" w:val="clear"/>
            <w:vAlign w:val="center"/>
          </w:tcPr>
          <w:p>
            <w:pPr>
              <w:pStyle w:val="TableContents"/>
              <w:bidi w:val="0"/>
              <w:spacing w:before="0" w:after="0"/>
              <w:jc w:val="right"/>
              <w:rPr>
                <w:color w:val="000000"/>
              </w:rPr>
            </w:pPr>
            <w:r>
              <w:rPr>
                <w:color w:val="000000"/>
              </w:rPr>
              <w:t>12,095</w:t>
            </w:r>
          </w:p>
        </w:tc>
        <w:tc>
          <w:tcPr>
            <w:tcW w:w="60" w:type="dxa"/>
            <w:tcBorders/>
            <w:shd w:fill="CCEEFF" w:val="clear"/>
            <w:vAlign w:val="center"/>
          </w:tcPr>
          <w:p>
            <w:pPr>
              <w:pStyle w:val="TableContents"/>
              <w:bidi w:val="0"/>
              <w:spacing w:before="0" w:after="283"/>
              <w:jc w:val="left"/>
              <w:rPr/>
            </w:pPr>
            <w:r>
              <w:rPr/>
              <w:t> </w:t>
            </w:r>
          </w:p>
        </w:tc>
        <w:tc>
          <w:tcPr>
            <w:tcW w:w="760" w:type="dxa"/>
            <w:tcBorders/>
            <w:shd w:fill="CCEEFF" w:val="clear"/>
            <w:vAlign w:val="center"/>
          </w:tcPr>
          <w:p>
            <w:pPr>
              <w:pStyle w:val="TableContents"/>
              <w:bidi w:val="0"/>
              <w:spacing w:before="0" w:after="0"/>
              <w:jc w:val="right"/>
              <w:rPr>
                <w:color w:val="000000"/>
              </w:rPr>
            </w:pPr>
            <w:r>
              <w:rPr>
                <w:color w:val="000000"/>
              </w:rPr>
              <w:t>24,198</w:t>
            </w:r>
          </w:p>
        </w:tc>
        <w:tc>
          <w:tcPr>
            <w:tcW w:w="760" w:type="dxa"/>
            <w:tcBorders/>
            <w:shd w:fill="CCEEFF" w:val="clear"/>
            <w:vAlign w:val="center"/>
          </w:tcPr>
          <w:p>
            <w:pPr>
              <w:pStyle w:val="TableContents"/>
              <w:bidi w:val="0"/>
              <w:spacing w:before="0" w:after="0"/>
              <w:jc w:val="right"/>
              <w:rPr>
                <w:color w:val="000000"/>
              </w:rPr>
            </w:pPr>
            <w:r>
              <w:rPr>
                <w:color w:val="000000"/>
              </w:rPr>
              <w:t>23,971</w:t>
            </w:r>
          </w:p>
        </w:tc>
        <w:tc>
          <w:tcPr>
            <w:tcW w:w="760" w:type="dxa"/>
            <w:tcBorders/>
            <w:shd w:fill="CCEEFF" w:val="clear"/>
            <w:vAlign w:val="center"/>
          </w:tcPr>
          <w:p>
            <w:pPr>
              <w:pStyle w:val="TableContents"/>
              <w:bidi w:val="0"/>
              <w:spacing w:before="0" w:after="0"/>
              <w:jc w:val="right"/>
              <w:rPr>
                <w:color w:val="000000"/>
              </w:rPr>
            </w:pPr>
            <w:r>
              <w:rPr>
                <w:color w:val="000000"/>
              </w:rPr>
              <w:t>23,289</w:t>
            </w:r>
          </w:p>
        </w:tc>
        <w:tc>
          <w:tcPr>
            <w:tcW w:w="789" w:type="dxa"/>
            <w:tcBorders/>
            <w:shd w:fill="CCEEFF" w:val="clear"/>
            <w:vAlign w:val="center"/>
          </w:tcPr>
          <w:p>
            <w:pPr>
              <w:pStyle w:val="TableContents"/>
              <w:bidi w:val="0"/>
              <w:spacing w:before="0" w:after="0"/>
              <w:jc w:val="right"/>
              <w:rPr>
                <w:color w:val="000000"/>
              </w:rPr>
            </w:pPr>
            <w:r>
              <w:rPr>
                <w:color w:val="000000"/>
              </w:rPr>
              <w:t>22,654</w:t>
            </w:r>
          </w:p>
        </w:tc>
      </w:tr>
      <w:tr>
        <w:trPr/>
        <w:tc>
          <w:tcPr>
            <w:tcW w:w="3470" w:type="dxa"/>
            <w:tcBorders/>
            <w:vAlign w:val="center"/>
          </w:tcPr>
          <w:p>
            <w:pPr>
              <w:pStyle w:val="TableContents"/>
              <w:bidi w:val="0"/>
              <w:spacing w:before="0" w:after="283"/>
              <w:jc w:val="left"/>
              <w:rPr/>
            </w:pPr>
            <w:r>
              <w:rPr/>
              <w:t> </w:t>
            </w:r>
          </w:p>
        </w:tc>
        <w:tc>
          <w:tcPr>
            <w:tcW w:w="934" w:type="dxa"/>
            <w:tcBorders/>
            <w:vAlign w:val="center"/>
          </w:tcPr>
          <w:p>
            <w:pPr>
              <w:pStyle w:val="TableContents"/>
              <w:bidi w:val="0"/>
              <w:spacing w:before="0" w:after="283"/>
              <w:jc w:val="left"/>
              <w:rPr/>
            </w:pPr>
            <w:r>
              <w:rPr/>
              <w:t> </w:t>
            </w:r>
          </w:p>
        </w:tc>
        <w:tc>
          <w:tcPr>
            <w:tcW w:w="93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9" w:type="dxa"/>
            <w:tcBorders/>
            <w:vAlign w:val="center"/>
          </w:tcPr>
          <w:p>
            <w:pPr>
              <w:pStyle w:val="TableContents"/>
              <w:bidi w:val="0"/>
              <w:spacing w:before="0" w:after="283"/>
              <w:jc w:val="left"/>
              <w:rPr/>
            </w:pPr>
            <w:r>
              <w:rPr/>
              <w:t> </w:t>
            </w:r>
          </w:p>
        </w:tc>
        <w:tc>
          <w:tcPr>
            <w:tcW w:w="83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left"/>
              <w:rPr/>
            </w:pPr>
            <w:r>
              <w:rPr/>
              <w:t> </w:t>
            </w:r>
          </w:p>
        </w:tc>
        <w:tc>
          <w:tcPr>
            <w:tcW w:w="789" w:type="dxa"/>
            <w:tcBorders/>
            <w:vAlign w:val="center"/>
          </w:tcPr>
          <w:p>
            <w:pPr>
              <w:pStyle w:val="TableContents"/>
              <w:bidi w:val="0"/>
              <w:spacing w:before="0" w:after="283"/>
              <w:jc w:val="left"/>
              <w:rPr/>
            </w:pPr>
            <w:r>
              <w:rPr/>
              <w:t> </w:t>
            </w:r>
          </w:p>
        </w:tc>
      </w:tr>
      <w:tr>
        <w:trPr/>
        <w:tc>
          <w:tcPr>
            <w:tcW w:w="3470" w:type="dxa"/>
            <w:tcBorders/>
            <w:shd w:fill="CCEEFF" w:val="clear"/>
            <w:vAlign w:val="center"/>
          </w:tcPr>
          <w:p>
            <w:pPr>
              <w:pStyle w:val="TableContents"/>
              <w:bidi w:val="0"/>
              <w:spacing w:before="0" w:after="0"/>
              <w:jc w:val="left"/>
              <w:rPr>
                <w:color w:val="000000"/>
              </w:rPr>
            </w:pPr>
            <w:r>
              <w:rPr>
                <w:color w:val="000000"/>
              </w:rPr>
              <w:t>Utilization</w:t>
            </w:r>
          </w:p>
        </w:tc>
        <w:tc>
          <w:tcPr>
            <w:tcW w:w="934" w:type="dxa"/>
            <w:tcBorders/>
            <w:shd w:fill="CCEEFF" w:val="clear"/>
            <w:vAlign w:val="center"/>
          </w:tcPr>
          <w:p>
            <w:pPr>
              <w:pStyle w:val="TableContents"/>
              <w:bidi w:val="0"/>
              <w:spacing w:before="0" w:after="0"/>
              <w:jc w:val="right"/>
              <w:rPr>
                <w:color w:val="000000"/>
              </w:rPr>
            </w:pPr>
            <w:r>
              <w:rPr>
                <w:color w:val="000000"/>
              </w:rPr>
              <w:t>96.7%</w:t>
            </w:r>
          </w:p>
        </w:tc>
        <w:tc>
          <w:tcPr>
            <w:tcW w:w="934" w:type="dxa"/>
            <w:tcBorders/>
            <w:shd w:fill="CCEEFF" w:val="clear"/>
            <w:vAlign w:val="center"/>
          </w:tcPr>
          <w:p>
            <w:pPr>
              <w:pStyle w:val="TableContents"/>
              <w:bidi w:val="0"/>
              <w:spacing w:before="0" w:after="0"/>
              <w:jc w:val="right"/>
              <w:rPr>
                <w:color w:val="000000"/>
              </w:rPr>
            </w:pPr>
            <w:r>
              <w:rPr>
                <w:color w:val="000000"/>
              </w:rPr>
              <w:t>97.1%</w:t>
            </w:r>
          </w:p>
        </w:tc>
        <w:tc>
          <w:tcPr>
            <w:tcW w:w="60" w:type="dxa"/>
            <w:tcBorders/>
            <w:shd w:fill="CCEEFF" w:val="clear"/>
            <w:vAlign w:val="center"/>
          </w:tcPr>
          <w:p>
            <w:pPr>
              <w:pStyle w:val="TableContents"/>
              <w:bidi w:val="0"/>
              <w:spacing w:before="0" w:after="283"/>
              <w:jc w:val="left"/>
              <w:rPr/>
            </w:pPr>
            <w:r>
              <w:rPr/>
              <w:t> </w:t>
            </w:r>
          </w:p>
        </w:tc>
        <w:tc>
          <w:tcPr>
            <w:tcW w:w="839" w:type="dxa"/>
            <w:tcBorders/>
            <w:shd w:fill="CCEEFF" w:val="clear"/>
            <w:vAlign w:val="center"/>
          </w:tcPr>
          <w:p>
            <w:pPr>
              <w:pStyle w:val="TableContents"/>
              <w:bidi w:val="0"/>
              <w:spacing w:before="0" w:after="0"/>
              <w:jc w:val="right"/>
              <w:rPr>
                <w:color w:val="000000"/>
              </w:rPr>
            </w:pPr>
            <w:r>
              <w:rPr>
                <w:color w:val="000000"/>
              </w:rPr>
              <w:t>97.4%</w:t>
            </w:r>
          </w:p>
        </w:tc>
        <w:tc>
          <w:tcPr>
            <w:tcW w:w="839" w:type="dxa"/>
            <w:tcBorders/>
            <w:shd w:fill="CCEEFF" w:val="clear"/>
            <w:vAlign w:val="center"/>
          </w:tcPr>
          <w:p>
            <w:pPr>
              <w:pStyle w:val="TableContents"/>
              <w:bidi w:val="0"/>
              <w:spacing w:before="0" w:after="0"/>
              <w:jc w:val="right"/>
              <w:rPr>
                <w:color w:val="000000"/>
              </w:rPr>
            </w:pPr>
            <w:r>
              <w:rPr>
                <w:color w:val="000000"/>
              </w:rPr>
              <w:t>95.4%</w:t>
            </w:r>
          </w:p>
        </w:tc>
        <w:tc>
          <w:tcPr>
            <w:tcW w:w="60" w:type="dxa"/>
            <w:tcBorders/>
            <w:shd w:fill="CCEEFF" w:val="clear"/>
            <w:vAlign w:val="center"/>
          </w:tcPr>
          <w:p>
            <w:pPr>
              <w:pStyle w:val="TableContents"/>
              <w:bidi w:val="0"/>
              <w:spacing w:before="0" w:after="283"/>
              <w:jc w:val="left"/>
              <w:rPr/>
            </w:pPr>
            <w:r>
              <w:rPr/>
              <w:t> </w:t>
            </w:r>
          </w:p>
        </w:tc>
        <w:tc>
          <w:tcPr>
            <w:tcW w:w="760" w:type="dxa"/>
            <w:tcBorders/>
            <w:shd w:fill="CCEEFF" w:val="clear"/>
            <w:vAlign w:val="center"/>
          </w:tcPr>
          <w:p>
            <w:pPr>
              <w:pStyle w:val="TableContents"/>
              <w:bidi w:val="0"/>
              <w:spacing w:before="0" w:after="0"/>
              <w:jc w:val="right"/>
              <w:rPr>
                <w:color w:val="000000"/>
              </w:rPr>
            </w:pPr>
            <w:r>
              <w:rPr>
                <w:color w:val="000000"/>
              </w:rPr>
              <w:t>95.6%</w:t>
            </w:r>
          </w:p>
        </w:tc>
        <w:tc>
          <w:tcPr>
            <w:tcW w:w="760" w:type="dxa"/>
            <w:tcBorders/>
            <w:shd w:fill="CCEEFF" w:val="clear"/>
            <w:vAlign w:val="center"/>
          </w:tcPr>
          <w:p>
            <w:pPr>
              <w:pStyle w:val="TableContents"/>
              <w:bidi w:val="0"/>
              <w:spacing w:before="0" w:after="0"/>
              <w:jc w:val="right"/>
              <w:rPr>
                <w:color w:val="000000"/>
              </w:rPr>
            </w:pPr>
            <w:r>
              <w:rPr>
                <w:color w:val="000000"/>
              </w:rPr>
              <w:t>96.1%</w:t>
            </w:r>
          </w:p>
        </w:tc>
        <w:tc>
          <w:tcPr>
            <w:tcW w:w="760" w:type="dxa"/>
            <w:tcBorders/>
            <w:shd w:fill="CCEEFF" w:val="clear"/>
            <w:vAlign w:val="center"/>
          </w:tcPr>
          <w:p>
            <w:pPr>
              <w:pStyle w:val="TableContents"/>
              <w:bidi w:val="0"/>
              <w:spacing w:before="0" w:after="0"/>
              <w:jc w:val="right"/>
              <w:rPr>
                <w:color w:val="000000"/>
              </w:rPr>
            </w:pPr>
            <w:r>
              <w:rPr>
                <w:color w:val="000000"/>
              </w:rPr>
              <w:t>95.9%</w:t>
            </w:r>
          </w:p>
        </w:tc>
        <w:tc>
          <w:tcPr>
            <w:tcW w:w="789" w:type="dxa"/>
            <w:tcBorders/>
            <w:shd w:fill="CCEEFF" w:val="clear"/>
            <w:vAlign w:val="center"/>
          </w:tcPr>
          <w:p>
            <w:pPr>
              <w:pStyle w:val="TableContents"/>
              <w:bidi w:val="0"/>
              <w:spacing w:before="0" w:after="0"/>
              <w:jc w:val="right"/>
              <w:rPr>
                <w:color w:val="000000"/>
              </w:rPr>
            </w:pPr>
            <w:r>
              <w:rPr>
                <w:color w:val="000000"/>
              </w:rPr>
              <w:t>95.5%</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During the six-month period ended in June 30, 2026, we completed four drydockings. As of June 30, 2026, one regulatory drydocking was in progress and 11 further regulatory drydockings are anticipated in 2026.</w:t>
      </w:r>
    </w:p>
    <w:p>
      <w:pPr>
        <w:pStyle w:val="TextBody"/>
        <w:bidi w:val="0"/>
        <w:spacing w:before="0" w:after="0"/>
        <w:jc w:val="left"/>
        <w:rPr/>
      </w:pPr>
      <w:r>
        <w:rPr/>
      </w:r>
    </w:p>
    <w:p>
      <w:pPr>
        <w:pStyle w:val="TextBody"/>
        <w:bidi w:val="0"/>
        <w:spacing w:before="0" w:after="0"/>
        <w:jc w:val="both"/>
        <w:rPr>
          <w:rFonts w:ascii="Times New Roman" w:hAnsi="Times New Roman"/>
          <w:i/>
          <w:color w:val="000000"/>
          <w:sz w:val="20"/>
        </w:rPr>
      </w:pPr>
      <w:r>
        <w:rPr>
          <w:rFonts w:ascii="Times New Roman" w:hAnsi="Times New Roman"/>
          <w:i/>
          <w:color w:val="000000"/>
          <w:sz w:val="20"/>
        </w:rPr>
        <w:t>Vessel Operating Expenses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Vessel operating expenses, which are primarily the costs of crew, lubricating oil, repairs, maintenance, insurance and technical management fees, were up 12.9% to $57.0 million for the second quarter of 2026 or an average of $8,821 per day, compared to $50.5 million in the prior year period, or an average of $8,045 per day. The increase of $6.5 million was mainly due to (i) the addition of the Three Newly Acquired Vessels offset by the sale of Dimitris Y in the fourth quarter of 2025, (ii) an increase in crew expenses following the continued strength of the market that led to crew shortage, resulting in an increase in crew wages by approximately 5.0%, (iii) an increase in stores, spares and maintenance expenses for planned main engine maintenance and overhaul of diesel generators as well as main engine annual spares delivery due to timing of planned schedule, (iv) an increase in annual premiums for all P&amp;I Clubs and (v) the impact of inflation on fees and expenses, including management fees.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Page 4</w:t>
      </w:r>
    </w:p>
    <w:p>
      <w:pPr>
        <w:pStyle w:val="HorizontalLine"/>
        <w:pBdr>
          <w:bottom w:val="single" w:sz="12" w:space="0" w:color="808080"/>
        </w:pBdr>
        <w:bidi w:val="0"/>
        <w:spacing w:before="200" w:after="20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For the six-month period ended June 30, 2026, vessel operating expenses were $109.7 million, or an average of $8,543 per day, compared to $100.5 million in the comparative period, or $7,925 per day, an increase of $618 per ownership day, or 7.8%. The increase of $9.2 million was mainly due to (i) the addition of the Three Newly Acquired Vessels offset by the sale of four vessels in 2025, (ii) an increase in crew expenses following our decision to increase the number of seafarers on board to improve the vessels’ conditions, (iii) an increase in stores, spares and maintenance expenses for planned main engine maintenance and overhaul of diesel generators as well as main engine annual spares delivery due to timing of planned schedule, (iv) an increase in annual premiums for all P&amp;I Clubs and (v) the impact of inflation on fees and expenses, including management fees.</w:t>
      </w:r>
    </w:p>
    <w:p>
      <w:pPr>
        <w:pStyle w:val="TextBody"/>
        <w:bidi w:val="0"/>
        <w:spacing w:before="0" w:after="0"/>
        <w:jc w:val="left"/>
        <w:rPr/>
      </w:pPr>
      <w:r>
        <w:rPr/>
      </w:r>
    </w:p>
    <w:p>
      <w:pPr>
        <w:pStyle w:val="TextBody"/>
        <w:bidi w:val="0"/>
        <w:spacing w:before="0" w:after="0"/>
        <w:jc w:val="both"/>
        <w:rPr>
          <w:rFonts w:ascii="Times New Roman" w:hAnsi="Times New Roman"/>
          <w:i/>
          <w:color w:val="000000"/>
          <w:sz w:val="20"/>
        </w:rPr>
      </w:pPr>
      <w:r>
        <w:rPr>
          <w:rFonts w:ascii="Times New Roman" w:hAnsi="Times New Roman"/>
          <w:i/>
          <w:color w:val="000000"/>
          <w:sz w:val="20"/>
        </w:rPr>
        <w:t>Time Charter and Voyage Expenses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Time charter and voyage expenses comprise mainly commissions paid to ship brokers, the cost of bunker fuel for owner’s account when a ship is off-hire or idle, and miscellaneous owner’s costs associated with a ship’s voyage. Time charter and voyage expenses were $6.5 million for the second quarter of 2026, compared to $5.1 million in the prior year period due to (i) increase in voyage administration costs and operational requests from charterers and (ii) increase in brokerage commissions on charter renewals at higher rates.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For the six-month period ended June 30, 2026, time charter and voyage expenses were $12.1 million, or an average of $941 per day, compared to $11.6 million in the comparative period, or $915 per day, an increase of $26 per ownership day, or 2.8% mainly due to increased commissions on charter renewals at higher rates.</w:t>
      </w:r>
    </w:p>
    <w:p>
      <w:pPr>
        <w:pStyle w:val="TextBody"/>
        <w:bidi w:val="0"/>
        <w:spacing w:before="0" w:after="0"/>
        <w:jc w:val="left"/>
        <w:rPr/>
      </w:pPr>
      <w:r>
        <w:rPr/>
      </w:r>
    </w:p>
    <w:p>
      <w:pPr>
        <w:pStyle w:val="TextBody"/>
        <w:bidi w:val="0"/>
        <w:spacing w:before="0" w:after="0"/>
        <w:jc w:val="both"/>
        <w:rPr>
          <w:rFonts w:ascii="Times New Roman" w:hAnsi="Times New Roman"/>
          <w:i/>
          <w:color w:val="000000"/>
          <w:sz w:val="20"/>
        </w:rPr>
      </w:pPr>
      <w:r>
        <w:rPr>
          <w:rFonts w:ascii="Times New Roman" w:hAnsi="Times New Roman"/>
          <w:i/>
          <w:color w:val="000000"/>
          <w:sz w:val="20"/>
        </w:rPr>
        <w:t>Depreciation and Amortization</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Depreciation and amortization for the second quarter of 2026 was $34.2 million, compared to $30.3 million in the prior year period. </w:t>
      </w:r>
      <w:bookmarkStart w:id="20" w:name="z_Hlk203562107"/>
      <w:bookmarkEnd w:id="20"/>
      <w:r>
        <w:rPr>
          <w:rFonts w:ascii="Times New Roman" w:hAnsi="Times New Roman"/>
          <w:color w:val="000000"/>
          <w:sz w:val="20"/>
        </w:rPr>
        <w:t>The increase was mainly due to the nine drydockings completed after June 30, 2025 and the addition of the Three Newly Acquired Vessels offset by the sale of Dimitris Y in the fourth quarter of 2025.</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Depreciation and amortization for the six-month period ended June 30, 2026 was $67.7 million, compared to $60.1 million in the comparative period, mainly due to the factors noted above offset by the sale of four vessels in 2025.</w:t>
      </w:r>
    </w:p>
    <w:p>
      <w:pPr>
        <w:pStyle w:val="TextBody"/>
        <w:bidi w:val="0"/>
        <w:spacing w:before="0" w:after="0"/>
        <w:jc w:val="left"/>
        <w:rPr/>
      </w:pPr>
      <w:r>
        <w:rPr/>
      </w:r>
    </w:p>
    <w:p>
      <w:pPr>
        <w:pStyle w:val="TextBody"/>
        <w:bidi w:val="0"/>
        <w:spacing w:before="0" w:after="0"/>
        <w:jc w:val="both"/>
        <w:rPr>
          <w:rFonts w:ascii="Times New Roman" w:hAnsi="Times New Roman"/>
          <w:i/>
          <w:color w:val="000000"/>
          <w:sz w:val="20"/>
        </w:rPr>
      </w:pPr>
      <w:r>
        <w:rPr>
          <w:rFonts w:ascii="Times New Roman" w:hAnsi="Times New Roman"/>
          <w:i/>
          <w:color w:val="000000"/>
          <w:sz w:val="20"/>
        </w:rPr>
        <w:t>General and Administrative Expenses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General and administrative expenses were $7.2 million in the second quarter of 2026, compared to $4.1 million in the comparative period. The increase was mainly due to the non-cash charge for stock based compensation expense recognized in relation to the valuation of awards of Class A common shares under our Equity Incentive Plan.</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General and administrative expenses were $16.0 million for the six-month period ended June 30, 2026, compared to $8.7 million in the comparative period</w:t>
      </w:r>
      <w:bookmarkStart w:id="21" w:name="z_Hlk203562886"/>
      <w:bookmarkEnd w:id="21"/>
      <w:r>
        <w:rPr>
          <w:rFonts w:ascii="Times New Roman" w:hAnsi="Times New Roman"/>
          <w:color w:val="000000"/>
          <w:sz w:val="20"/>
        </w:rPr>
        <w:t xml:space="preserve"> mainly due to the factors noted above.</w:t>
      </w:r>
    </w:p>
    <w:p>
      <w:pPr>
        <w:pStyle w:val="TextBody"/>
        <w:bidi w:val="0"/>
        <w:spacing w:before="0" w:after="0"/>
        <w:jc w:val="left"/>
        <w:rPr/>
      </w:pPr>
      <w:r>
        <w:rPr/>
      </w:r>
    </w:p>
    <w:p>
      <w:pPr>
        <w:pStyle w:val="TextBody"/>
        <w:bidi w:val="0"/>
        <w:spacing w:before="0" w:after="0"/>
        <w:jc w:val="both"/>
        <w:rPr>
          <w:rFonts w:ascii="Times New Roman" w:hAnsi="Times New Roman"/>
          <w:i/>
          <w:color w:val="000000"/>
          <w:sz w:val="20"/>
        </w:rPr>
      </w:pPr>
      <w:bookmarkStart w:id="22" w:name="z_Hlk203562932"/>
      <w:bookmarkEnd w:id="22"/>
      <w:r>
        <w:rPr>
          <w:rFonts w:ascii="Times New Roman" w:hAnsi="Times New Roman"/>
          <w:i/>
          <w:color w:val="000000"/>
          <w:sz w:val="20"/>
        </w:rPr>
        <w:t>Gain on sale of vessels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Tasman (5,900 TEU, built 2000), Akiteta (2,200 TEU, built 2002), and Keta (2,200 TEU, built 2003) were sold for an aggregate gain of $28.3 million in the first quarter of 2025. None of our vessels were sold during the first half of 2026.</w:t>
      </w:r>
    </w:p>
    <w:p>
      <w:pPr>
        <w:pStyle w:val="TextBody"/>
        <w:bidi w:val="0"/>
        <w:spacing w:before="0" w:after="0"/>
        <w:jc w:val="left"/>
        <w:rPr/>
      </w:pPr>
      <w:r>
        <w:rPr/>
      </w:r>
    </w:p>
    <w:p>
      <w:pPr>
        <w:pStyle w:val="TextBody"/>
        <w:bidi w:val="0"/>
        <w:spacing w:lineRule="auto" w:line="240" w:before="0" w:after="0"/>
        <w:jc w:val="both"/>
        <w:rPr>
          <w:rFonts w:ascii="Times New Roman" w:hAnsi="Times New Roman"/>
          <w:i/>
          <w:color w:val="000000"/>
          <w:sz w:val="20"/>
        </w:rPr>
      </w:pPr>
      <w:r>
        <w:rPr>
          <w:rFonts w:ascii="Times New Roman" w:hAnsi="Times New Roman"/>
          <w:i/>
          <w:color w:val="000000"/>
          <w:sz w:val="20"/>
        </w:rPr>
        <w:t>Adjusted EBITDA1</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Adjusted EBITDA was $131.4 million for the second quarter of 2026, down from $134.2 million for the prior year period, with the net decrease being mainly due to increased operating and voyage expenses.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Adjusted EBITDA for the six-month period ended June 30, 2026 was $264.6 million, compared to $266.5 million for the comparative period, a decrease of $1.9 million or 0.7% mainly due to the reasons noted above.</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Page 5</w:t>
      </w:r>
    </w:p>
    <w:p>
      <w:pPr>
        <w:pStyle w:val="HorizontalLine"/>
        <w:pBdr>
          <w:bottom w:val="single" w:sz="12" w:space="0" w:color="808080"/>
        </w:pBdr>
        <w:bidi w:val="0"/>
        <w:spacing w:before="200" w:after="200"/>
        <w:jc w:val="left"/>
        <w:rPr/>
      </w:pPr>
      <w:r>
        <w:rPr/>
      </w:r>
    </w:p>
    <w:p>
      <w:pPr>
        <w:pStyle w:val="TextBody"/>
        <w:bidi w:val="0"/>
        <w:spacing w:before="0" w:after="0"/>
        <w:jc w:val="both"/>
        <w:rPr>
          <w:rFonts w:ascii="Times New Roman" w:hAnsi="Times New Roman"/>
          <w:i/>
          <w:color w:val="000000"/>
          <w:sz w:val="20"/>
        </w:rPr>
      </w:pPr>
      <w:r>
        <w:rPr>
          <w:rFonts w:ascii="Times New Roman" w:hAnsi="Times New Roman"/>
          <w:i/>
          <w:color w:val="000000"/>
          <w:sz w:val="20"/>
        </w:rPr>
        <w:t>Interest Expense and Interest Income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bookmarkStart w:id="23" w:name="z_Hlk203562968"/>
      <w:bookmarkEnd w:id="23"/>
      <w:r>
        <w:rPr>
          <w:rFonts w:ascii="Times New Roman" w:hAnsi="Times New Roman"/>
          <w:color w:val="000000"/>
          <w:sz w:val="20"/>
        </w:rPr>
        <w:t>Debt as of June 30, 2026 totaled $676.4 million, comprising $328.5 million of secured bank debt collateralized by vessels, $153.1 million of our 2027 Secured Notes collateralized by vessels, and $194.8 million under sale and leaseback financing transactions. As of June 30, 2026, 21 of our vessels were unencumbered.</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Debt as at June 30, 2025 totaled $768.5 million, comprising $349.0 million of secured bank debt collateralized by vessels, $205.6 million of 2027 Secured Notes collateralized by vessels, and $213.9 million under sale and leaseback financing transactions. As of June 30, 2025, 16 of our vessels were unencumbered.</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Interest and other finance expenses for the second quarter of 2026 were $9.4 million, down from $10.6 million for the prior year period. The decrease was due to the lower amortization expense of our deferred loan fees.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Interest and other finance expenses for the six-month period ended June 30, 2026 were $18.8 million, down from $20.5 million for the prior year period. Interest expense of 2025 included (i) a prepayment fee of $0.2 million following the full repayment of the Macquarie Credit Facility and (ii) the non-cash write off of deferred financing costs of $0.7 million on the full repayments of the Macquarie Credit Facility, the HCOB-CACIB Credit Facility and the ESUN Credit Facility.</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bookmarkStart w:id="24" w:name="z_Hlk203563234"/>
      <w:bookmarkEnd w:id="24"/>
      <w:r>
        <w:rPr>
          <w:rFonts w:ascii="Times New Roman" w:hAnsi="Times New Roman"/>
          <w:color w:val="000000"/>
          <w:sz w:val="20"/>
        </w:rPr>
        <w:t>Interest income for the second quarter of 2026 was $5.6 million, up from $4.7 million for the prior year period mainly due to higher invested amounts.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Interest income for the six-month period ended June 30, 2026 was $11.3 million, up from $7.9 million for the prior year period mainly due to higher invested amounts.</w:t>
      </w:r>
    </w:p>
    <w:p>
      <w:pPr>
        <w:pStyle w:val="TextBody"/>
        <w:bidi w:val="0"/>
        <w:spacing w:before="0" w:after="0"/>
        <w:jc w:val="left"/>
        <w:rPr/>
      </w:pPr>
      <w:r>
        <w:rPr/>
      </w:r>
    </w:p>
    <w:p>
      <w:pPr>
        <w:pStyle w:val="TextBody"/>
        <w:bidi w:val="0"/>
        <w:spacing w:before="0" w:after="0"/>
        <w:jc w:val="both"/>
        <w:rPr>
          <w:rFonts w:ascii="Times New Roman" w:hAnsi="Times New Roman"/>
          <w:i/>
          <w:color w:val="000000"/>
          <w:sz w:val="20"/>
        </w:rPr>
      </w:pPr>
      <w:r>
        <w:rPr>
          <w:rFonts w:ascii="Times New Roman" w:hAnsi="Times New Roman"/>
          <w:i/>
          <w:color w:val="000000"/>
          <w:sz w:val="20"/>
        </w:rPr>
        <w:t>Other income, net</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Other income, net was $1.9 million in the second quarter of 2026, up from $0.8 million in the comparative period.</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Other income, net was $2.9 million in the six-month period ended June 30, 2026, down from $4.0 million in the comparative period.</w:t>
      </w:r>
    </w:p>
    <w:p>
      <w:pPr>
        <w:pStyle w:val="TextBody"/>
        <w:bidi w:val="0"/>
        <w:spacing w:before="0" w:after="0"/>
        <w:jc w:val="left"/>
        <w:rPr/>
      </w:pPr>
      <w:r>
        <w:rPr/>
      </w:r>
    </w:p>
    <w:p>
      <w:pPr>
        <w:pStyle w:val="TextBody"/>
        <w:bidi w:val="0"/>
        <w:spacing w:before="0" w:after="0"/>
        <w:jc w:val="both"/>
        <w:rPr>
          <w:rFonts w:ascii="Times New Roman" w:hAnsi="Times New Roman"/>
          <w:i/>
          <w:color w:val="000000"/>
          <w:sz w:val="20"/>
        </w:rPr>
      </w:pPr>
      <w:r>
        <w:rPr>
          <w:rFonts w:ascii="Times New Roman" w:hAnsi="Times New Roman"/>
          <w:i/>
          <w:color w:val="000000"/>
          <w:sz w:val="20"/>
        </w:rPr>
        <w:t>Fair value adjustment on derivatives and other financial instruments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bookmarkStart w:id="25" w:name="z_Hlk109402005"/>
      <w:bookmarkEnd w:id="25"/>
      <w:r>
        <w:rPr>
          <w:rFonts w:ascii="Times New Roman" w:hAnsi="Times New Roman"/>
          <w:color w:val="000000"/>
          <w:sz w:val="20"/>
        </w:rPr>
        <w:t>In December 2021, we entered into a USD 1-month LIBOR interest rate cap of 0.75% through the fourth quarter of 2026 on $484.1 million of floating rate debt, which reduces over time in-line with anticipated debt amortization and represented approximately half of the outstanding floating rate debt. In February 2022, we entered into two additional USD 1-month LIBOR interest rate caps of 0.75% through the fourth quarter of 2026 on the remaining balance of $507.9 million of floating rate debt. As a result of the discontinuation of LIBOR, on July 1, 2023, our interest rate caps automatically transited to 1 month Compounded SOFR at a net rate of 0.64%. A negative fair value adjustment of $1.1 million for the six-month period ended June 30, 2026 was recorded through the statement of income.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In January 2026, we entered into a series of FX Reverse Convertible transactions with UBS AG to hedge our exposure to foreign exchange risk while also achieving improved interest income on deposits. These instruments are USD-denominated structured notes with returns linked to the EUR/USD exchange rate. We elected the Fair Value Option to measure these instruments.</w:t>
      </w:r>
    </w:p>
    <w:p>
      <w:pPr>
        <w:pStyle w:val="TextBody"/>
        <w:bidi w:val="0"/>
        <w:spacing w:before="0" w:after="0"/>
        <w:jc w:val="left"/>
        <w:rPr/>
      </w:pPr>
      <w:r>
        <w:rPr/>
      </w:r>
    </w:p>
    <w:p>
      <w:pPr>
        <w:pStyle w:val="TextBody"/>
        <w:bidi w:val="0"/>
        <w:spacing w:before="0" w:after="0"/>
        <w:jc w:val="both"/>
        <w:rPr>
          <w:rFonts w:ascii="Times New Roman" w:hAnsi="Times New Roman"/>
          <w:i/>
          <w:color w:val="000000"/>
          <w:sz w:val="20"/>
        </w:rPr>
      </w:pPr>
      <w:r>
        <w:rPr>
          <w:rFonts w:ascii="Times New Roman" w:hAnsi="Times New Roman"/>
          <w:i/>
          <w:color w:val="000000"/>
          <w:sz w:val="20"/>
        </w:rPr>
        <w:t>Earnings Allocated to Preferred Shares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Our Series B Preferred Shares carry a coupon of 8.75%, the cost of which for the second quarter of 2026 was $2.4 million, the same as in the prior year period.</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cost for the six months ended June 30, 2026 was $4.8 million, the same as in the prior year period.</w:t>
      </w:r>
    </w:p>
    <w:p>
      <w:pPr>
        <w:pStyle w:val="TextBody"/>
        <w:bidi w:val="0"/>
        <w:spacing w:before="0" w:after="0"/>
        <w:jc w:val="left"/>
        <w:rPr/>
      </w:pPr>
      <w:r>
        <w:rPr/>
      </w:r>
    </w:p>
    <w:p>
      <w:pPr>
        <w:pStyle w:val="TextBody"/>
        <w:bidi w:val="0"/>
        <w:spacing w:before="0" w:after="0"/>
        <w:jc w:val="both"/>
        <w:rPr>
          <w:rFonts w:ascii="Times New Roman" w:hAnsi="Times New Roman"/>
          <w:i/>
          <w:color w:val="000000"/>
          <w:sz w:val="20"/>
        </w:rPr>
      </w:pPr>
      <w:r>
        <w:rPr>
          <w:rFonts w:ascii="Times New Roman" w:hAnsi="Times New Roman"/>
          <w:i/>
          <w:color w:val="000000"/>
          <w:sz w:val="20"/>
        </w:rPr>
        <w:t>Net Income Available to Common Shareholders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Net income available to common shareholders for the second quarter of 2026 was $89.3 million. Net income available to common shareholders for the prior year period was $93.1 million.</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Page 6</w:t>
      </w:r>
    </w:p>
    <w:p>
      <w:pPr>
        <w:pStyle w:val="HorizontalLine"/>
        <w:pBdr>
          <w:bottom w:val="single" w:sz="12" w:space="0" w:color="808080"/>
        </w:pBdr>
        <w:bidi w:val="0"/>
        <w:spacing w:before="200" w:after="20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Earnings per share for the second quarter of 2026 was $2.48, a decrease of 5.0% from the earnings per share for the prior year period, which was $2.61.</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Net income available to common shareholders for the six months ended June 30, 2026 was $180.7 million. Net income available to common shareholders for the prior year period was $214.1 million. Net income available to common shareholders for the prior year period included a $28.3 million gain from the sales of Tasman (5,900 TEU, built 2000), Akiteta (2,200 TEU, built 2002), and Keta (2,200 TEU, built 2003).</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Earnings per share for the six months ended June 30, 2026 was $5.02, a decrease of 16.5% from the earnings per share for the prior year period, which was $6.01.</w:t>
      </w:r>
    </w:p>
    <w:p>
      <w:pPr>
        <w:pStyle w:val="TextBody"/>
        <w:bidi w:val="0"/>
        <w:spacing w:before="0" w:after="0"/>
        <w:jc w:val="left"/>
        <w:rPr/>
      </w:pPr>
      <w:r>
        <w:rPr/>
      </w:r>
    </w:p>
    <w:p>
      <w:pPr>
        <w:pStyle w:val="TextBody"/>
        <w:bidi w:val="0"/>
        <w:spacing w:lineRule="auto" w:line="240" w:before="0" w:after="0"/>
        <w:jc w:val="both"/>
        <w:rPr>
          <w:rFonts w:ascii="Times New Roman" w:hAnsi="Times New Roman"/>
          <w:color w:val="000000"/>
          <w:sz w:val="20"/>
        </w:rPr>
      </w:pPr>
      <w:r>
        <w:rPr>
          <w:rFonts w:ascii="Times New Roman" w:hAnsi="Times New Roman"/>
          <w:color w:val="000000"/>
          <w:sz w:val="20"/>
        </w:rPr>
        <w:t>Normalized net income1 for the second quarter of 2026 was $89.3 million. Normalized net income for the prior year period was $95.1 million. Normalized earnings per share1 for the second quarter of 2026 was $2.48, a decrease of 7.1% from Normalized earnings per share for the prior year period, which was $2.67.</w:t>
      </w:r>
    </w:p>
    <w:p>
      <w:pPr>
        <w:pStyle w:val="TextBody"/>
        <w:bidi w:val="0"/>
        <w:spacing w:before="0" w:after="0"/>
        <w:jc w:val="left"/>
        <w:rPr/>
      </w:pPr>
      <w:r>
        <w:rPr/>
      </w:r>
    </w:p>
    <w:p>
      <w:pPr>
        <w:pStyle w:val="TextBody"/>
        <w:bidi w:val="0"/>
        <w:spacing w:lineRule="auto" w:line="240" w:before="0" w:after="0"/>
        <w:jc w:val="both"/>
        <w:rPr>
          <w:rFonts w:ascii="Times New Roman" w:hAnsi="Times New Roman"/>
          <w:color w:val="000000"/>
          <w:sz w:val="20"/>
        </w:rPr>
      </w:pPr>
      <w:r>
        <w:rPr>
          <w:rFonts w:ascii="Times New Roman" w:hAnsi="Times New Roman"/>
          <w:color w:val="000000"/>
          <w:sz w:val="20"/>
        </w:rPr>
        <w:t>Normalized net income1 for the six months ended June 30, 2026 was $181.4 million. Normalized net income for the prior year period was $189.4 million. Normalized earnings per share1 for the six months ended June 30, 2026 was $5.04, a decrease of 5.3% from Normalized earnings per share for the prior year period, which was $5.32.</w:t>
      </w:r>
    </w:p>
    <w:p>
      <w:pPr>
        <w:pStyle w:val="TextBody"/>
        <w:bidi w:val="0"/>
        <w:spacing w:before="0" w:after="0"/>
        <w:jc w:val="left"/>
        <w:rPr/>
      </w:pPr>
      <w:r>
        <w:rPr/>
      </w:r>
    </w:p>
    <w:p>
      <w:pPr>
        <w:pStyle w:val="TextBody"/>
        <w:bidi w:val="0"/>
        <w:spacing w:lineRule="auto" w:line="240" w:before="0" w:after="0"/>
        <w:jc w:val="both"/>
        <w:rPr>
          <w:rFonts w:ascii="Times New Roman" w:hAnsi="Times New Roman"/>
          <w:color w:val="000000"/>
          <w:sz w:val="20"/>
        </w:rPr>
      </w:pPr>
      <w:r>
        <w:rPr>
          <w:rFonts w:ascii="Times New Roman" w:hAnsi="Times New Roman"/>
          <w:color w:val="000000"/>
          <w:sz w:val="20"/>
        </w:rPr>
        <w:t>1 Adjusted EBITDA, Normalized net income, and Normalized earnings per share are non-U.S. GAAP financial measures, as explained further in this press release, and are considered by Global Ship Lease to be useful measures of its performance. For reconciliations of these non-U.S. GAAP financial measures to the most directly comparable U.S. GAAP financial measure, please see “Reconciliation of Non-U.S. GAAP Financial Measures” below.</w:t>
      </w:r>
    </w:p>
    <w:p>
      <w:pPr>
        <w:pStyle w:val="TextBody"/>
        <w:bidi w:val="0"/>
        <w:spacing w:before="0" w:after="0"/>
        <w:jc w:val="left"/>
        <w:rPr/>
      </w:pPr>
      <w:r>
        <w:rPr/>
      </w:r>
    </w:p>
    <w:p>
      <w:pPr>
        <w:pStyle w:val="TextBody"/>
        <w:bidi w:val="0"/>
        <w:spacing w:before="0" w:after="0"/>
        <w:jc w:val="both"/>
        <w:rPr>
          <w:rFonts w:ascii="Times New Roman" w:hAnsi="Times New Roman"/>
          <w:i/>
          <w:color w:val="000000"/>
          <w:sz w:val="20"/>
        </w:rPr>
      </w:pPr>
      <w:r>
        <w:rPr>
          <w:rFonts w:ascii="Times New Roman" w:hAnsi="Times New Roman"/>
          <w:i/>
          <w:color w:val="000000"/>
          <w:sz w:val="20"/>
        </w:rPr>
        <w:t>Fleet</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As of June 30, 2026, our fleet consisted of (i) 71 operating containerships and (ii) 15 containerships under construction with scheduled deliveries between the fourth quarter of 2028 and the first quarter of 2030.</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Operating Containerships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6" w:name="zfa275e45307f443d8e3949616ab69b7d"/>
      <w:bookmarkStart w:id="27" w:name="zfa275e45307f443d8e3949616ab69b7d"/>
      <w:bookmarkEnd w:id="27"/>
    </w:p>
    <w:tbl>
      <w:tblPr>
        <w:tblW w:w="10205" w:type="dxa"/>
        <w:jc w:val="left"/>
        <w:tblInd w:w="0" w:type="dxa"/>
        <w:tblLayout w:type="fixed"/>
        <w:tblCellMar>
          <w:top w:w="0" w:type="dxa"/>
          <w:left w:w="0" w:type="dxa"/>
          <w:bottom w:w="28" w:type="dxa"/>
          <w:right w:w="0" w:type="dxa"/>
        </w:tblCellMar>
      </w:tblPr>
      <w:tblGrid>
        <w:gridCol w:w="1880"/>
        <w:gridCol w:w="1189"/>
        <w:gridCol w:w="1424"/>
        <w:gridCol w:w="684"/>
        <w:gridCol w:w="1295"/>
        <w:gridCol w:w="1440"/>
        <w:gridCol w:w="1053"/>
        <w:gridCol w:w="1240"/>
      </w:tblGrid>
      <w:tr>
        <w:trPr/>
        <w:tc>
          <w:tcPr>
            <w:tcW w:w="1880" w:type="dxa"/>
            <w:tcBorders>
              <w:bottom w:val="single" w:sz="12" w:space="0" w:color="000000"/>
            </w:tcBorders>
            <w:vAlign w:val="center"/>
          </w:tcPr>
          <w:p>
            <w:pPr>
              <w:pStyle w:val="TableContents"/>
              <w:bidi w:val="0"/>
              <w:spacing w:before="0" w:after="0"/>
              <w:jc w:val="left"/>
              <w:rPr>
                <w:b/>
              </w:rPr>
            </w:pPr>
            <w:r>
              <w:rPr>
                <w:b/>
              </w:rPr>
              <w:t>Vessel Name</w:t>
            </w:r>
          </w:p>
        </w:tc>
        <w:tc>
          <w:tcPr>
            <w:tcW w:w="1189" w:type="dxa"/>
            <w:tcBorders>
              <w:bottom w:val="single" w:sz="12" w:space="0" w:color="000000"/>
            </w:tcBorders>
            <w:vAlign w:val="center"/>
          </w:tcPr>
          <w:p>
            <w:pPr>
              <w:pStyle w:val="TableContents"/>
              <w:bidi w:val="0"/>
              <w:spacing w:before="0" w:after="0"/>
              <w:jc w:val="center"/>
              <w:rPr>
                <w:b/>
              </w:rPr>
            </w:pPr>
            <w:r>
              <w:rPr>
                <w:b/>
              </w:rPr>
              <w:t>Capacity in TEUs</w:t>
            </w:r>
          </w:p>
        </w:tc>
        <w:tc>
          <w:tcPr>
            <w:tcW w:w="1424" w:type="dxa"/>
            <w:tcBorders>
              <w:bottom w:val="single" w:sz="12" w:space="0" w:color="000000"/>
            </w:tcBorders>
            <w:vAlign w:val="center"/>
          </w:tcPr>
          <w:p>
            <w:pPr>
              <w:pStyle w:val="TableContents"/>
              <w:bidi w:val="0"/>
              <w:spacing w:before="0" w:after="0"/>
              <w:jc w:val="center"/>
              <w:rPr>
                <w:b/>
              </w:rPr>
            </w:pPr>
            <w:r>
              <w:rPr>
                <w:b/>
              </w:rPr>
              <w:t>Lightweight (tons)</w:t>
            </w:r>
          </w:p>
        </w:tc>
        <w:tc>
          <w:tcPr>
            <w:tcW w:w="684" w:type="dxa"/>
            <w:tcBorders>
              <w:bottom w:val="single" w:sz="12" w:space="0" w:color="000000"/>
            </w:tcBorders>
            <w:vAlign w:val="center"/>
          </w:tcPr>
          <w:p>
            <w:pPr>
              <w:pStyle w:val="TableContents"/>
              <w:bidi w:val="0"/>
              <w:spacing w:before="0" w:after="0"/>
              <w:jc w:val="center"/>
              <w:rPr>
                <w:b/>
              </w:rPr>
            </w:pPr>
            <w:r>
              <w:rPr>
                <w:b/>
              </w:rPr>
              <w:t>Year Built</w:t>
            </w:r>
          </w:p>
        </w:tc>
        <w:tc>
          <w:tcPr>
            <w:tcW w:w="1295" w:type="dxa"/>
            <w:tcBorders>
              <w:bottom w:val="single" w:sz="12" w:space="0" w:color="000000"/>
            </w:tcBorders>
            <w:vAlign w:val="center"/>
          </w:tcPr>
          <w:p>
            <w:pPr>
              <w:pStyle w:val="TableContents"/>
              <w:bidi w:val="0"/>
              <w:spacing w:before="0" w:after="0"/>
              <w:jc w:val="center"/>
              <w:rPr>
                <w:b/>
              </w:rPr>
            </w:pPr>
            <w:r>
              <w:rPr>
                <w:b/>
              </w:rPr>
              <w:t>Charterer</w:t>
            </w:r>
          </w:p>
        </w:tc>
        <w:tc>
          <w:tcPr>
            <w:tcW w:w="1440" w:type="dxa"/>
            <w:tcBorders>
              <w:bottom w:val="single" w:sz="12" w:space="0" w:color="000000"/>
            </w:tcBorders>
            <w:vAlign w:val="center"/>
          </w:tcPr>
          <w:p>
            <w:pPr>
              <w:pStyle w:val="TableContents"/>
              <w:bidi w:val="0"/>
              <w:spacing w:before="0" w:after="0"/>
              <w:jc w:val="center"/>
              <w:rPr>
                <w:b/>
              </w:rPr>
            </w:pPr>
            <w:r>
              <w:rPr>
                <w:b/>
              </w:rPr>
              <w:t>Earliest Charter Expiry Date</w:t>
            </w:r>
          </w:p>
        </w:tc>
        <w:tc>
          <w:tcPr>
            <w:tcW w:w="1053" w:type="dxa"/>
            <w:tcBorders>
              <w:bottom w:val="single" w:sz="12" w:space="0" w:color="000000"/>
            </w:tcBorders>
            <w:vAlign w:val="center"/>
          </w:tcPr>
          <w:p>
            <w:pPr>
              <w:pStyle w:val="TableContents"/>
              <w:bidi w:val="0"/>
              <w:spacing w:before="0" w:after="0"/>
              <w:jc w:val="center"/>
              <w:rPr>
                <w:b/>
              </w:rPr>
            </w:pPr>
            <w:r>
              <w:rPr>
                <w:b/>
              </w:rPr>
              <w:t>Latest Charter</w:t>
            </w:r>
          </w:p>
          <w:p>
            <w:pPr>
              <w:pStyle w:val="TableContents"/>
              <w:bidi w:val="0"/>
              <w:spacing w:lineRule="auto" w:line="240" w:before="0" w:after="0"/>
              <w:jc w:val="center"/>
              <w:rPr/>
            </w:pPr>
            <w:r>
              <w:rPr>
                <w:b/>
              </w:rPr>
              <w:t xml:space="preserve">Expiry Date </w:t>
            </w:r>
            <w:r>
              <w:rPr/>
              <w:t>(2)</w:t>
            </w:r>
          </w:p>
        </w:tc>
        <w:tc>
          <w:tcPr>
            <w:tcW w:w="1240" w:type="dxa"/>
            <w:tcBorders>
              <w:bottom w:val="single" w:sz="12" w:space="0" w:color="000000"/>
            </w:tcBorders>
            <w:vAlign w:val="center"/>
          </w:tcPr>
          <w:p>
            <w:pPr>
              <w:pStyle w:val="TableContents"/>
              <w:bidi w:val="0"/>
              <w:spacing w:before="0" w:after="0"/>
              <w:jc w:val="center"/>
              <w:rPr>
                <w:b/>
              </w:rPr>
            </w:pPr>
            <w:r>
              <w:rPr>
                <w:b/>
              </w:rPr>
              <w:t>Daily Charter Rate $</w:t>
            </w:r>
          </w:p>
        </w:tc>
      </w:tr>
      <w:tr>
        <w:trPr/>
        <w:tc>
          <w:tcPr>
            <w:tcW w:w="1880" w:type="dxa"/>
            <w:tcBorders/>
            <w:shd w:fill="CCEEFF" w:val="clear"/>
            <w:tcMar>
              <w:bottom w:w="0" w:type="dxa"/>
            </w:tcMar>
            <w:vAlign w:val="center"/>
          </w:tcPr>
          <w:p>
            <w:pPr>
              <w:pStyle w:val="TableContents"/>
              <w:bidi w:val="0"/>
              <w:spacing w:before="0" w:after="0"/>
              <w:jc w:val="left"/>
              <w:rPr/>
            </w:pPr>
            <w:r>
              <w:rPr/>
              <w:t>CMA CGM Thalassa</w:t>
            </w:r>
          </w:p>
        </w:tc>
        <w:tc>
          <w:tcPr>
            <w:tcW w:w="1189" w:type="dxa"/>
            <w:tcBorders/>
            <w:shd w:fill="CCEEFF" w:val="clear"/>
            <w:tcMar>
              <w:bottom w:w="0" w:type="dxa"/>
            </w:tcMar>
            <w:vAlign w:val="center"/>
          </w:tcPr>
          <w:p>
            <w:pPr>
              <w:pStyle w:val="TableContents"/>
              <w:bidi w:val="0"/>
              <w:spacing w:before="0" w:after="0"/>
              <w:ind w:left="370" w:right="0" w:hanging="0"/>
              <w:jc w:val="center"/>
              <w:rPr/>
            </w:pPr>
            <w:r>
              <w:rPr/>
              <w:t>11,040</w:t>
            </w:r>
          </w:p>
        </w:tc>
        <w:tc>
          <w:tcPr>
            <w:tcW w:w="1424" w:type="dxa"/>
            <w:tcBorders/>
            <w:shd w:fill="CCEEFF" w:val="clear"/>
            <w:tcMar>
              <w:bottom w:w="0" w:type="dxa"/>
            </w:tcMar>
            <w:vAlign w:val="center"/>
          </w:tcPr>
          <w:p>
            <w:pPr>
              <w:pStyle w:val="TableContents"/>
              <w:bidi w:val="0"/>
              <w:spacing w:before="0" w:after="0"/>
              <w:jc w:val="center"/>
              <w:rPr/>
            </w:pPr>
            <w:r>
              <w:rPr/>
              <w:t>38,577</w:t>
            </w:r>
          </w:p>
        </w:tc>
        <w:tc>
          <w:tcPr>
            <w:tcW w:w="684" w:type="dxa"/>
            <w:tcBorders/>
            <w:shd w:fill="CCEEFF" w:val="clear"/>
            <w:tcMar>
              <w:bottom w:w="0" w:type="dxa"/>
            </w:tcMar>
            <w:vAlign w:val="center"/>
          </w:tcPr>
          <w:p>
            <w:pPr>
              <w:pStyle w:val="TableContents"/>
              <w:bidi w:val="0"/>
              <w:spacing w:before="0" w:after="0"/>
              <w:jc w:val="center"/>
              <w:rPr/>
            </w:pPr>
            <w:r>
              <w:rPr/>
              <w:t>2008</w:t>
            </w:r>
          </w:p>
        </w:tc>
        <w:tc>
          <w:tcPr>
            <w:tcW w:w="1295" w:type="dxa"/>
            <w:tcBorders/>
            <w:shd w:fill="CCEEFF" w:val="clear"/>
            <w:tcMar>
              <w:bottom w:w="0" w:type="dxa"/>
            </w:tcMar>
            <w:vAlign w:val="center"/>
          </w:tcPr>
          <w:p>
            <w:pPr>
              <w:pStyle w:val="TableContents"/>
              <w:bidi w:val="0"/>
              <w:spacing w:before="0" w:after="0"/>
              <w:jc w:val="center"/>
              <w:rPr/>
            </w:pPr>
            <w:r>
              <w:rPr/>
              <w:t>CMA CGM</w:t>
            </w:r>
          </w:p>
        </w:tc>
        <w:tc>
          <w:tcPr>
            <w:tcW w:w="1440" w:type="dxa"/>
            <w:tcBorders/>
            <w:shd w:fill="CCEEFF" w:val="clear"/>
            <w:tcMar>
              <w:bottom w:w="0" w:type="dxa"/>
            </w:tcMar>
            <w:vAlign w:val="center"/>
          </w:tcPr>
          <w:p>
            <w:pPr>
              <w:pStyle w:val="TableContents"/>
              <w:bidi w:val="0"/>
              <w:spacing w:before="0" w:after="0"/>
              <w:jc w:val="center"/>
              <w:rPr/>
            </w:pPr>
            <w:r>
              <w:rPr/>
              <w:t>3Q28</w:t>
            </w:r>
          </w:p>
        </w:tc>
        <w:tc>
          <w:tcPr>
            <w:tcW w:w="1053" w:type="dxa"/>
            <w:tcBorders/>
            <w:shd w:fill="CCEEFF" w:val="clear"/>
            <w:tcMar>
              <w:bottom w:w="0" w:type="dxa"/>
            </w:tcMar>
            <w:vAlign w:val="center"/>
          </w:tcPr>
          <w:p>
            <w:pPr>
              <w:pStyle w:val="TableContents"/>
              <w:bidi w:val="0"/>
              <w:spacing w:before="0" w:after="0"/>
              <w:jc w:val="center"/>
              <w:rPr/>
            </w:pPr>
            <w:r>
              <w:rPr/>
              <w:t>1Q29</w:t>
            </w:r>
          </w:p>
        </w:tc>
        <w:tc>
          <w:tcPr>
            <w:tcW w:w="1240" w:type="dxa"/>
            <w:tcBorders/>
            <w:shd w:fill="CCEEFF" w:val="clear"/>
            <w:tcMar>
              <w:bottom w:w="0" w:type="dxa"/>
            </w:tcMar>
            <w:vAlign w:val="center"/>
          </w:tcPr>
          <w:p>
            <w:pPr>
              <w:pStyle w:val="TableContents"/>
              <w:bidi w:val="0"/>
              <w:spacing w:before="0" w:after="0"/>
              <w:jc w:val="center"/>
              <w:rPr/>
            </w:pPr>
            <w:r>
              <w:rPr/>
              <w:t>47,200</w:t>
            </w:r>
          </w:p>
        </w:tc>
      </w:tr>
      <w:tr>
        <w:trPr/>
        <w:tc>
          <w:tcPr>
            <w:tcW w:w="1880" w:type="dxa"/>
            <w:tcBorders/>
            <w:tcMar>
              <w:bottom w:w="0" w:type="dxa"/>
            </w:tcMar>
            <w:vAlign w:val="center"/>
          </w:tcPr>
          <w:p>
            <w:pPr>
              <w:pStyle w:val="TableContents"/>
              <w:bidi w:val="0"/>
              <w:spacing w:lineRule="auto" w:line="240" w:before="0" w:after="0"/>
              <w:jc w:val="left"/>
              <w:rPr/>
            </w:pPr>
            <w:r>
              <w:rPr/>
              <w:t>ZIM Norfolk (1)</w:t>
            </w:r>
          </w:p>
        </w:tc>
        <w:tc>
          <w:tcPr>
            <w:tcW w:w="1189" w:type="dxa"/>
            <w:tcBorders/>
            <w:tcMar>
              <w:bottom w:w="0" w:type="dxa"/>
            </w:tcMar>
            <w:vAlign w:val="center"/>
          </w:tcPr>
          <w:p>
            <w:pPr>
              <w:pStyle w:val="TableContents"/>
              <w:bidi w:val="0"/>
              <w:spacing w:before="0" w:after="0"/>
              <w:ind w:left="370" w:right="0" w:hanging="0"/>
              <w:jc w:val="center"/>
              <w:rPr/>
            </w:pPr>
            <w:r>
              <w:rPr/>
              <w:t>9,115</w:t>
            </w:r>
          </w:p>
        </w:tc>
        <w:tc>
          <w:tcPr>
            <w:tcW w:w="1424" w:type="dxa"/>
            <w:tcBorders/>
            <w:tcMar>
              <w:bottom w:w="0" w:type="dxa"/>
            </w:tcMar>
            <w:vAlign w:val="center"/>
          </w:tcPr>
          <w:p>
            <w:pPr>
              <w:pStyle w:val="TableContents"/>
              <w:bidi w:val="0"/>
              <w:spacing w:before="0" w:after="0"/>
              <w:jc w:val="center"/>
              <w:rPr/>
            </w:pPr>
            <w:r>
              <w:rPr/>
              <w:t>31,764</w:t>
            </w:r>
          </w:p>
        </w:tc>
        <w:tc>
          <w:tcPr>
            <w:tcW w:w="684" w:type="dxa"/>
            <w:tcBorders/>
            <w:tcMar>
              <w:bottom w:w="0" w:type="dxa"/>
            </w:tcMar>
            <w:vAlign w:val="center"/>
          </w:tcPr>
          <w:p>
            <w:pPr>
              <w:pStyle w:val="TableContents"/>
              <w:bidi w:val="0"/>
              <w:spacing w:before="0" w:after="0"/>
              <w:jc w:val="center"/>
              <w:rPr/>
            </w:pPr>
            <w:r>
              <w:rPr/>
              <w:t>2015</w:t>
            </w:r>
          </w:p>
        </w:tc>
        <w:tc>
          <w:tcPr>
            <w:tcW w:w="1295" w:type="dxa"/>
            <w:tcBorders/>
            <w:tcMar>
              <w:bottom w:w="0" w:type="dxa"/>
            </w:tcMar>
            <w:vAlign w:val="center"/>
          </w:tcPr>
          <w:p>
            <w:pPr>
              <w:pStyle w:val="TableContents"/>
              <w:bidi w:val="0"/>
              <w:spacing w:before="0" w:after="0"/>
              <w:jc w:val="center"/>
              <w:rPr/>
            </w:pPr>
            <w:r>
              <w:rPr/>
              <w:t>ZIM</w:t>
            </w:r>
          </w:p>
        </w:tc>
        <w:tc>
          <w:tcPr>
            <w:tcW w:w="1440" w:type="dxa"/>
            <w:tcBorders/>
            <w:tcMar>
              <w:bottom w:w="0" w:type="dxa"/>
            </w:tcMar>
            <w:vAlign w:val="center"/>
          </w:tcPr>
          <w:p>
            <w:pPr>
              <w:pStyle w:val="TableContents"/>
              <w:bidi w:val="0"/>
              <w:spacing w:before="0" w:after="0"/>
              <w:jc w:val="center"/>
              <w:rPr/>
            </w:pPr>
            <w:r>
              <w:rPr/>
              <w:t>2Q32</w:t>
            </w:r>
          </w:p>
        </w:tc>
        <w:tc>
          <w:tcPr>
            <w:tcW w:w="1053" w:type="dxa"/>
            <w:tcBorders/>
            <w:tcMar>
              <w:bottom w:w="0" w:type="dxa"/>
            </w:tcMar>
            <w:vAlign w:val="center"/>
          </w:tcPr>
          <w:p>
            <w:pPr>
              <w:pStyle w:val="TableContents"/>
              <w:bidi w:val="0"/>
              <w:spacing w:before="0" w:after="0"/>
              <w:jc w:val="center"/>
              <w:rPr/>
            </w:pPr>
            <w:r>
              <w:rPr/>
              <w:t>4Q32</w:t>
            </w:r>
          </w:p>
        </w:tc>
        <w:tc>
          <w:tcPr>
            <w:tcW w:w="1240" w:type="dxa"/>
            <w:tcBorders/>
            <w:tcMar>
              <w:bottom w:w="0" w:type="dxa"/>
            </w:tcMar>
            <w:vAlign w:val="center"/>
          </w:tcPr>
          <w:p>
            <w:pPr>
              <w:pStyle w:val="TableContents"/>
              <w:bidi w:val="0"/>
              <w:spacing w:lineRule="auto" w:line="240" w:before="0" w:after="0"/>
              <w:jc w:val="center"/>
              <w:rPr/>
            </w:pPr>
            <w:r>
              <w:rPr/>
              <w:t>65,000 (3)</w:t>
            </w:r>
          </w:p>
        </w:tc>
      </w:tr>
      <w:tr>
        <w:trPr/>
        <w:tc>
          <w:tcPr>
            <w:tcW w:w="1880" w:type="dxa"/>
            <w:tcBorders/>
            <w:shd w:fill="CCEEFF" w:val="clear"/>
            <w:tcMar>
              <w:bottom w:w="0" w:type="dxa"/>
            </w:tcMar>
            <w:vAlign w:val="center"/>
          </w:tcPr>
          <w:p>
            <w:pPr>
              <w:pStyle w:val="TableContents"/>
              <w:bidi w:val="0"/>
              <w:spacing w:lineRule="auto" w:line="240" w:before="0" w:after="0"/>
              <w:jc w:val="left"/>
              <w:rPr/>
            </w:pPr>
            <w:r>
              <w:rPr/>
              <w:t>Anthea Y (1)</w:t>
            </w:r>
          </w:p>
        </w:tc>
        <w:tc>
          <w:tcPr>
            <w:tcW w:w="1189" w:type="dxa"/>
            <w:tcBorders/>
            <w:shd w:fill="CCEEFF" w:val="clear"/>
            <w:tcMar>
              <w:bottom w:w="0" w:type="dxa"/>
            </w:tcMar>
            <w:vAlign w:val="center"/>
          </w:tcPr>
          <w:p>
            <w:pPr>
              <w:pStyle w:val="TableContents"/>
              <w:bidi w:val="0"/>
              <w:spacing w:before="0" w:after="0"/>
              <w:ind w:left="370" w:right="0" w:hanging="0"/>
              <w:jc w:val="center"/>
              <w:rPr/>
            </w:pPr>
            <w:r>
              <w:rPr/>
              <w:t>9,115</w:t>
            </w:r>
          </w:p>
        </w:tc>
        <w:tc>
          <w:tcPr>
            <w:tcW w:w="1424" w:type="dxa"/>
            <w:tcBorders/>
            <w:shd w:fill="CCEEFF" w:val="clear"/>
            <w:tcMar>
              <w:bottom w:w="0" w:type="dxa"/>
            </w:tcMar>
            <w:vAlign w:val="center"/>
          </w:tcPr>
          <w:p>
            <w:pPr>
              <w:pStyle w:val="TableContents"/>
              <w:bidi w:val="0"/>
              <w:spacing w:before="0" w:after="0"/>
              <w:jc w:val="center"/>
              <w:rPr/>
            </w:pPr>
            <w:r>
              <w:rPr/>
              <w:t>31,890</w:t>
            </w:r>
          </w:p>
        </w:tc>
        <w:tc>
          <w:tcPr>
            <w:tcW w:w="684" w:type="dxa"/>
            <w:tcBorders/>
            <w:shd w:fill="CCEEFF" w:val="clear"/>
            <w:tcMar>
              <w:bottom w:w="0" w:type="dxa"/>
            </w:tcMar>
            <w:vAlign w:val="center"/>
          </w:tcPr>
          <w:p>
            <w:pPr>
              <w:pStyle w:val="TableContents"/>
              <w:bidi w:val="0"/>
              <w:spacing w:before="0" w:after="0"/>
              <w:jc w:val="center"/>
              <w:rPr/>
            </w:pPr>
            <w:r>
              <w:rPr/>
              <w:t>2015</w:t>
            </w:r>
          </w:p>
        </w:tc>
        <w:tc>
          <w:tcPr>
            <w:tcW w:w="1295" w:type="dxa"/>
            <w:tcBorders/>
            <w:shd w:fill="CCEEFF" w:val="clear"/>
            <w:tcMar>
              <w:bottom w:w="0" w:type="dxa"/>
            </w:tcMar>
            <w:vAlign w:val="center"/>
          </w:tcPr>
          <w:p>
            <w:pPr>
              <w:pStyle w:val="TableContents"/>
              <w:bidi w:val="0"/>
              <w:spacing w:before="0" w:after="0"/>
              <w:jc w:val="center"/>
              <w:rPr/>
            </w:pPr>
            <w:r>
              <w:rPr/>
              <w:t>MSC</w:t>
            </w:r>
          </w:p>
        </w:tc>
        <w:tc>
          <w:tcPr>
            <w:tcW w:w="1440" w:type="dxa"/>
            <w:tcBorders/>
            <w:shd w:fill="CCEEFF" w:val="clear"/>
            <w:tcMar>
              <w:bottom w:w="0" w:type="dxa"/>
            </w:tcMar>
            <w:vAlign w:val="center"/>
          </w:tcPr>
          <w:p>
            <w:pPr>
              <w:pStyle w:val="TableContents"/>
              <w:bidi w:val="0"/>
              <w:spacing w:before="0" w:after="0"/>
              <w:jc w:val="center"/>
              <w:rPr/>
            </w:pPr>
            <w:r>
              <w:rPr/>
              <w:t>4Q28</w:t>
            </w:r>
          </w:p>
        </w:tc>
        <w:tc>
          <w:tcPr>
            <w:tcW w:w="1053" w:type="dxa"/>
            <w:tcBorders/>
            <w:shd w:fill="CCEEFF" w:val="clear"/>
            <w:tcMar>
              <w:bottom w:w="0" w:type="dxa"/>
            </w:tcMar>
            <w:vAlign w:val="center"/>
          </w:tcPr>
          <w:p>
            <w:pPr>
              <w:pStyle w:val="TableContents"/>
              <w:bidi w:val="0"/>
              <w:spacing w:before="0" w:after="0"/>
              <w:jc w:val="center"/>
              <w:rPr/>
            </w:pPr>
            <w:r>
              <w:rPr/>
              <w:t>4Q28</w:t>
            </w:r>
          </w:p>
        </w:tc>
        <w:tc>
          <w:tcPr>
            <w:tcW w:w="1240" w:type="dxa"/>
            <w:tcBorders/>
            <w:shd w:fill="CCEEFF" w:val="clear"/>
            <w:tcMar>
              <w:bottom w:w="0" w:type="dxa"/>
            </w:tcMar>
            <w:vAlign w:val="center"/>
          </w:tcPr>
          <w:p>
            <w:pPr>
              <w:pStyle w:val="TableContents"/>
              <w:bidi w:val="0"/>
              <w:spacing w:lineRule="auto" w:line="240" w:before="0" w:after="0"/>
              <w:jc w:val="center"/>
              <w:rPr/>
            </w:pPr>
            <w:r>
              <w:rPr/>
              <w:t>Footnote (4)</w:t>
            </w:r>
          </w:p>
        </w:tc>
      </w:tr>
      <w:tr>
        <w:trPr/>
        <w:tc>
          <w:tcPr>
            <w:tcW w:w="1880" w:type="dxa"/>
            <w:tcBorders/>
            <w:tcMar>
              <w:bottom w:w="0" w:type="dxa"/>
            </w:tcMar>
            <w:vAlign w:val="center"/>
          </w:tcPr>
          <w:p>
            <w:pPr>
              <w:pStyle w:val="TableContents"/>
              <w:bidi w:val="0"/>
              <w:spacing w:lineRule="auto" w:line="240" w:before="0" w:after="0"/>
              <w:jc w:val="left"/>
              <w:rPr/>
            </w:pPr>
            <w:r>
              <w:rPr/>
              <w:t>ZIM Xiamen (1)</w:t>
            </w:r>
          </w:p>
        </w:tc>
        <w:tc>
          <w:tcPr>
            <w:tcW w:w="1189" w:type="dxa"/>
            <w:tcBorders/>
            <w:tcMar>
              <w:bottom w:w="0" w:type="dxa"/>
            </w:tcMar>
            <w:vAlign w:val="center"/>
          </w:tcPr>
          <w:p>
            <w:pPr>
              <w:pStyle w:val="TableContents"/>
              <w:bidi w:val="0"/>
              <w:spacing w:before="0" w:after="0"/>
              <w:ind w:left="370" w:right="0" w:hanging="0"/>
              <w:jc w:val="center"/>
              <w:rPr/>
            </w:pPr>
            <w:r>
              <w:rPr/>
              <w:t>9,115</w:t>
            </w:r>
          </w:p>
        </w:tc>
        <w:tc>
          <w:tcPr>
            <w:tcW w:w="1424" w:type="dxa"/>
            <w:tcBorders/>
            <w:tcMar>
              <w:bottom w:w="0" w:type="dxa"/>
            </w:tcMar>
            <w:vAlign w:val="center"/>
          </w:tcPr>
          <w:p>
            <w:pPr>
              <w:pStyle w:val="TableContents"/>
              <w:bidi w:val="0"/>
              <w:spacing w:before="0" w:after="0"/>
              <w:jc w:val="center"/>
              <w:rPr/>
            </w:pPr>
            <w:r>
              <w:rPr/>
              <w:t>31,820</w:t>
            </w:r>
          </w:p>
        </w:tc>
        <w:tc>
          <w:tcPr>
            <w:tcW w:w="684" w:type="dxa"/>
            <w:tcBorders/>
            <w:tcMar>
              <w:bottom w:w="0" w:type="dxa"/>
            </w:tcMar>
            <w:vAlign w:val="center"/>
          </w:tcPr>
          <w:p>
            <w:pPr>
              <w:pStyle w:val="TableContents"/>
              <w:bidi w:val="0"/>
              <w:spacing w:before="0" w:after="0"/>
              <w:jc w:val="center"/>
              <w:rPr/>
            </w:pPr>
            <w:r>
              <w:rPr/>
              <w:t>2015</w:t>
            </w:r>
          </w:p>
        </w:tc>
        <w:tc>
          <w:tcPr>
            <w:tcW w:w="1295" w:type="dxa"/>
            <w:tcBorders/>
            <w:tcMar>
              <w:bottom w:w="0" w:type="dxa"/>
            </w:tcMar>
            <w:vAlign w:val="center"/>
          </w:tcPr>
          <w:p>
            <w:pPr>
              <w:pStyle w:val="TableContents"/>
              <w:bidi w:val="0"/>
              <w:spacing w:before="0" w:after="0"/>
              <w:jc w:val="center"/>
              <w:rPr/>
            </w:pPr>
            <w:r>
              <w:rPr/>
              <w:t>ZIM</w:t>
            </w:r>
          </w:p>
        </w:tc>
        <w:tc>
          <w:tcPr>
            <w:tcW w:w="1440" w:type="dxa"/>
            <w:tcBorders/>
            <w:tcMar>
              <w:bottom w:w="0" w:type="dxa"/>
            </w:tcMar>
            <w:vAlign w:val="center"/>
          </w:tcPr>
          <w:p>
            <w:pPr>
              <w:pStyle w:val="TableContents"/>
              <w:bidi w:val="0"/>
              <w:spacing w:before="0" w:after="0"/>
              <w:jc w:val="center"/>
              <w:rPr/>
            </w:pPr>
            <w:r>
              <w:rPr/>
              <w:t>3Q32</w:t>
            </w:r>
          </w:p>
        </w:tc>
        <w:tc>
          <w:tcPr>
            <w:tcW w:w="1053" w:type="dxa"/>
            <w:tcBorders/>
            <w:tcMar>
              <w:bottom w:w="0" w:type="dxa"/>
            </w:tcMar>
            <w:vAlign w:val="center"/>
          </w:tcPr>
          <w:p>
            <w:pPr>
              <w:pStyle w:val="TableContents"/>
              <w:bidi w:val="0"/>
              <w:spacing w:before="0" w:after="0"/>
              <w:jc w:val="center"/>
              <w:rPr/>
            </w:pPr>
            <w:r>
              <w:rPr/>
              <w:t>4Q32</w:t>
            </w:r>
          </w:p>
        </w:tc>
        <w:tc>
          <w:tcPr>
            <w:tcW w:w="1240" w:type="dxa"/>
            <w:tcBorders/>
            <w:tcMar>
              <w:bottom w:w="0" w:type="dxa"/>
            </w:tcMar>
            <w:vAlign w:val="center"/>
          </w:tcPr>
          <w:p>
            <w:pPr>
              <w:pStyle w:val="TableContents"/>
              <w:bidi w:val="0"/>
              <w:spacing w:lineRule="auto" w:line="240" w:before="0" w:after="0"/>
              <w:jc w:val="center"/>
              <w:rPr/>
            </w:pPr>
            <w:r>
              <w:rPr/>
              <w:t>65,000 (3)</w:t>
            </w:r>
          </w:p>
        </w:tc>
      </w:tr>
      <w:tr>
        <w:trPr/>
        <w:tc>
          <w:tcPr>
            <w:tcW w:w="1880" w:type="dxa"/>
            <w:tcBorders/>
            <w:shd w:fill="CCEEFF" w:val="clear"/>
            <w:tcMar>
              <w:bottom w:w="0" w:type="dxa"/>
            </w:tcMar>
            <w:vAlign w:val="center"/>
          </w:tcPr>
          <w:p>
            <w:pPr>
              <w:pStyle w:val="TableContents"/>
              <w:bidi w:val="0"/>
              <w:spacing w:lineRule="auto" w:line="240" w:before="0" w:after="0"/>
              <w:jc w:val="left"/>
              <w:rPr/>
            </w:pPr>
            <w:r>
              <w:rPr/>
              <w:t>Sydney Express (1)</w:t>
            </w:r>
          </w:p>
        </w:tc>
        <w:tc>
          <w:tcPr>
            <w:tcW w:w="1189" w:type="dxa"/>
            <w:tcBorders/>
            <w:shd w:fill="CCEEFF" w:val="clear"/>
            <w:tcMar>
              <w:bottom w:w="0" w:type="dxa"/>
            </w:tcMar>
            <w:vAlign w:val="center"/>
          </w:tcPr>
          <w:p>
            <w:pPr>
              <w:pStyle w:val="TableContents"/>
              <w:bidi w:val="0"/>
              <w:spacing w:before="0" w:after="0"/>
              <w:ind w:left="370" w:right="0" w:hanging="0"/>
              <w:jc w:val="center"/>
              <w:rPr/>
            </w:pPr>
            <w:r>
              <w:rPr/>
              <w:t>9,019</w:t>
            </w:r>
          </w:p>
        </w:tc>
        <w:tc>
          <w:tcPr>
            <w:tcW w:w="1424" w:type="dxa"/>
            <w:tcBorders/>
            <w:shd w:fill="CCEEFF" w:val="clear"/>
            <w:tcMar>
              <w:bottom w:w="0" w:type="dxa"/>
            </w:tcMar>
            <w:vAlign w:val="center"/>
          </w:tcPr>
          <w:p>
            <w:pPr>
              <w:pStyle w:val="TableContents"/>
              <w:bidi w:val="0"/>
              <w:spacing w:before="0" w:after="0"/>
              <w:jc w:val="center"/>
              <w:rPr/>
            </w:pPr>
            <w:r>
              <w:rPr/>
              <w:t>31,254</w:t>
            </w:r>
          </w:p>
        </w:tc>
        <w:tc>
          <w:tcPr>
            <w:tcW w:w="684" w:type="dxa"/>
            <w:tcBorders/>
            <w:shd w:fill="CCEEFF" w:val="clear"/>
            <w:tcMar>
              <w:bottom w:w="0" w:type="dxa"/>
            </w:tcMar>
            <w:vAlign w:val="center"/>
          </w:tcPr>
          <w:p>
            <w:pPr>
              <w:pStyle w:val="TableContents"/>
              <w:bidi w:val="0"/>
              <w:spacing w:before="0" w:after="0"/>
              <w:jc w:val="center"/>
              <w:rPr/>
            </w:pPr>
            <w:r>
              <w:rPr/>
              <w:t>2016</w:t>
            </w:r>
          </w:p>
        </w:tc>
        <w:tc>
          <w:tcPr>
            <w:tcW w:w="1295" w:type="dxa"/>
            <w:tcBorders/>
            <w:shd w:fill="CCEEFF" w:val="clear"/>
            <w:tcMar>
              <w:bottom w:w="0" w:type="dxa"/>
            </w:tcMar>
            <w:vAlign w:val="center"/>
          </w:tcPr>
          <w:p>
            <w:pPr>
              <w:pStyle w:val="TableContents"/>
              <w:bidi w:val="0"/>
              <w:spacing w:before="0" w:after="0"/>
              <w:jc w:val="center"/>
              <w:rPr/>
            </w:pPr>
            <w:r>
              <w:rPr/>
              <w:t>Hapag-Lloyd</w:t>
            </w:r>
          </w:p>
        </w:tc>
        <w:tc>
          <w:tcPr>
            <w:tcW w:w="1440" w:type="dxa"/>
            <w:tcBorders/>
            <w:shd w:fill="CCEEFF" w:val="clear"/>
            <w:tcMar>
              <w:bottom w:w="0" w:type="dxa"/>
            </w:tcMar>
            <w:vAlign w:val="center"/>
          </w:tcPr>
          <w:p>
            <w:pPr>
              <w:pStyle w:val="TableContents"/>
              <w:bidi w:val="0"/>
              <w:spacing w:before="0" w:after="0"/>
              <w:jc w:val="center"/>
              <w:rPr/>
            </w:pPr>
            <w:r>
              <w:rPr/>
              <w:t>3Q27</w:t>
            </w:r>
          </w:p>
        </w:tc>
        <w:tc>
          <w:tcPr>
            <w:tcW w:w="1053" w:type="dxa"/>
            <w:tcBorders/>
            <w:shd w:fill="CCEEFF" w:val="clear"/>
            <w:tcMar>
              <w:bottom w:w="0" w:type="dxa"/>
            </w:tcMar>
            <w:vAlign w:val="center"/>
          </w:tcPr>
          <w:p>
            <w:pPr>
              <w:pStyle w:val="TableContents"/>
              <w:bidi w:val="0"/>
              <w:spacing w:before="0" w:after="0"/>
              <w:jc w:val="center"/>
              <w:rPr/>
            </w:pPr>
            <w:r>
              <w:rPr/>
              <w:t>4Q29</w:t>
            </w:r>
          </w:p>
        </w:tc>
        <w:tc>
          <w:tcPr>
            <w:tcW w:w="1240" w:type="dxa"/>
            <w:tcBorders/>
            <w:shd w:fill="CCEEFF" w:val="clear"/>
            <w:tcMar>
              <w:bottom w:w="0" w:type="dxa"/>
            </w:tcMar>
            <w:vAlign w:val="center"/>
          </w:tcPr>
          <w:p>
            <w:pPr>
              <w:pStyle w:val="TableContents"/>
              <w:bidi w:val="0"/>
              <w:spacing w:lineRule="auto" w:line="240" w:before="0" w:after="0"/>
              <w:jc w:val="center"/>
              <w:rPr/>
            </w:pPr>
            <w:r>
              <w:rPr/>
              <w:t>Footnote (5)</w:t>
            </w:r>
          </w:p>
        </w:tc>
      </w:tr>
      <w:tr>
        <w:trPr/>
        <w:tc>
          <w:tcPr>
            <w:tcW w:w="1880" w:type="dxa"/>
            <w:tcBorders/>
            <w:tcMar>
              <w:bottom w:w="0" w:type="dxa"/>
            </w:tcMar>
            <w:vAlign w:val="center"/>
          </w:tcPr>
          <w:p>
            <w:pPr>
              <w:pStyle w:val="TableContents"/>
              <w:bidi w:val="0"/>
              <w:spacing w:lineRule="auto" w:line="240" w:before="0" w:after="0"/>
              <w:jc w:val="left"/>
              <w:rPr/>
            </w:pPr>
            <w:r>
              <w:rPr/>
              <w:t>Istanbul Express (1)</w:t>
            </w:r>
          </w:p>
        </w:tc>
        <w:tc>
          <w:tcPr>
            <w:tcW w:w="1189" w:type="dxa"/>
            <w:tcBorders/>
            <w:tcMar>
              <w:bottom w:w="0" w:type="dxa"/>
            </w:tcMar>
            <w:vAlign w:val="center"/>
          </w:tcPr>
          <w:p>
            <w:pPr>
              <w:pStyle w:val="TableContents"/>
              <w:bidi w:val="0"/>
              <w:spacing w:before="0" w:after="0"/>
              <w:ind w:left="370" w:right="0" w:hanging="0"/>
              <w:jc w:val="center"/>
              <w:rPr/>
            </w:pPr>
            <w:r>
              <w:rPr/>
              <w:t>9,019</w:t>
            </w:r>
          </w:p>
        </w:tc>
        <w:tc>
          <w:tcPr>
            <w:tcW w:w="1424" w:type="dxa"/>
            <w:tcBorders/>
            <w:tcMar>
              <w:bottom w:w="0" w:type="dxa"/>
            </w:tcMar>
            <w:vAlign w:val="center"/>
          </w:tcPr>
          <w:p>
            <w:pPr>
              <w:pStyle w:val="TableContents"/>
              <w:bidi w:val="0"/>
              <w:spacing w:before="0" w:after="0"/>
              <w:jc w:val="center"/>
              <w:rPr/>
            </w:pPr>
            <w:r>
              <w:rPr/>
              <w:t>31,380</w:t>
            </w:r>
          </w:p>
        </w:tc>
        <w:tc>
          <w:tcPr>
            <w:tcW w:w="684" w:type="dxa"/>
            <w:tcBorders/>
            <w:tcMar>
              <w:bottom w:w="0" w:type="dxa"/>
            </w:tcMar>
            <w:vAlign w:val="center"/>
          </w:tcPr>
          <w:p>
            <w:pPr>
              <w:pStyle w:val="TableContents"/>
              <w:bidi w:val="0"/>
              <w:spacing w:before="0" w:after="0"/>
              <w:jc w:val="center"/>
              <w:rPr/>
            </w:pPr>
            <w:r>
              <w:rPr/>
              <w:t>2016</w:t>
            </w:r>
          </w:p>
        </w:tc>
        <w:tc>
          <w:tcPr>
            <w:tcW w:w="1295" w:type="dxa"/>
            <w:tcBorders/>
            <w:tcMar>
              <w:bottom w:w="0" w:type="dxa"/>
            </w:tcMar>
            <w:vAlign w:val="center"/>
          </w:tcPr>
          <w:p>
            <w:pPr>
              <w:pStyle w:val="TableContents"/>
              <w:bidi w:val="0"/>
              <w:spacing w:before="0" w:after="0"/>
              <w:jc w:val="center"/>
              <w:rPr/>
            </w:pPr>
            <w:r>
              <w:rPr/>
              <w:t>Hapag-Lloyd</w:t>
            </w:r>
          </w:p>
        </w:tc>
        <w:tc>
          <w:tcPr>
            <w:tcW w:w="1440" w:type="dxa"/>
            <w:tcBorders/>
            <w:tcMar>
              <w:bottom w:w="0" w:type="dxa"/>
            </w:tcMar>
            <w:vAlign w:val="center"/>
          </w:tcPr>
          <w:p>
            <w:pPr>
              <w:pStyle w:val="TableContents"/>
              <w:bidi w:val="0"/>
              <w:spacing w:before="0" w:after="0"/>
              <w:jc w:val="center"/>
              <w:rPr/>
            </w:pPr>
            <w:r>
              <w:rPr/>
              <w:t>1Q28</w:t>
            </w:r>
          </w:p>
        </w:tc>
        <w:tc>
          <w:tcPr>
            <w:tcW w:w="1053" w:type="dxa"/>
            <w:tcBorders/>
            <w:tcMar>
              <w:bottom w:w="0" w:type="dxa"/>
            </w:tcMar>
            <w:vAlign w:val="center"/>
          </w:tcPr>
          <w:p>
            <w:pPr>
              <w:pStyle w:val="TableContents"/>
              <w:bidi w:val="0"/>
              <w:spacing w:before="0" w:after="0"/>
              <w:jc w:val="center"/>
              <w:rPr/>
            </w:pPr>
            <w:r>
              <w:rPr/>
              <w:t>2Q30</w:t>
            </w:r>
          </w:p>
        </w:tc>
        <w:tc>
          <w:tcPr>
            <w:tcW w:w="1240" w:type="dxa"/>
            <w:tcBorders/>
            <w:tcMar>
              <w:bottom w:w="0" w:type="dxa"/>
            </w:tcMar>
            <w:vAlign w:val="center"/>
          </w:tcPr>
          <w:p>
            <w:pPr>
              <w:pStyle w:val="TableContents"/>
              <w:bidi w:val="0"/>
              <w:spacing w:lineRule="auto" w:line="240" w:before="0" w:after="0"/>
              <w:jc w:val="center"/>
              <w:rPr/>
            </w:pPr>
            <w:r>
              <w:rPr/>
              <w:t>Footnote (5)</w:t>
            </w:r>
          </w:p>
        </w:tc>
      </w:tr>
      <w:tr>
        <w:trPr/>
        <w:tc>
          <w:tcPr>
            <w:tcW w:w="1880" w:type="dxa"/>
            <w:tcBorders/>
            <w:shd w:fill="CCEEFF" w:val="clear"/>
            <w:tcMar>
              <w:bottom w:w="0" w:type="dxa"/>
            </w:tcMar>
            <w:vAlign w:val="center"/>
          </w:tcPr>
          <w:p>
            <w:pPr>
              <w:pStyle w:val="TableContents"/>
              <w:bidi w:val="0"/>
              <w:spacing w:lineRule="auto" w:line="240" w:before="0" w:after="0"/>
              <w:jc w:val="left"/>
              <w:rPr/>
            </w:pPr>
            <w:r>
              <w:rPr/>
              <w:t>Bremerhaven Express (1)</w:t>
            </w:r>
          </w:p>
        </w:tc>
        <w:tc>
          <w:tcPr>
            <w:tcW w:w="1189" w:type="dxa"/>
            <w:tcBorders/>
            <w:shd w:fill="CCEEFF" w:val="clear"/>
            <w:tcMar>
              <w:bottom w:w="0" w:type="dxa"/>
            </w:tcMar>
            <w:vAlign w:val="center"/>
          </w:tcPr>
          <w:p>
            <w:pPr>
              <w:pStyle w:val="TableContents"/>
              <w:bidi w:val="0"/>
              <w:spacing w:before="0" w:after="0"/>
              <w:ind w:left="370" w:right="0" w:hanging="0"/>
              <w:jc w:val="center"/>
              <w:rPr/>
            </w:pPr>
            <w:r>
              <w:rPr/>
              <w:t>9,019</w:t>
            </w:r>
          </w:p>
        </w:tc>
        <w:tc>
          <w:tcPr>
            <w:tcW w:w="1424" w:type="dxa"/>
            <w:tcBorders/>
            <w:shd w:fill="CCEEFF" w:val="clear"/>
            <w:tcMar>
              <w:bottom w:w="0" w:type="dxa"/>
            </w:tcMar>
            <w:vAlign w:val="center"/>
          </w:tcPr>
          <w:p>
            <w:pPr>
              <w:pStyle w:val="TableContents"/>
              <w:bidi w:val="0"/>
              <w:spacing w:before="0" w:after="0"/>
              <w:jc w:val="center"/>
              <w:rPr/>
            </w:pPr>
            <w:r>
              <w:rPr/>
              <w:t>31,319</w:t>
            </w:r>
          </w:p>
        </w:tc>
        <w:tc>
          <w:tcPr>
            <w:tcW w:w="684" w:type="dxa"/>
            <w:tcBorders/>
            <w:shd w:fill="CCEEFF" w:val="clear"/>
            <w:tcMar>
              <w:bottom w:w="0" w:type="dxa"/>
            </w:tcMar>
            <w:vAlign w:val="center"/>
          </w:tcPr>
          <w:p>
            <w:pPr>
              <w:pStyle w:val="TableContents"/>
              <w:bidi w:val="0"/>
              <w:spacing w:before="0" w:after="0"/>
              <w:jc w:val="center"/>
              <w:rPr/>
            </w:pPr>
            <w:r>
              <w:rPr/>
              <w:t>2015</w:t>
            </w:r>
          </w:p>
        </w:tc>
        <w:tc>
          <w:tcPr>
            <w:tcW w:w="1295" w:type="dxa"/>
            <w:tcBorders/>
            <w:shd w:fill="CCEEFF" w:val="clear"/>
            <w:tcMar>
              <w:bottom w:w="0" w:type="dxa"/>
            </w:tcMar>
            <w:vAlign w:val="center"/>
          </w:tcPr>
          <w:p>
            <w:pPr>
              <w:pStyle w:val="TableContents"/>
              <w:bidi w:val="0"/>
              <w:spacing w:before="0" w:after="0"/>
              <w:jc w:val="center"/>
              <w:rPr/>
            </w:pPr>
            <w:r>
              <w:rPr/>
              <w:t>Hapag Lloyd</w:t>
            </w:r>
          </w:p>
        </w:tc>
        <w:tc>
          <w:tcPr>
            <w:tcW w:w="1440" w:type="dxa"/>
            <w:tcBorders/>
            <w:shd w:fill="CCEEFF" w:val="clear"/>
            <w:tcMar>
              <w:bottom w:w="0" w:type="dxa"/>
            </w:tcMar>
            <w:vAlign w:val="center"/>
          </w:tcPr>
          <w:p>
            <w:pPr>
              <w:pStyle w:val="TableContents"/>
              <w:bidi w:val="0"/>
              <w:spacing w:before="0" w:after="0"/>
              <w:jc w:val="center"/>
              <w:rPr/>
            </w:pPr>
            <w:r>
              <w:rPr/>
              <w:t>2Q27</w:t>
            </w:r>
          </w:p>
        </w:tc>
        <w:tc>
          <w:tcPr>
            <w:tcW w:w="1053" w:type="dxa"/>
            <w:tcBorders/>
            <w:shd w:fill="CCEEFF" w:val="clear"/>
            <w:tcMar>
              <w:bottom w:w="0" w:type="dxa"/>
            </w:tcMar>
            <w:vAlign w:val="center"/>
          </w:tcPr>
          <w:p>
            <w:pPr>
              <w:pStyle w:val="TableContents"/>
              <w:bidi w:val="0"/>
              <w:spacing w:before="0" w:after="0"/>
              <w:jc w:val="center"/>
              <w:rPr/>
            </w:pPr>
            <w:r>
              <w:rPr/>
              <w:t>3Q29</w:t>
            </w:r>
          </w:p>
        </w:tc>
        <w:tc>
          <w:tcPr>
            <w:tcW w:w="1240" w:type="dxa"/>
            <w:tcBorders/>
            <w:shd w:fill="CCEEFF" w:val="clear"/>
            <w:tcMar>
              <w:bottom w:w="0" w:type="dxa"/>
            </w:tcMar>
            <w:vAlign w:val="center"/>
          </w:tcPr>
          <w:p>
            <w:pPr>
              <w:pStyle w:val="TableContents"/>
              <w:bidi w:val="0"/>
              <w:spacing w:lineRule="auto" w:line="240" w:before="0" w:after="0"/>
              <w:jc w:val="center"/>
              <w:rPr/>
            </w:pPr>
            <w:r>
              <w:rPr/>
              <w:t>Footnote (5)</w:t>
            </w:r>
          </w:p>
        </w:tc>
      </w:tr>
      <w:tr>
        <w:trPr/>
        <w:tc>
          <w:tcPr>
            <w:tcW w:w="1880" w:type="dxa"/>
            <w:tcBorders/>
            <w:tcMar>
              <w:bottom w:w="0" w:type="dxa"/>
            </w:tcMar>
            <w:vAlign w:val="center"/>
          </w:tcPr>
          <w:p>
            <w:pPr>
              <w:pStyle w:val="TableContents"/>
              <w:bidi w:val="0"/>
              <w:spacing w:lineRule="auto" w:line="240" w:before="0" w:after="0"/>
              <w:jc w:val="left"/>
              <w:rPr/>
            </w:pPr>
            <w:r>
              <w:rPr/>
              <w:t>Czech (1)</w:t>
            </w:r>
          </w:p>
        </w:tc>
        <w:tc>
          <w:tcPr>
            <w:tcW w:w="1189" w:type="dxa"/>
            <w:tcBorders/>
            <w:tcMar>
              <w:bottom w:w="0" w:type="dxa"/>
            </w:tcMar>
            <w:vAlign w:val="center"/>
          </w:tcPr>
          <w:p>
            <w:pPr>
              <w:pStyle w:val="TableContents"/>
              <w:bidi w:val="0"/>
              <w:spacing w:before="0" w:after="0"/>
              <w:ind w:left="370" w:right="0" w:hanging="0"/>
              <w:jc w:val="center"/>
              <w:rPr/>
            </w:pPr>
            <w:r>
              <w:rPr/>
              <w:t>9,019</w:t>
            </w:r>
          </w:p>
        </w:tc>
        <w:tc>
          <w:tcPr>
            <w:tcW w:w="1424" w:type="dxa"/>
            <w:tcBorders/>
            <w:tcMar>
              <w:bottom w:w="0" w:type="dxa"/>
            </w:tcMar>
            <w:vAlign w:val="center"/>
          </w:tcPr>
          <w:p>
            <w:pPr>
              <w:pStyle w:val="TableContents"/>
              <w:bidi w:val="0"/>
              <w:spacing w:before="0" w:after="0"/>
              <w:jc w:val="center"/>
              <w:rPr/>
            </w:pPr>
            <w:r>
              <w:rPr/>
              <w:t>31,319</w:t>
            </w:r>
          </w:p>
        </w:tc>
        <w:tc>
          <w:tcPr>
            <w:tcW w:w="684" w:type="dxa"/>
            <w:tcBorders/>
            <w:tcMar>
              <w:bottom w:w="0" w:type="dxa"/>
            </w:tcMar>
            <w:vAlign w:val="center"/>
          </w:tcPr>
          <w:p>
            <w:pPr>
              <w:pStyle w:val="TableContents"/>
              <w:bidi w:val="0"/>
              <w:spacing w:before="0" w:after="0"/>
              <w:jc w:val="center"/>
              <w:rPr/>
            </w:pPr>
            <w:r>
              <w:rPr/>
              <w:t>2015</w:t>
            </w:r>
          </w:p>
        </w:tc>
        <w:tc>
          <w:tcPr>
            <w:tcW w:w="1295" w:type="dxa"/>
            <w:tcBorders/>
            <w:tcMar>
              <w:bottom w:w="0" w:type="dxa"/>
            </w:tcMar>
            <w:vAlign w:val="center"/>
          </w:tcPr>
          <w:p>
            <w:pPr>
              <w:pStyle w:val="TableContents"/>
              <w:bidi w:val="0"/>
              <w:spacing w:before="0" w:after="0"/>
              <w:jc w:val="center"/>
              <w:rPr/>
            </w:pPr>
            <w:r>
              <w:rPr/>
              <w:t>Hapag-Lloyd</w:t>
            </w:r>
          </w:p>
        </w:tc>
        <w:tc>
          <w:tcPr>
            <w:tcW w:w="1440" w:type="dxa"/>
            <w:tcBorders/>
            <w:tcMar>
              <w:bottom w:w="0" w:type="dxa"/>
            </w:tcMar>
            <w:vAlign w:val="center"/>
          </w:tcPr>
          <w:p>
            <w:pPr>
              <w:pStyle w:val="TableContents"/>
              <w:bidi w:val="0"/>
              <w:spacing w:before="0" w:after="0"/>
              <w:jc w:val="center"/>
              <w:rPr/>
            </w:pPr>
            <w:r>
              <w:rPr/>
              <w:t>2Q28</w:t>
            </w:r>
          </w:p>
        </w:tc>
        <w:tc>
          <w:tcPr>
            <w:tcW w:w="1053" w:type="dxa"/>
            <w:tcBorders/>
            <w:tcMar>
              <w:bottom w:w="0" w:type="dxa"/>
            </w:tcMar>
            <w:vAlign w:val="center"/>
          </w:tcPr>
          <w:p>
            <w:pPr>
              <w:pStyle w:val="TableContents"/>
              <w:bidi w:val="0"/>
              <w:spacing w:before="0" w:after="0"/>
              <w:jc w:val="center"/>
              <w:rPr/>
            </w:pPr>
            <w:r>
              <w:rPr/>
              <w:t>3Q30</w:t>
            </w:r>
          </w:p>
        </w:tc>
        <w:tc>
          <w:tcPr>
            <w:tcW w:w="1240" w:type="dxa"/>
            <w:tcBorders/>
            <w:tcMar>
              <w:bottom w:w="0" w:type="dxa"/>
            </w:tcMar>
            <w:vAlign w:val="center"/>
          </w:tcPr>
          <w:p>
            <w:pPr>
              <w:pStyle w:val="TableContents"/>
              <w:bidi w:val="0"/>
              <w:spacing w:lineRule="auto" w:line="240" w:before="0" w:after="0"/>
              <w:jc w:val="center"/>
              <w:rPr/>
            </w:pPr>
            <w:r>
              <w:rPr/>
              <w:t>Footnote (5)</w:t>
            </w:r>
          </w:p>
        </w:tc>
      </w:tr>
      <w:tr>
        <w:trPr/>
        <w:tc>
          <w:tcPr>
            <w:tcW w:w="1880" w:type="dxa"/>
            <w:tcBorders/>
            <w:shd w:fill="CCEEFF" w:val="clear"/>
            <w:tcMar>
              <w:bottom w:w="0" w:type="dxa"/>
            </w:tcMar>
            <w:vAlign w:val="center"/>
          </w:tcPr>
          <w:p>
            <w:pPr>
              <w:pStyle w:val="TableContents"/>
              <w:bidi w:val="0"/>
              <w:spacing w:before="0" w:after="0"/>
              <w:jc w:val="left"/>
              <w:rPr/>
            </w:pPr>
            <w:r>
              <w:rPr/>
              <w:t>MSC Tianjin</w:t>
            </w:r>
          </w:p>
        </w:tc>
        <w:tc>
          <w:tcPr>
            <w:tcW w:w="1189" w:type="dxa"/>
            <w:tcBorders/>
            <w:shd w:fill="CCEEFF" w:val="clear"/>
            <w:tcMar>
              <w:bottom w:w="0" w:type="dxa"/>
            </w:tcMar>
            <w:vAlign w:val="center"/>
          </w:tcPr>
          <w:p>
            <w:pPr>
              <w:pStyle w:val="TableContents"/>
              <w:bidi w:val="0"/>
              <w:spacing w:before="0" w:after="0"/>
              <w:ind w:left="370" w:right="0" w:hanging="0"/>
              <w:jc w:val="center"/>
              <w:rPr/>
            </w:pPr>
            <w:r>
              <w:rPr/>
              <w:t>8,603</w:t>
            </w:r>
          </w:p>
        </w:tc>
        <w:tc>
          <w:tcPr>
            <w:tcW w:w="1424" w:type="dxa"/>
            <w:tcBorders/>
            <w:shd w:fill="CCEEFF" w:val="clear"/>
            <w:tcMar>
              <w:bottom w:w="0" w:type="dxa"/>
            </w:tcMar>
            <w:vAlign w:val="center"/>
          </w:tcPr>
          <w:p>
            <w:pPr>
              <w:pStyle w:val="TableContents"/>
              <w:bidi w:val="0"/>
              <w:spacing w:before="0" w:after="0"/>
              <w:jc w:val="center"/>
              <w:rPr/>
            </w:pPr>
            <w:r>
              <w:rPr/>
              <w:t>34,243</w:t>
            </w:r>
          </w:p>
        </w:tc>
        <w:tc>
          <w:tcPr>
            <w:tcW w:w="684" w:type="dxa"/>
            <w:tcBorders/>
            <w:shd w:fill="CCEEFF" w:val="clear"/>
            <w:tcMar>
              <w:bottom w:w="0" w:type="dxa"/>
            </w:tcMar>
            <w:vAlign w:val="center"/>
          </w:tcPr>
          <w:p>
            <w:pPr>
              <w:pStyle w:val="TableContents"/>
              <w:bidi w:val="0"/>
              <w:spacing w:before="0" w:after="0"/>
              <w:jc w:val="center"/>
              <w:rPr/>
            </w:pPr>
            <w:r>
              <w:rPr/>
              <w:t>2005</w:t>
            </w:r>
          </w:p>
        </w:tc>
        <w:tc>
          <w:tcPr>
            <w:tcW w:w="1295" w:type="dxa"/>
            <w:tcBorders/>
            <w:shd w:fill="CCEEFF" w:val="clear"/>
            <w:tcMar>
              <w:bottom w:w="0" w:type="dxa"/>
            </w:tcMar>
            <w:vAlign w:val="center"/>
          </w:tcPr>
          <w:p>
            <w:pPr>
              <w:pStyle w:val="TableContents"/>
              <w:bidi w:val="0"/>
              <w:spacing w:lineRule="auto" w:line="240" w:before="0" w:after="0"/>
              <w:jc w:val="center"/>
              <w:rPr/>
            </w:pPr>
            <w:r>
              <w:rPr/>
              <w:t>MSC (6)</w:t>
            </w:r>
          </w:p>
        </w:tc>
        <w:tc>
          <w:tcPr>
            <w:tcW w:w="1440" w:type="dxa"/>
            <w:tcBorders/>
            <w:shd w:fill="CCEEFF" w:val="clear"/>
            <w:tcMar>
              <w:bottom w:w="0" w:type="dxa"/>
            </w:tcMar>
            <w:vAlign w:val="center"/>
          </w:tcPr>
          <w:p>
            <w:pPr>
              <w:pStyle w:val="TableContents"/>
              <w:bidi w:val="0"/>
              <w:spacing w:before="0" w:after="0"/>
              <w:jc w:val="center"/>
              <w:rPr/>
            </w:pPr>
            <w:r>
              <w:rPr/>
              <w:t>3Q30</w:t>
            </w:r>
          </w:p>
        </w:tc>
        <w:tc>
          <w:tcPr>
            <w:tcW w:w="1053" w:type="dxa"/>
            <w:tcBorders/>
            <w:shd w:fill="CCEEFF" w:val="clear"/>
            <w:tcMar>
              <w:bottom w:w="0" w:type="dxa"/>
            </w:tcMar>
            <w:vAlign w:val="center"/>
          </w:tcPr>
          <w:p>
            <w:pPr>
              <w:pStyle w:val="TableContents"/>
              <w:bidi w:val="0"/>
              <w:spacing w:before="0" w:after="0"/>
              <w:jc w:val="center"/>
              <w:rPr/>
            </w:pPr>
            <w:r>
              <w:rPr/>
              <w:t>1Q31</w:t>
            </w:r>
          </w:p>
        </w:tc>
        <w:tc>
          <w:tcPr>
            <w:tcW w:w="1240" w:type="dxa"/>
            <w:tcBorders/>
            <w:shd w:fill="CCEEFF" w:val="clear"/>
            <w:tcMar>
              <w:bottom w:w="0" w:type="dxa"/>
            </w:tcMar>
            <w:vAlign w:val="center"/>
          </w:tcPr>
          <w:p>
            <w:pPr>
              <w:pStyle w:val="TableContents"/>
              <w:bidi w:val="0"/>
              <w:spacing w:lineRule="auto" w:line="240" w:before="0" w:after="0"/>
              <w:jc w:val="center"/>
              <w:rPr/>
            </w:pPr>
            <w:r>
              <w:rPr/>
              <w:t>Footnote (6)</w:t>
            </w:r>
          </w:p>
        </w:tc>
      </w:tr>
      <w:tr>
        <w:trPr/>
        <w:tc>
          <w:tcPr>
            <w:tcW w:w="1880" w:type="dxa"/>
            <w:tcBorders/>
            <w:tcMar>
              <w:bottom w:w="0" w:type="dxa"/>
            </w:tcMar>
            <w:vAlign w:val="center"/>
          </w:tcPr>
          <w:p>
            <w:pPr>
              <w:pStyle w:val="TableContents"/>
              <w:bidi w:val="0"/>
              <w:spacing w:before="0" w:after="0"/>
              <w:jc w:val="left"/>
              <w:rPr/>
            </w:pPr>
            <w:r>
              <w:rPr/>
              <w:t>MSC Qingdao</w:t>
            </w:r>
          </w:p>
        </w:tc>
        <w:tc>
          <w:tcPr>
            <w:tcW w:w="1189" w:type="dxa"/>
            <w:tcBorders/>
            <w:tcMar>
              <w:bottom w:w="0" w:type="dxa"/>
            </w:tcMar>
            <w:vAlign w:val="center"/>
          </w:tcPr>
          <w:p>
            <w:pPr>
              <w:pStyle w:val="TableContents"/>
              <w:bidi w:val="0"/>
              <w:spacing w:before="0" w:after="0"/>
              <w:ind w:left="370" w:right="0" w:hanging="0"/>
              <w:jc w:val="center"/>
              <w:rPr/>
            </w:pPr>
            <w:r>
              <w:rPr/>
              <w:t>8,603</w:t>
            </w:r>
          </w:p>
        </w:tc>
        <w:tc>
          <w:tcPr>
            <w:tcW w:w="1424" w:type="dxa"/>
            <w:tcBorders/>
            <w:tcMar>
              <w:bottom w:w="0" w:type="dxa"/>
            </w:tcMar>
            <w:vAlign w:val="center"/>
          </w:tcPr>
          <w:p>
            <w:pPr>
              <w:pStyle w:val="TableContents"/>
              <w:bidi w:val="0"/>
              <w:spacing w:before="0" w:after="0"/>
              <w:jc w:val="center"/>
              <w:rPr/>
            </w:pPr>
            <w:r>
              <w:rPr/>
              <w:t>34,586</w:t>
            </w:r>
          </w:p>
        </w:tc>
        <w:tc>
          <w:tcPr>
            <w:tcW w:w="684" w:type="dxa"/>
            <w:tcBorders/>
            <w:tcMar>
              <w:bottom w:w="0" w:type="dxa"/>
            </w:tcMar>
            <w:vAlign w:val="center"/>
          </w:tcPr>
          <w:p>
            <w:pPr>
              <w:pStyle w:val="TableContents"/>
              <w:bidi w:val="0"/>
              <w:spacing w:before="0" w:after="0"/>
              <w:jc w:val="center"/>
              <w:rPr/>
            </w:pPr>
            <w:r>
              <w:rPr/>
              <w:t>2004</w:t>
            </w:r>
          </w:p>
        </w:tc>
        <w:tc>
          <w:tcPr>
            <w:tcW w:w="1295" w:type="dxa"/>
            <w:tcBorders/>
            <w:tcMar>
              <w:bottom w:w="0" w:type="dxa"/>
            </w:tcMar>
            <w:vAlign w:val="center"/>
          </w:tcPr>
          <w:p>
            <w:pPr>
              <w:pStyle w:val="TableContents"/>
              <w:bidi w:val="0"/>
              <w:spacing w:lineRule="auto" w:line="240" w:before="0" w:after="0"/>
              <w:jc w:val="center"/>
              <w:rPr/>
            </w:pPr>
            <w:r>
              <w:rPr/>
              <w:t>MSC (6)</w:t>
            </w:r>
          </w:p>
        </w:tc>
        <w:tc>
          <w:tcPr>
            <w:tcW w:w="1440" w:type="dxa"/>
            <w:tcBorders/>
            <w:tcMar>
              <w:bottom w:w="0" w:type="dxa"/>
            </w:tcMar>
            <w:vAlign w:val="center"/>
          </w:tcPr>
          <w:p>
            <w:pPr>
              <w:pStyle w:val="TableContents"/>
              <w:bidi w:val="0"/>
              <w:spacing w:before="0" w:after="0"/>
              <w:jc w:val="center"/>
              <w:rPr/>
            </w:pPr>
            <w:r>
              <w:rPr/>
              <w:t>4Q30</w:t>
            </w:r>
          </w:p>
        </w:tc>
        <w:tc>
          <w:tcPr>
            <w:tcW w:w="1053" w:type="dxa"/>
            <w:tcBorders/>
            <w:tcMar>
              <w:bottom w:w="0" w:type="dxa"/>
            </w:tcMar>
            <w:vAlign w:val="center"/>
          </w:tcPr>
          <w:p>
            <w:pPr>
              <w:pStyle w:val="TableContents"/>
              <w:bidi w:val="0"/>
              <w:spacing w:before="0" w:after="0"/>
              <w:jc w:val="center"/>
              <w:rPr/>
            </w:pPr>
            <w:r>
              <w:rPr/>
              <w:t>1Q31</w:t>
            </w:r>
          </w:p>
        </w:tc>
        <w:tc>
          <w:tcPr>
            <w:tcW w:w="1240" w:type="dxa"/>
            <w:tcBorders/>
            <w:tcMar>
              <w:bottom w:w="0" w:type="dxa"/>
            </w:tcMar>
            <w:vAlign w:val="center"/>
          </w:tcPr>
          <w:p>
            <w:pPr>
              <w:pStyle w:val="TableContents"/>
              <w:bidi w:val="0"/>
              <w:spacing w:lineRule="auto" w:line="240" w:before="0" w:after="0"/>
              <w:jc w:val="center"/>
              <w:rPr/>
            </w:pPr>
            <w:r>
              <w:rPr/>
              <w:t>Footnote (6)</w:t>
            </w:r>
          </w:p>
        </w:tc>
      </w:tr>
      <w:tr>
        <w:trPr/>
        <w:tc>
          <w:tcPr>
            <w:tcW w:w="1880" w:type="dxa"/>
            <w:tcBorders/>
            <w:shd w:fill="CCEEFF" w:val="clear"/>
            <w:tcMar>
              <w:bottom w:w="0" w:type="dxa"/>
            </w:tcMar>
            <w:vAlign w:val="center"/>
          </w:tcPr>
          <w:p>
            <w:pPr>
              <w:pStyle w:val="TableContents"/>
              <w:bidi w:val="0"/>
              <w:spacing w:before="0" w:after="0"/>
              <w:jc w:val="left"/>
              <w:rPr/>
            </w:pPr>
            <w:r>
              <w:rPr/>
              <w:t>GSL Ningbo</w:t>
            </w:r>
          </w:p>
        </w:tc>
        <w:tc>
          <w:tcPr>
            <w:tcW w:w="1189" w:type="dxa"/>
            <w:tcBorders/>
            <w:shd w:fill="CCEEFF" w:val="clear"/>
            <w:tcMar>
              <w:bottom w:w="0" w:type="dxa"/>
            </w:tcMar>
            <w:vAlign w:val="center"/>
          </w:tcPr>
          <w:p>
            <w:pPr>
              <w:pStyle w:val="TableContents"/>
              <w:bidi w:val="0"/>
              <w:spacing w:before="0" w:after="0"/>
              <w:ind w:left="370" w:right="0" w:hanging="0"/>
              <w:jc w:val="center"/>
              <w:rPr/>
            </w:pPr>
            <w:r>
              <w:rPr/>
              <w:t>8,603</w:t>
            </w:r>
          </w:p>
        </w:tc>
        <w:tc>
          <w:tcPr>
            <w:tcW w:w="1424" w:type="dxa"/>
            <w:tcBorders/>
            <w:shd w:fill="CCEEFF" w:val="clear"/>
            <w:tcMar>
              <w:bottom w:w="0" w:type="dxa"/>
            </w:tcMar>
            <w:vAlign w:val="center"/>
          </w:tcPr>
          <w:p>
            <w:pPr>
              <w:pStyle w:val="TableContents"/>
              <w:bidi w:val="0"/>
              <w:spacing w:before="0" w:after="0"/>
              <w:jc w:val="center"/>
              <w:rPr/>
            </w:pPr>
            <w:r>
              <w:rPr/>
              <w:t>34,340</w:t>
            </w:r>
          </w:p>
        </w:tc>
        <w:tc>
          <w:tcPr>
            <w:tcW w:w="684" w:type="dxa"/>
            <w:tcBorders/>
            <w:shd w:fill="CCEEFF" w:val="clear"/>
            <w:tcMar>
              <w:bottom w:w="0" w:type="dxa"/>
            </w:tcMar>
            <w:vAlign w:val="center"/>
          </w:tcPr>
          <w:p>
            <w:pPr>
              <w:pStyle w:val="TableContents"/>
              <w:bidi w:val="0"/>
              <w:spacing w:before="0" w:after="0"/>
              <w:jc w:val="center"/>
              <w:rPr/>
            </w:pPr>
            <w:r>
              <w:rPr/>
              <w:t>2004</w:t>
            </w:r>
          </w:p>
        </w:tc>
        <w:tc>
          <w:tcPr>
            <w:tcW w:w="1295" w:type="dxa"/>
            <w:tcBorders/>
            <w:shd w:fill="CCEEFF" w:val="clear"/>
            <w:tcMar>
              <w:bottom w:w="0" w:type="dxa"/>
            </w:tcMar>
            <w:vAlign w:val="center"/>
          </w:tcPr>
          <w:p>
            <w:pPr>
              <w:pStyle w:val="TableContents"/>
              <w:bidi w:val="0"/>
              <w:spacing w:lineRule="auto" w:line="240" w:before="0" w:after="0"/>
              <w:jc w:val="center"/>
              <w:rPr/>
            </w:pPr>
            <w:r>
              <w:rPr/>
              <w:t>MSC (7)</w:t>
            </w:r>
          </w:p>
        </w:tc>
        <w:tc>
          <w:tcPr>
            <w:tcW w:w="1440" w:type="dxa"/>
            <w:tcBorders/>
            <w:shd w:fill="CCEEFF" w:val="clear"/>
            <w:tcMar>
              <w:bottom w:w="0" w:type="dxa"/>
            </w:tcMar>
            <w:vAlign w:val="center"/>
          </w:tcPr>
          <w:p>
            <w:pPr>
              <w:pStyle w:val="TableContents"/>
              <w:bidi w:val="0"/>
              <w:spacing w:before="0" w:after="0"/>
              <w:jc w:val="center"/>
              <w:rPr/>
            </w:pPr>
            <w:r>
              <w:rPr/>
              <w:t>3Q30</w:t>
            </w:r>
          </w:p>
        </w:tc>
        <w:tc>
          <w:tcPr>
            <w:tcW w:w="1053" w:type="dxa"/>
            <w:tcBorders/>
            <w:shd w:fill="CCEEFF" w:val="clear"/>
            <w:tcMar>
              <w:bottom w:w="0" w:type="dxa"/>
            </w:tcMar>
            <w:vAlign w:val="center"/>
          </w:tcPr>
          <w:p>
            <w:pPr>
              <w:pStyle w:val="TableContents"/>
              <w:bidi w:val="0"/>
              <w:spacing w:before="0" w:after="0"/>
              <w:jc w:val="center"/>
              <w:rPr/>
            </w:pPr>
            <w:r>
              <w:rPr/>
              <w:t>1Q31</w:t>
            </w:r>
          </w:p>
        </w:tc>
        <w:tc>
          <w:tcPr>
            <w:tcW w:w="1240" w:type="dxa"/>
            <w:tcBorders/>
            <w:shd w:fill="CCEEFF" w:val="clear"/>
            <w:tcMar>
              <w:bottom w:w="0" w:type="dxa"/>
            </w:tcMar>
            <w:vAlign w:val="center"/>
          </w:tcPr>
          <w:p>
            <w:pPr>
              <w:pStyle w:val="TableContents"/>
              <w:bidi w:val="0"/>
              <w:spacing w:lineRule="auto" w:line="240" w:before="0" w:after="0"/>
              <w:jc w:val="center"/>
              <w:rPr/>
            </w:pPr>
            <w:r>
              <w:rPr/>
              <w:t>Footnote (7)</w:t>
            </w:r>
          </w:p>
        </w:tc>
      </w:tr>
      <w:tr>
        <w:trPr/>
        <w:tc>
          <w:tcPr>
            <w:tcW w:w="1880" w:type="dxa"/>
            <w:tcBorders/>
            <w:tcMar>
              <w:bottom w:w="0" w:type="dxa"/>
            </w:tcMar>
            <w:vAlign w:val="center"/>
          </w:tcPr>
          <w:p>
            <w:pPr>
              <w:pStyle w:val="TableContents"/>
              <w:bidi w:val="0"/>
              <w:spacing w:before="0" w:after="0"/>
              <w:jc w:val="left"/>
              <w:rPr/>
            </w:pPr>
            <w:r>
              <w:rPr/>
              <w:t>GSL Alexandra</w:t>
            </w:r>
          </w:p>
        </w:tc>
        <w:tc>
          <w:tcPr>
            <w:tcW w:w="1189" w:type="dxa"/>
            <w:tcBorders/>
            <w:tcMar>
              <w:bottom w:w="0" w:type="dxa"/>
            </w:tcMar>
            <w:vAlign w:val="center"/>
          </w:tcPr>
          <w:p>
            <w:pPr>
              <w:pStyle w:val="TableContents"/>
              <w:bidi w:val="0"/>
              <w:spacing w:before="0" w:after="0"/>
              <w:ind w:left="370" w:right="0" w:hanging="0"/>
              <w:jc w:val="center"/>
              <w:rPr/>
            </w:pPr>
            <w:r>
              <w:rPr/>
              <w:t>8,599</w:t>
            </w:r>
          </w:p>
        </w:tc>
        <w:tc>
          <w:tcPr>
            <w:tcW w:w="1424" w:type="dxa"/>
            <w:tcBorders/>
            <w:tcMar>
              <w:bottom w:w="0" w:type="dxa"/>
            </w:tcMar>
            <w:vAlign w:val="center"/>
          </w:tcPr>
          <w:p>
            <w:pPr>
              <w:pStyle w:val="TableContents"/>
              <w:bidi w:val="0"/>
              <w:spacing w:before="0" w:after="0"/>
              <w:jc w:val="center"/>
              <w:rPr/>
            </w:pPr>
            <w:r>
              <w:rPr/>
              <w:t>37,809</w:t>
            </w:r>
          </w:p>
        </w:tc>
        <w:tc>
          <w:tcPr>
            <w:tcW w:w="684" w:type="dxa"/>
            <w:tcBorders/>
            <w:tcMar>
              <w:bottom w:w="0" w:type="dxa"/>
            </w:tcMar>
            <w:vAlign w:val="center"/>
          </w:tcPr>
          <w:p>
            <w:pPr>
              <w:pStyle w:val="TableContents"/>
              <w:bidi w:val="0"/>
              <w:spacing w:before="0" w:after="0"/>
              <w:jc w:val="center"/>
              <w:rPr/>
            </w:pPr>
            <w:r>
              <w:rPr/>
              <w:t>2004</w:t>
            </w:r>
          </w:p>
        </w:tc>
        <w:tc>
          <w:tcPr>
            <w:tcW w:w="1295" w:type="dxa"/>
            <w:tcBorders/>
            <w:tcMar>
              <w:bottom w:w="0" w:type="dxa"/>
            </w:tcMar>
            <w:vAlign w:val="center"/>
          </w:tcPr>
          <w:p>
            <w:pPr>
              <w:pStyle w:val="TableContents"/>
              <w:bidi w:val="0"/>
              <w:spacing w:lineRule="auto" w:line="240" w:before="0" w:after="0"/>
              <w:jc w:val="center"/>
              <w:rPr/>
            </w:pPr>
            <w:r>
              <w:rPr/>
              <w:t>Maersk (8)</w:t>
            </w:r>
          </w:p>
        </w:tc>
        <w:tc>
          <w:tcPr>
            <w:tcW w:w="1440" w:type="dxa"/>
            <w:tcBorders/>
            <w:tcMar>
              <w:bottom w:w="0" w:type="dxa"/>
            </w:tcMar>
            <w:vAlign w:val="center"/>
          </w:tcPr>
          <w:p>
            <w:pPr>
              <w:pStyle w:val="TableContents"/>
              <w:bidi w:val="0"/>
              <w:spacing w:before="0" w:after="0"/>
              <w:jc w:val="center"/>
              <w:rPr/>
            </w:pPr>
            <w:r>
              <w:rPr/>
              <w:t>3Q28</w:t>
            </w:r>
          </w:p>
        </w:tc>
        <w:tc>
          <w:tcPr>
            <w:tcW w:w="1053" w:type="dxa"/>
            <w:tcBorders/>
            <w:tcMar>
              <w:bottom w:w="0" w:type="dxa"/>
            </w:tcMar>
            <w:vAlign w:val="center"/>
          </w:tcPr>
          <w:p>
            <w:pPr>
              <w:pStyle w:val="TableContents"/>
              <w:bidi w:val="0"/>
              <w:spacing w:before="0" w:after="0"/>
              <w:jc w:val="center"/>
              <w:rPr/>
            </w:pPr>
            <w:r>
              <w:rPr/>
              <w:t>4Q33</w:t>
            </w:r>
          </w:p>
        </w:tc>
        <w:tc>
          <w:tcPr>
            <w:tcW w:w="1240" w:type="dxa"/>
            <w:tcBorders/>
            <w:tcMar>
              <w:bottom w:w="0" w:type="dxa"/>
            </w:tcMar>
            <w:vAlign w:val="center"/>
          </w:tcPr>
          <w:p>
            <w:pPr>
              <w:pStyle w:val="TableContents"/>
              <w:bidi w:val="0"/>
              <w:spacing w:lineRule="auto" w:line="240" w:before="0" w:after="0"/>
              <w:jc w:val="center"/>
              <w:rPr/>
            </w:pPr>
            <w:r>
              <w:rPr/>
              <w:t>Footnote (8)</w:t>
            </w:r>
          </w:p>
        </w:tc>
      </w:tr>
      <w:tr>
        <w:trPr/>
        <w:tc>
          <w:tcPr>
            <w:tcW w:w="1880" w:type="dxa"/>
            <w:tcBorders/>
            <w:shd w:fill="CCEEFF" w:val="clear"/>
            <w:tcMar>
              <w:bottom w:w="0" w:type="dxa"/>
            </w:tcMar>
            <w:vAlign w:val="center"/>
          </w:tcPr>
          <w:p>
            <w:pPr>
              <w:pStyle w:val="TableContents"/>
              <w:bidi w:val="0"/>
              <w:spacing w:before="0" w:after="0"/>
              <w:jc w:val="left"/>
              <w:rPr/>
            </w:pPr>
            <w:r>
              <w:rPr/>
              <w:t>GSL Sofia</w:t>
            </w:r>
          </w:p>
        </w:tc>
        <w:tc>
          <w:tcPr>
            <w:tcW w:w="1189" w:type="dxa"/>
            <w:tcBorders/>
            <w:shd w:fill="CCEEFF" w:val="clear"/>
            <w:tcMar>
              <w:bottom w:w="0" w:type="dxa"/>
            </w:tcMar>
            <w:vAlign w:val="center"/>
          </w:tcPr>
          <w:p>
            <w:pPr>
              <w:pStyle w:val="TableContents"/>
              <w:bidi w:val="0"/>
              <w:spacing w:before="0" w:after="0"/>
              <w:ind w:left="370" w:right="0" w:hanging="0"/>
              <w:jc w:val="center"/>
              <w:rPr/>
            </w:pPr>
            <w:r>
              <w:rPr/>
              <w:t>8,599</w:t>
            </w:r>
          </w:p>
        </w:tc>
        <w:tc>
          <w:tcPr>
            <w:tcW w:w="1424" w:type="dxa"/>
            <w:tcBorders/>
            <w:shd w:fill="CCEEFF" w:val="clear"/>
            <w:tcMar>
              <w:bottom w:w="0" w:type="dxa"/>
            </w:tcMar>
            <w:vAlign w:val="center"/>
          </w:tcPr>
          <w:p>
            <w:pPr>
              <w:pStyle w:val="TableContents"/>
              <w:bidi w:val="0"/>
              <w:spacing w:before="0" w:after="0"/>
              <w:jc w:val="center"/>
              <w:rPr/>
            </w:pPr>
            <w:r>
              <w:rPr/>
              <w:t>37,777</w:t>
            </w:r>
          </w:p>
        </w:tc>
        <w:tc>
          <w:tcPr>
            <w:tcW w:w="684" w:type="dxa"/>
            <w:tcBorders/>
            <w:shd w:fill="CCEEFF" w:val="clear"/>
            <w:tcMar>
              <w:bottom w:w="0" w:type="dxa"/>
            </w:tcMar>
            <w:vAlign w:val="center"/>
          </w:tcPr>
          <w:p>
            <w:pPr>
              <w:pStyle w:val="TableContents"/>
              <w:bidi w:val="0"/>
              <w:spacing w:before="0" w:after="0"/>
              <w:jc w:val="center"/>
              <w:rPr/>
            </w:pPr>
            <w:r>
              <w:rPr/>
              <w:t>2003</w:t>
            </w:r>
          </w:p>
        </w:tc>
        <w:tc>
          <w:tcPr>
            <w:tcW w:w="1295" w:type="dxa"/>
            <w:tcBorders/>
            <w:shd w:fill="CCEEFF" w:val="clear"/>
            <w:tcMar>
              <w:bottom w:w="0" w:type="dxa"/>
            </w:tcMar>
            <w:vAlign w:val="center"/>
          </w:tcPr>
          <w:p>
            <w:pPr>
              <w:pStyle w:val="TableContents"/>
              <w:bidi w:val="0"/>
              <w:spacing w:lineRule="auto" w:line="240" w:before="0" w:after="0"/>
              <w:jc w:val="center"/>
              <w:rPr/>
            </w:pPr>
            <w:r>
              <w:rPr/>
              <w:t>Maersk (8)</w:t>
            </w:r>
          </w:p>
        </w:tc>
        <w:tc>
          <w:tcPr>
            <w:tcW w:w="1440" w:type="dxa"/>
            <w:tcBorders/>
            <w:shd w:fill="CCEEFF" w:val="clear"/>
            <w:tcMar>
              <w:bottom w:w="0" w:type="dxa"/>
            </w:tcMar>
            <w:vAlign w:val="center"/>
          </w:tcPr>
          <w:p>
            <w:pPr>
              <w:pStyle w:val="TableContents"/>
              <w:bidi w:val="0"/>
              <w:spacing w:before="0" w:after="0"/>
              <w:jc w:val="center"/>
              <w:rPr/>
            </w:pPr>
            <w:r>
              <w:rPr/>
              <w:t>2Q28</w:t>
            </w:r>
          </w:p>
        </w:tc>
        <w:tc>
          <w:tcPr>
            <w:tcW w:w="1053" w:type="dxa"/>
            <w:tcBorders/>
            <w:shd w:fill="CCEEFF" w:val="clear"/>
            <w:tcMar>
              <w:bottom w:w="0" w:type="dxa"/>
            </w:tcMar>
            <w:vAlign w:val="center"/>
          </w:tcPr>
          <w:p>
            <w:pPr>
              <w:pStyle w:val="TableContents"/>
              <w:bidi w:val="0"/>
              <w:spacing w:before="0" w:after="0"/>
              <w:jc w:val="center"/>
              <w:rPr/>
            </w:pPr>
            <w:r>
              <w:rPr/>
              <w:t>4Q33</w:t>
            </w:r>
          </w:p>
        </w:tc>
        <w:tc>
          <w:tcPr>
            <w:tcW w:w="1240" w:type="dxa"/>
            <w:tcBorders/>
            <w:shd w:fill="CCEEFF" w:val="clear"/>
            <w:tcMar>
              <w:bottom w:w="0" w:type="dxa"/>
            </w:tcMar>
            <w:vAlign w:val="center"/>
          </w:tcPr>
          <w:p>
            <w:pPr>
              <w:pStyle w:val="TableContents"/>
              <w:bidi w:val="0"/>
              <w:spacing w:lineRule="auto" w:line="240" w:before="0" w:after="0"/>
              <w:jc w:val="center"/>
              <w:rPr/>
            </w:pPr>
            <w:r>
              <w:rPr/>
              <w:t>Footnote (8)</w:t>
            </w:r>
          </w:p>
        </w:tc>
      </w:tr>
      <w:tr>
        <w:trPr/>
        <w:tc>
          <w:tcPr>
            <w:tcW w:w="1880" w:type="dxa"/>
            <w:tcBorders/>
            <w:tcMar>
              <w:bottom w:w="0" w:type="dxa"/>
            </w:tcMar>
            <w:vAlign w:val="center"/>
          </w:tcPr>
          <w:p>
            <w:pPr>
              <w:pStyle w:val="TableContents"/>
              <w:bidi w:val="0"/>
              <w:spacing w:before="0" w:after="0"/>
              <w:jc w:val="left"/>
              <w:rPr/>
            </w:pPr>
            <w:r>
              <w:rPr/>
              <w:t>GSL Effie</w:t>
            </w:r>
          </w:p>
        </w:tc>
        <w:tc>
          <w:tcPr>
            <w:tcW w:w="1189" w:type="dxa"/>
            <w:tcBorders/>
            <w:tcMar>
              <w:bottom w:w="0" w:type="dxa"/>
            </w:tcMar>
            <w:vAlign w:val="center"/>
          </w:tcPr>
          <w:p>
            <w:pPr>
              <w:pStyle w:val="TableContents"/>
              <w:bidi w:val="0"/>
              <w:spacing w:before="0" w:after="0"/>
              <w:ind w:left="370" w:right="0" w:hanging="0"/>
              <w:jc w:val="center"/>
              <w:rPr/>
            </w:pPr>
            <w:r>
              <w:rPr/>
              <w:t>8,599</w:t>
            </w:r>
          </w:p>
        </w:tc>
        <w:tc>
          <w:tcPr>
            <w:tcW w:w="1424" w:type="dxa"/>
            <w:tcBorders/>
            <w:tcMar>
              <w:bottom w:w="0" w:type="dxa"/>
            </w:tcMar>
            <w:vAlign w:val="center"/>
          </w:tcPr>
          <w:p>
            <w:pPr>
              <w:pStyle w:val="TableContents"/>
              <w:bidi w:val="0"/>
              <w:spacing w:before="0" w:after="0"/>
              <w:jc w:val="center"/>
              <w:rPr/>
            </w:pPr>
            <w:r>
              <w:rPr/>
              <w:t>37,777</w:t>
            </w:r>
          </w:p>
        </w:tc>
        <w:tc>
          <w:tcPr>
            <w:tcW w:w="684" w:type="dxa"/>
            <w:tcBorders/>
            <w:tcMar>
              <w:bottom w:w="0" w:type="dxa"/>
            </w:tcMar>
            <w:vAlign w:val="center"/>
          </w:tcPr>
          <w:p>
            <w:pPr>
              <w:pStyle w:val="TableContents"/>
              <w:bidi w:val="0"/>
              <w:spacing w:before="0" w:after="0"/>
              <w:jc w:val="center"/>
              <w:rPr/>
            </w:pPr>
            <w:r>
              <w:rPr/>
              <w:t>2003</w:t>
            </w:r>
          </w:p>
        </w:tc>
        <w:tc>
          <w:tcPr>
            <w:tcW w:w="1295" w:type="dxa"/>
            <w:tcBorders/>
            <w:tcMar>
              <w:bottom w:w="0" w:type="dxa"/>
            </w:tcMar>
            <w:vAlign w:val="center"/>
          </w:tcPr>
          <w:p>
            <w:pPr>
              <w:pStyle w:val="TableContents"/>
              <w:bidi w:val="0"/>
              <w:spacing w:lineRule="auto" w:line="240" w:before="0" w:after="0"/>
              <w:jc w:val="center"/>
              <w:rPr/>
            </w:pPr>
            <w:r>
              <w:rPr/>
              <w:t>Maersk (8)</w:t>
            </w:r>
          </w:p>
        </w:tc>
        <w:tc>
          <w:tcPr>
            <w:tcW w:w="1440" w:type="dxa"/>
            <w:tcBorders/>
            <w:tcMar>
              <w:bottom w:w="0" w:type="dxa"/>
            </w:tcMar>
            <w:vAlign w:val="center"/>
          </w:tcPr>
          <w:p>
            <w:pPr>
              <w:pStyle w:val="TableContents"/>
              <w:bidi w:val="0"/>
              <w:spacing w:before="0" w:after="0"/>
              <w:jc w:val="center"/>
              <w:rPr/>
            </w:pPr>
            <w:r>
              <w:rPr/>
              <w:t>3Q28</w:t>
            </w:r>
          </w:p>
        </w:tc>
        <w:tc>
          <w:tcPr>
            <w:tcW w:w="1053" w:type="dxa"/>
            <w:tcBorders/>
            <w:tcMar>
              <w:bottom w:w="0" w:type="dxa"/>
            </w:tcMar>
            <w:vAlign w:val="center"/>
          </w:tcPr>
          <w:p>
            <w:pPr>
              <w:pStyle w:val="TableContents"/>
              <w:bidi w:val="0"/>
              <w:spacing w:before="0" w:after="0"/>
              <w:jc w:val="center"/>
              <w:rPr/>
            </w:pPr>
            <w:r>
              <w:rPr/>
              <w:t>1Q34</w:t>
            </w:r>
          </w:p>
        </w:tc>
        <w:tc>
          <w:tcPr>
            <w:tcW w:w="1240" w:type="dxa"/>
            <w:tcBorders/>
            <w:tcMar>
              <w:bottom w:w="0" w:type="dxa"/>
            </w:tcMar>
            <w:vAlign w:val="center"/>
          </w:tcPr>
          <w:p>
            <w:pPr>
              <w:pStyle w:val="TableContents"/>
              <w:bidi w:val="0"/>
              <w:spacing w:lineRule="auto" w:line="240" w:before="0" w:after="0"/>
              <w:jc w:val="center"/>
              <w:rPr/>
            </w:pPr>
            <w:r>
              <w:rPr/>
              <w:t>Footnote (8)</w:t>
            </w:r>
          </w:p>
        </w:tc>
      </w:tr>
      <w:tr>
        <w:trPr/>
        <w:tc>
          <w:tcPr>
            <w:tcW w:w="1880" w:type="dxa"/>
            <w:tcBorders/>
            <w:shd w:fill="CCEEFF" w:val="clear"/>
            <w:tcMar>
              <w:bottom w:w="0" w:type="dxa"/>
            </w:tcMar>
            <w:vAlign w:val="center"/>
          </w:tcPr>
          <w:p>
            <w:pPr>
              <w:pStyle w:val="TableContents"/>
              <w:bidi w:val="0"/>
              <w:spacing w:before="0" w:after="0"/>
              <w:jc w:val="left"/>
              <w:rPr/>
            </w:pPr>
            <w:r>
              <w:rPr/>
              <w:t>GSL Lydia</w:t>
            </w:r>
          </w:p>
        </w:tc>
        <w:tc>
          <w:tcPr>
            <w:tcW w:w="1189" w:type="dxa"/>
            <w:tcBorders/>
            <w:shd w:fill="CCEEFF" w:val="clear"/>
            <w:tcMar>
              <w:bottom w:w="0" w:type="dxa"/>
            </w:tcMar>
            <w:vAlign w:val="center"/>
          </w:tcPr>
          <w:p>
            <w:pPr>
              <w:pStyle w:val="TableContents"/>
              <w:bidi w:val="0"/>
              <w:spacing w:before="0" w:after="0"/>
              <w:ind w:left="370" w:right="0" w:hanging="0"/>
              <w:jc w:val="center"/>
              <w:rPr/>
            </w:pPr>
            <w:r>
              <w:rPr/>
              <w:t>8,599</w:t>
            </w:r>
          </w:p>
        </w:tc>
        <w:tc>
          <w:tcPr>
            <w:tcW w:w="1424" w:type="dxa"/>
            <w:tcBorders/>
            <w:shd w:fill="CCEEFF" w:val="clear"/>
            <w:tcMar>
              <w:bottom w:w="0" w:type="dxa"/>
            </w:tcMar>
            <w:vAlign w:val="center"/>
          </w:tcPr>
          <w:p>
            <w:pPr>
              <w:pStyle w:val="TableContents"/>
              <w:bidi w:val="0"/>
              <w:spacing w:before="0" w:after="0"/>
              <w:jc w:val="center"/>
              <w:rPr/>
            </w:pPr>
            <w:r>
              <w:rPr/>
              <w:t>37,777</w:t>
            </w:r>
          </w:p>
        </w:tc>
        <w:tc>
          <w:tcPr>
            <w:tcW w:w="684" w:type="dxa"/>
            <w:tcBorders/>
            <w:shd w:fill="CCEEFF" w:val="clear"/>
            <w:tcMar>
              <w:bottom w:w="0" w:type="dxa"/>
            </w:tcMar>
            <w:vAlign w:val="center"/>
          </w:tcPr>
          <w:p>
            <w:pPr>
              <w:pStyle w:val="TableContents"/>
              <w:bidi w:val="0"/>
              <w:spacing w:before="0" w:after="0"/>
              <w:jc w:val="center"/>
              <w:rPr/>
            </w:pPr>
            <w:r>
              <w:rPr/>
              <w:t>2003</w:t>
            </w:r>
          </w:p>
        </w:tc>
        <w:tc>
          <w:tcPr>
            <w:tcW w:w="1295" w:type="dxa"/>
            <w:tcBorders/>
            <w:shd w:fill="CCEEFF" w:val="clear"/>
            <w:tcMar>
              <w:bottom w:w="0" w:type="dxa"/>
            </w:tcMar>
            <w:vAlign w:val="center"/>
          </w:tcPr>
          <w:p>
            <w:pPr>
              <w:pStyle w:val="TableContents"/>
              <w:bidi w:val="0"/>
              <w:spacing w:lineRule="auto" w:line="240" w:before="0" w:after="0"/>
              <w:jc w:val="center"/>
              <w:rPr/>
            </w:pPr>
            <w:r>
              <w:rPr/>
              <w:t>Maersk (8)</w:t>
            </w:r>
          </w:p>
        </w:tc>
        <w:tc>
          <w:tcPr>
            <w:tcW w:w="1440" w:type="dxa"/>
            <w:tcBorders/>
            <w:shd w:fill="CCEEFF" w:val="clear"/>
            <w:tcMar>
              <w:bottom w:w="0" w:type="dxa"/>
            </w:tcMar>
            <w:vAlign w:val="center"/>
          </w:tcPr>
          <w:p>
            <w:pPr>
              <w:pStyle w:val="TableContents"/>
              <w:bidi w:val="0"/>
              <w:spacing w:before="0" w:after="0"/>
              <w:jc w:val="center"/>
              <w:rPr/>
            </w:pPr>
            <w:r>
              <w:rPr/>
              <w:t>1Q28</w:t>
            </w:r>
          </w:p>
        </w:tc>
        <w:tc>
          <w:tcPr>
            <w:tcW w:w="1053" w:type="dxa"/>
            <w:tcBorders/>
            <w:shd w:fill="CCEEFF" w:val="clear"/>
            <w:tcMar>
              <w:bottom w:w="0" w:type="dxa"/>
            </w:tcMar>
            <w:vAlign w:val="center"/>
          </w:tcPr>
          <w:p>
            <w:pPr>
              <w:pStyle w:val="TableContents"/>
              <w:bidi w:val="0"/>
              <w:spacing w:before="0" w:after="0"/>
              <w:jc w:val="center"/>
              <w:rPr/>
            </w:pPr>
            <w:r>
              <w:rPr/>
              <w:t>3Q33</w:t>
            </w:r>
          </w:p>
        </w:tc>
        <w:tc>
          <w:tcPr>
            <w:tcW w:w="1240" w:type="dxa"/>
            <w:tcBorders/>
            <w:shd w:fill="CCEEFF" w:val="clear"/>
            <w:tcMar>
              <w:bottom w:w="0" w:type="dxa"/>
            </w:tcMar>
            <w:vAlign w:val="center"/>
          </w:tcPr>
          <w:p>
            <w:pPr>
              <w:pStyle w:val="TableContents"/>
              <w:bidi w:val="0"/>
              <w:spacing w:lineRule="auto" w:line="240" w:before="0" w:after="0"/>
              <w:jc w:val="center"/>
              <w:rPr/>
            </w:pPr>
            <w:r>
              <w:rPr/>
              <w:t>Footnote (8)</w:t>
            </w:r>
          </w:p>
        </w:tc>
      </w:tr>
      <w:tr>
        <w:trPr/>
        <w:tc>
          <w:tcPr>
            <w:tcW w:w="1880" w:type="dxa"/>
            <w:tcBorders/>
            <w:tcMar>
              <w:bottom w:w="0" w:type="dxa"/>
            </w:tcMar>
            <w:vAlign w:val="center"/>
          </w:tcPr>
          <w:p>
            <w:pPr>
              <w:pStyle w:val="TableContents"/>
              <w:bidi w:val="0"/>
              <w:spacing w:before="0" w:after="0"/>
              <w:jc w:val="left"/>
              <w:rPr/>
            </w:pPr>
            <w:r>
              <w:rPr/>
              <w:t>Lotus A</w:t>
            </w:r>
          </w:p>
        </w:tc>
        <w:tc>
          <w:tcPr>
            <w:tcW w:w="1189" w:type="dxa"/>
            <w:tcBorders/>
            <w:tcMar>
              <w:bottom w:w="0" w:type="dxa"/>
            </w:tcMar>
            <w:vAlign w:val="center"/>
          </w:tcPr>
          <w:p>
            <w:pPr>
              <w:pStyle w:val="TableContents"/>
              <w:bidi w:val="0"/>
              <w:spacing w:before="0" w:after="0"/>
              <w:ind w:left="370" w:right="0" w:hanging="0"/>
              <w:jc w:val="center"/>
              <w:rPr/>
            </w:pPr>
            <w:r>
              <w:rPr/>
              <w:t>8,586</w:t>
            </w:r>
          </w:p>
        </w:tc>
        <w:tc>
          <w:tcPr>
            <w:tcW w:w="1424" w:type="dxa"/>
            <w:tcBorders/>
            <w:tcMar>
              <w:bottom w:w="0" w:type="dxa"/>
            </w:tcMar>
            <w:vAlign w:val="center"/>
          </w:tcPr>
          <w:p>
            <w:pPr>
              <w:pStyle w:val="TableContents"/>
              <w:bidi w:val="0"/>
              <w:spacing w:before="0" w:after="0"/>
              <w:jc w:val="center"/>
              <w:rPr/>
            </w:pPr>
            <w:r>
              <w:rPr/>
              <w:t>33,026</w:t>
            </w:r>
          </w:p>
        </w:tc>
        <w:tc>
          <w:tcPr>
            <w:tcW w:w="684" w:type="dxa"/>
            <w:tcBorders/>
            <w:tcMar>
              <w:bottom w:w="0" w:type="dxa"/>
            </w:tcMar>
            <w:vAlign w:val="center"/>
          </w:tcPr>
          <w:p>
            <w:pPr>
              <w:pStyle w:val="TableContents"/>
              <w:bidi w:val="0"/>
              <w:spacing w:before="0" w:after="0"/>
              <w:jc w:val="center"/>
              <w:rPr/>
            </w:pPr>
            <w:r>
              <w:rPr/>
              <w:t>2010</w:t>
            </w:r>
          </w:p>
        </w:tc>
        <w:tc>
          <w:tcPr>
            <w:tcW w:w="1295" w:type="dxa"/>
            <w:tcBorders/>
            <w:tcMar>
              <w:bottom w:w="0" w:type="dxa"/>
            </w:tcMar>
            <w:vAlign w:val="center"/>
          </w:tcPr>
          <w:p>
            <w:pPr>
              <w:pStyle w:val="TableContents"/>
              <w:bidi w:val="0"/>
              <w:spacing w:before="0" w:after="0"/>
              <w:jc w:val="center"/>
              <w:rPr/>
            </w:pPr>
            <w:r>
              <w:rPr/>
              <w:t>CMA CGM</w:t>
            </w:r>
          </w:p>
        </w:tc>
        <w:tc>
          <w:tcPr>
            <w:tcW w:w="1440" w:type="dxa"/>
            <w:tcBorders/>
            <w:tcMar>
              <w:bottom w:w="0" w:type="dxa"/>
            </w:tcMar>
            <w:vAlign w:val="center"/>
          </w:tcPr>
          <w:p>
            <w:pPr>
              <w:pStyle w:val="TableContents"/>
              <w:bidi w:val="0"/>
              <w:spacing w:before="0" w:after="0"/>
              <w:jc w:val="center"/>
              <w:rPr/>
            </w:pPr>
            <w:r>
              <w:rPr/>
              <w:t>4Q26</w:t>
            </w:r>
          </w:p>
        </w:tc>
        <w:tc>
          <w:tcPr>
            <w:tcW w:w="1053" w:type="dxa"/>
            <w:tcBorders/>
            <w:tcMar>
              <w:bottom w:w="0" w:type="dxa"/>
            </w:tcMar>
            <w:vAlign w:val="center"/>
          </w:tcPr>
          <w:p>
            <w:pPr>
              <w:pStyle w:val="TableContents"/>
              <w:bidi w:val="0"/>
              <w:spacing w:before="0" w:after="0"/>
              <w:jc w:val="center"/>
              <w:rPr/>
            </w:pPr>
            <w:r>
              <w:rPr/>
              <w:t>3Q30</w:t>
            </w:r>
          </w:p>
        </w:tc>
        <w:tc>
          <w:tcPr>
            <w:tcW w:w="1240" w:type="dxa"/>
            <w:tcBorders/>
            <w:tcMar>
              <w:bottom w:w="0" w:type="dxa"/>
            </w:tcMar>
            <w:vAlign w:val="center"/>
          </w:tcPr>
          <w:p>
            <w:pPr>
              <w:pStyle w:val="TableContents"/>
              <w:bidi w:val="0"/>
              <w:spacing w:lineRule="auto" w:line="240" w:before="0" w:after="0"/>
              <w:jc w:val="center"/>
              <w:rPr/>
            </w:pPr>
            <w:r>
              <w:rPr/>
              <w:t>Footnote (9)</w:t>
            </w:r>
          </w:p>
        </w:tc>
      </w:tr>
      <w:tr>
        <w:trPr/>
        <w:tc>
          <w:tcPr>
            <w:tcW w:w="1880" w:type="dxa"/>
            <w:tcBorders/>
            <w:shd w:fill="CCEEFF" w:val="clear"/>
            <w:tcMar>
              <w:bottom w:w="0" w:type="dxa"/>
            </w:tcMar>
            <w:vAlign w:val="center"/>
          </w:tcPr>
          <w:p>
            <w:pPr>
              <w:pStyle w:val="TableContents"/>
              <w:bidi w:val="0"/>
              <w:spacing w:before="0" w:after="0"/>
              <w:jc w:val="left"/>
              <w:rPr/>
            </w:pPr>
            <w:r>
              <w:rPr/>
              <w:t>Koi</w:t>
            </w:r>
          </w:p>
        </w:tc>
        <w:tc>
          <w:tcPr>
            <w:tcW w:w="1189" w:type="dxa"/>
            <w:tcBorders/>
            <w:shd w:fill="CCEEFF" w:val="clear"/>
            <w:tcMar>
              <w:bottom w:w="0" w:type="dxa"/>
            </w:tcMar>
            <w:vAlign w:val="center"/>
          </w:tcPr>
          <w:p>
            <w:pPr>
              <w:pStyle w:val="TableContents"/>
              <w:bidi w:val="0"/>
              <w:spacing w:before="0" w:after="0"/>
              <w:ind w:left="370" w:right="0" w:hanging="0"/>
              <w:jc w:val="center"/>
              <w:rPr/>
            </w:pPr>
            <w:r>
              <w:rPr/>
              <w:t>8,586</w:t>
            </w:r>
          </w:p>
        </w:tc>
        <w:tc>
          <w:tcPr>
            <w:tcW w:w="1424" w:type="dxa"/>
            <w:tcBorders/>
            <w:shd w:fill="CCEEFF" w:val="clear"/>
            <w:tcMar>
              <w:bottom w:w="0" w:type="dxa"/>
            </w:tcMar>
            <w:vAlign w:val="center"/>
          </w:tcPr>
          <w:p>
            <w:pPr>
              <w:pStyle w:val="TableContents"/>
              <w:bidi w:val="0"/>
              <w:spacing w:before="0" w:after="0"/>
              <w:jc w:val="center"/>
              <w:rPr/>
            </w:pPr>
            <w:r>
              <w:rPr/>
              <w:t>33,005</w:t>
            </w:r>
          </w:p>
        </w:tc>
        <w:tc>
          <w:tcPr>
            <w:tcW w:w="684" w:type="dxa"/>
            <w:tcBorders/>
            <w:shd w:fill="CCEEFF" w:val="clear"/>
            <w:tcMar>
              <w:bottom w:w="0" w:type="dxa"/>
            </w:tcMar>
            <w:vAlign w:val="center"/>
          </w:tcPr>
          <w:p>
            <w:pPr>
              <w:pStyle w:val="TableContents"/>
              <w:bidi w:val="0"/>
              <w:spacing w:before="0" w:after="0"/>
              <w:jc w:val="center"/>
              <w:rPr/>
            </w:pPr>
            <w:r>
              <w:rPr/>
              <w:t>2011</w:t>
            </w:r>
          </w:p>
        </w:tc>
        <w:tc>
          <w:tcPr>
            <w:tcW w:w="1295" w:type="dxa"/>
            <w:tcBorders/>
            <w:shd w:fill="CCEEFF" w:val="clear"/>
            <w:tcMar>
              <w:bottom w:w="0" w:type="dxa"/>
            </w:tcMar>
            <w:vAlign w:val="center"/>
          </w:tcPr>
          <w:p>
            <w:pPr>
              <w:pStyle w:val="TableContents"/>
              <w:bidi w:val="0"/>
              <w:spacing w:before="0" w:after="0"/>
              <w:jc w:val="center"/>
              <w:rPr/>
            </w:pPr>
            <w:r>
              <w:rPr/>
              <w:t>CMA CGM</w:t>
            </w:r>
          </w:p>
        </w:tc>
        <w:tc>
          <w:tcPr>
            <w:tcW w:w="1440" w:type="dxa"/>
            <w:tcBorders/>
            <w:shd w:fill="CCEEFF" w:val="clear"/>
            <w:tcMar>
              <w:bottom w:w="0" w:type="dxa"/>
            </w:tcMar>
            <w:vAlign w:val="center"/>
          </w:tcPr>
          <w:p>
            <w:pPr>
              <w:pStyle w:val="TableContents"/>
              <w:bidi w:val="0"/>
              <w:spacing w:before="0" w:after="0"/>
              <w:jc w:val="center"/>
              <w:rPr/>
            </w:pPr>
            <w:r>
              <w:rPr/>
              <w:t>4Q26</w:t>
            </w:r>
          </w:p>
        </w:tc>
        <w:tc>
          <w:tcPr>
            <w:tcW w:w="1053" w:type="dxa"/>
            <w:tcBorders/>
            <w:shd w:fill="CCEEFF" w:val="clear"/>
            <w:tcMar>
              <w:bottom w:w="0" w:type="dxa"/>
            </w:tcMar>
            <w:vAlign w:val="center"/>
          </w:tcPr>
          <w:p>
            <w:pPr>
              <w:pStyle w:val="TableContents"/>
              <w:bidi w:val="0"/>
              <w:spacing w:before="0" w:after="0"/>
              <w:jc w:val="center"/>
              <w:rPr/>
            </w:pPr>
            <w:r>
              <w:rPr/>
              <w:t>3Q30</w:t>
            </w:r>
          </w:p>
        </w:tc>
        <w:tc>
          <w:tcPr>
            <w:tcW w:w="1240" w:type="dxa"/>
            <w:tcBorders/>
            <w:shd w:fill="CCEEFF" w:val="clear"/>
            <w:tcMar>
              <w:bottom w:w="0" w:type="dxa"/>
            </w:tcMar>
            <w:vAlign w:val="center"/>
          </w:tcPr>
          <w:p>
            <w:pPr>
              <w:pStyle w:val="TableContents"/>
              <w:bidi w:val="0"/>
              <w:spacing w:lineRule="auto" w:line="240" w:before="0" w:after="0"/>
              <w:jc w:val="center"/>
              <w:rPr/>
            </w:pPr>
            <w:r>
              <w:rPr/>
              <w:t>Footnote (9)</w:t>
            </w:r>
          </w:p>
        </w:tc>
      </w:tr>
      <w:tr>
        <w:trPr/>
        <w:tc>
          <w:tcPr>
            <w:tcW w:w="1880" w:type="dxa"/>
            <w:tcBorders/>
            <w:tcMar>
              <w:bottom w:w="0" w:type="dxa"/>
            </w:tcMar>
            <w:vAlign w:val="center"/>
          </w:tcPr>
          <w:p>
            <w:pPr>
              <w:pStyle w:val="TableContents"/>
              <w:bidi w:val="0"/>
              <w:spacing w:before="0" w:after="0"/>
              <w:jc w:val="left"/>
              <w:rPr/>
            </w:pPr>
            <w:r>
              <w:rPr/>
              <w:t>Cypress</w:t>
            </w:r>
          </w:p>
        </w:tc>
        <w:tc>
          <w:tcPr>
            <w:tcW w:w="1189" w:type="dxa"/>
            <w:tcBorders/>
            <w:tcMar>
              <w:bottom w:w="0" w:type="dxa"/>
            </w:tcMar>
            <w:vAlign w:val="center"/>
          </w:tcPr>
          <w:p>
            <w:pPr>
              <w:pStyle w:val="TableContents"/>
              <w:bidi w:val="0"/>
              <w:spacing w:before="0" w:after="0"/>
              <w:ind w:left="370" w:right="0" w:hanging="0"/>
              <w:jc w:val="center"/>
              <w:rPr/>
            </w:pPr>
            <w:r>
              <w:rPr/>
              <w:t>8,586</w:t>
            </w:r>
          </w:p>
        </w:tc>
        <w:tc>
          <w:tcPr>
            <w:tcW w:w="1424" w:type="dxa"/>
            <w:tcBorders/>
            <w:tcMar>
              <w:bottom w:w="0" w:type="dxa"/>
            </w:tcMar>
            <w:vAlign w:val="center"/>
          </w:tcPr>
          <w:p>
            <w:pPr>
              <w:pStyle w:val="TableContents"/>
              <w:bidi w:val="0"/>
              <w:spacing w:before="0" w:after="0"/>
              <w:jc w:val="center"/>
              <w:rPr/>
            </w:pPr>
            <w:r>
              <w:rPr/>
              <w:t>33,026</w:t>
            </w:r>
          </w:p>
        </w:tc>
        <w:tc>
          <w:tcPr>
            <w:tcW w:w="684" w:type="dxa"/>
            <w:tcBorders/>
            <w:tcMar>
              <w:bottom w:w="0" w:type="dxa"/>
            </w:tcMar>
            <w:vAlign w:val="center"/>
          </w:tcPr>
          <w:p>
            <w:pPr>
              <w:pStyle w:val="TableContents"/>
              <w:bidi w:val="0"/>
              <w:spacing w:before="0" w:after="0"/>
              <w:jc w:val="center"/>
              <w:rPr/>
            </w:pPr>
            <w:r>
              <w:rPr/>
              <w:t>2011</w:t>
            </w:r>
          </w:p>
        </w:tc>
        <w:tc>
          <w:tcPr>
            <w:tcW w:w="1295" w:type="dxa"/>
            <w:tcBorders/>
            <w:tcMar>
              <w:bottom w:w="0" w:type="dxa"/>
            </w:tcMar>
            <w:vAlign w:val="center"/>
          </w:tcPr>
          <w:p>
            <w:pPr>
              <w:pStyle w:val="TableContents"/>
              <w:bidi w:val="0"/>
              <w:spacing w:before="0" w:after="0"/>
              <w:jc w:val="center"/>
              <w:rPr/>
            </w:pPr>
            <w:r>
              <w:rPr/>
              <w:t>CMA CGM</w:t>
            </w:r>
          </w:p>
        </w:tc>
        <w:tc>
          <w:tcPr>
            <w:tcW w:w="1440" w:type="dxa"/>
            <w:tcBorders/>
            <w:tcMar>
              <w:bottom w:w="0" w:type="dxa"/>
            </w:tcMar>
            <w:vAlign w:val="center"/>
          </w:tcPr>
          <w:p>
            <w:pPr>
              <w:pStyle w:val="TableContents"/>
              <w:bidi w:val="0"/>
              <w:spacing w:before="0" w:after="0"/>
              <w:jc w:val="center"/>
              <w:rPr/>
            </w:pPr>
            <w:r>
              <w:rPr/>
              <w:t>4Q26</w:t>
            </w:r>
          </w:p>
        </w:tc>
        <w:tc>
          <w:tcPr>
            <w:tcW w:w="1053" w:type="dxa"/>
            <w:tcBorders/>
            <w:tcMar>
              <w:bottom w:w="0" w:type="dxa"/>
            </w:tcMar>
            <w:vAlign w:val="center"/>
          </w:tcPr>
          <w:p>
            <w:pPr>
              <w:pStyle w:val="TableContents"/>
              <w:bidi w:val="0"/>
              <w:spacing w:before="0" w:after="0"/>
              <w:jc w:val="center"/>
              <w:rPr/>
            </w:pPr>
            <w:r>
              <w:rPr/>
              <w:t>3Q30</w:t>
            </w:r>
          </w:p>
        </w:tc>
        <w:tc>
          <w:tcPr>
            <w:tcW w:w="1240" w:type="dxa"/>
            <w:tcBorders/>
            <w:tcMar>
              <w:bottom w:w="0" w:type="dxa"/>
            </w:tcMar>
            <w:vAlign w:val="center"/>
          </w:tcPr>
          <w:p>
            <w:pPr>
              <w:pStyle w:val="TableContents"/>
              <w:bidi w:val="0"/>
              <w:spacing w:lineRule="auto" w:line="240" w:before="0" w:after="0"/>
              <w:jc w:val="center"/>
              <w:rPr/>
            </w:pPr>
            <w:r>
              <w:rPr/>
              <w:t>Footnote (9)</w:t>
            </w:r>
          </w:p>
        </w:tc>
      </w:tr>
      <w:tr>
        <w:trPr/>
        <w:tc>
          <w:tcPr>
            <w:tcW w:w="1880" w:type="dxa"/>
            <w:tcBorders/>
            <w:shd w:fill="CCEEFF" w:val="clear"/>
            <w:tcMar>
              <w:bottom w:w="0" w:type="dxa"/>
            </w:tcMar>
            <w:vAlign w:val="center"/>
          </w:tcPr>
          <w:p>
            <w:pPr>
              <w:pStyle w:val="TableContents"/>
              <w:bidi w:val="0"/>
              <w:spacing w:before="0" w:after="0"/>
              <w:jc w:val="left"/>
              <w:rPr/>
            </w:pPr>
            <w:r>
              <w:rPr/>
              <w:t>GSL Eleni</w:t>
            </w:r>
          </w:p>
        </w:tc>
        <w:tc>
          <w:tcPr>
            <w:tcW w:w="1189" w:type="dxa"/>
            <w:tcBorders/>
            <w:shd w:fill="CCEEFF" w:val="clear"/>
            <w:tcMar>
              <w:bottom w:w="0" w:type="dxa"/>
            </w:tcMar>
            <w:vAlign w:val="center"/>
          </w:tcPr>
          <w:p>
            <w:pPr>
              <w:pStyle w:val="TableContents"/>
              <w:bidi w:val="0"/>
              <w:spacing w:before="0" w:after="0"/>
              <w:ind w:left="370" w:right="0" w:hanging="0"/>
              <w:jc w:val="center"/>
              <w:rPr/>
            </w:pPr>
            <w:r>
              <w:rPr/>
              <w:t>7,847</w:t>
            </w:r>
          </w:p>
        </w:tc>
        <w:tc>
          <w:tcPr>
            <w:tcW w:w="1424" w:type="dxa"/>
            <w:tcBorders/>
            <w:shd w:fill="CCEEFF" w:val="clear"/>
            <w:tcMar>
              <w:bottom w:w="0" w:type="dxa"/>
            </w:tcMar>
            <w:vAlign w:val="center"/>
          </w:tcPr>
          <w:p>
            <w:pPr>
              <w:pStyle w:val="TableContents"/>
              <w:bidi w:val="0"/>
              <w:spacing w:before="0" w:after="0"/>
              <w:jc w:val="center"/>
              <w:rPr/>
            </w:pPr>
            <w:r>
              <w:rPr/>
              <w:t>29,261</w:t>
            </w:r>
          </w:p>
        </w:tc>
        <w:tc>
          <w:tcPr>
            <w:tcW w:w="684" w:type="dxa"/>
            <w:tcBorders/>
            <w:shd w:fill="CCEEFF" w:val="clear"/>
            <w:tcMar>
              <w:bottom w:w="0" w:type="dxa"/>
            </w:tcMar>
            <w:vAlign w:val="center"/>
          </w:tcPr>
          <w:p>
            <w:pPr>
              <w:pStyle w:val="TableContents"/>
              <w:bidi w:val="0"/>
              <w:spacing w:before="0" w:after="0"/>
              <w:jc w:val="center"/>
              <w:rPr/>
            </w:pPr>
            <w:r>
              <w:rPr/>
              <w:t>2004</w:t>
            </w:r>
          </w:p>
        </w:tc>
        <w:tc>
          <w:tcPr>
            <w:tcW w:w="1295" w:type="dxa"/>
            <w:tcBorders/>
            <w:shd w:fill="CCEEFF" w:val="clear"/>
            <w:tcMar>
              <w:bottom w:w="0" w:type="dxa"/>
            </w:tcMar>
            <w:vAlign w:val="center"/>
          </w:tcPr>
          <w:p>
            <w:pPr>
              <w:pStyle w:val="TableContents"/>
              <w:bidi w:val="0"/>
              <w:spacing w:before="0" w:after="0"/>
              <w:jc w:val="center"/>
              <w:rPr/>
            </w:pPr>
            <w:r>
              <w:rPr/>
              <w:t>Maersk</w:t>
            </w:r>
          </w:p>
        </w:tc>
        <w:tc>
          <w:tcPr>
            <w:tcW w:w="1440" w:type="dxa"/>
            <w:tcBorders/>
            <w:shd w:fill="CCEEFF" w:val="clear"/>
            <w:tcMar>
              <w:bottom w:w="0" w:type="dxa"/>
            </w:tcMar>
            <w:vAlign w:val="center"/>
          </w:tcPr>
          <w:p>
            <w:pPr>
              <w:pStyle w:val="TableContents"/>
              <w:bidi w:val="0"/>
              <w:spacing w:before="0" w:after="0"/>
              <w:jc w:val="center"/>
              <w:rPr/>
            </w:pPr>
            <w:r>
              <w:rPr/>
              <w:t>4Q27</w:t>
            </w:r>
          </w:p>
        </w:tc>
        <w:tc>
          <w:tcPr>
            <w:tcW w:w="1053" w:type="dxa"/>
            <w:tcBorders/>
            <w:shd w:fill="CCEEFF" w:val="clear"/>
            <w:tcMar>
              <w:bottom w:w="0" w:type="dxa"/>
            </w:tcMar>
            <w:vAlign w:val="center"/>
          </w:tcPr>
          <w:p>
            <w:pPr>
              <w:pStyle w:val="TableContents"/>
              <w:bidi w:val="0"/>
              <w:spacing w:before="0" w:after="0"/>
              <w:jc w:val="center"/>
              <w:rPr/>
            </w:pPr>
            <w:r>
              <w:rPr/>
              <w:t>2Q29</w:t>
            </w:r>
          </w:p>
        </w:tc>
        <w:tc>
          <w:tcPr>
            <w:tcW w:w="1240" w:type="dxa"/>
            <w:tcBorders/>
            <w:shd w:fill="CCEEFF" w:val="clear"/>
            <w:tcMar>
              <w:bottom w:w="0" w:type="dxa"/>
            </w:tcMar>
            <w:vAlign w:val="center"/>
          </w:tcPr>
          <w:p>
            <w:pPr>
              <w:pStyle w:val="TableContents"/>
              <w:bidi w:val="0"/>
              <w:spacing w:lineRule="auto" w:line="240" w:before="0" w:after="0"/>
              <w:jc w:val="center"/>
              <w:rPr/>
            </w:pPr>
            <w:r>
              <w:rPr/>
              <w:t>Footnote (10)</w:t>
            </w:r>
          </w:p>
        </w:tc>
      </w:tr>
      <w:tr>
        <w:trPr/>
        <w:tc>
          <w:tcPr>
            <w:tcW w:w="1880" w:type="dxa"/>
            <w:tcBorders/>
            <w:tcMar>
              <w:bottom w:w="0" w:type="dxa"/>
            </w:tcMar>
            <w:vAlign w:val="center"/>
          </w:tcPr>
          <w:p>
            <w:pPr>
              <w:pStyle w:val="TableContents"/>
              <w:bidi w:val="0"/>
              <w:spacing w:before="0" w:after="0"/>
              <w:jc w:val="left"/>
              <w:rPr/>
            </w:pPr>
            <w:r>
              <w:rPr/>
              <w:t>GSL Kalliopi</w:t>
            </w:r>
          </w:p>
        </w:tc>
        <w:tc>
          <w:tcPr>
            <w:tcW w:w="1189" w:type="dxa"/>
            <w:tcBorders/>
            <w:tcMar>
              <w:bottom w:w="0" w:type="dxa"/>
            </w:tcMar>
            <w:vAlign w:val="center"/>
          </w:tcPr>
          <w:p>
            <w:pPr>
              <w:pStyle w:val="TableContents"/>
              <w:bidi w:val="0"/>
              <w:spacing w:before="0" w:after="0"/>
              <w:ind w:left="370" w:right="0" w:hanging="0"/>
              <w:jc w:val="center"/>
              <w:rPr/>
            </w:pPr>
            <w:r>
              <w:rPr/>
              <w:t>7,847</w:t>
            </w:r>
          </w:p>
        </w:tc>
        <w:tc>
          <w:tcPr>
            <w:tcW w:w="1424" w:type="dxa"/>
            <w:tcBorders/>
            <w:tcMar>
              <w:bottom w:w="0" w:type="dxa"/>
            </w:tcMar>
            <w:vAlign w:val="center"/>
          </w:tcPr>
          <w:p>
            <w:pPr>
              <w:pStyle w:val="TableContents"/>
              <w:bidi w:val="0"/>
              <w:spacing w:before="0" w:after="0"/>
              <w:jc w:val="center"/>
              <w:rPr/>
            </w:pPr>
            <w:r>
              <w:rPr/>
              <w:t>29,261</w:t>
            </w:r>
          </w:p>
        </w:tc>
        <w:tc>
          <w:tcPr>
            <w:tcW w:w="684" w:type="dxa"/>
            <w:tcBorders/>
            <w:tcMar>
              <w:bottom w:w="0" w:type="dxa"/>
            </w:tcMar>
            <w:vAlign w:val="center"/>
          </w:tcPr>
          <w:p>
            <w:pPr>
              <w:pStyle w:val="TableContents"/>
              <w:bidi w:val="0"/>
              <w:spacing w:before="0" w:after="0"/>
              <w:jc w:val="center"/>
              <w:rPr/>
            </w:pPr>
            <w:r>
              <w:rPr/>
              <w:t>2004</w:t>
            </w:r>
          </w:p>
        </w:tc>
        <w:tc>
          <w:tcPr>
            <w:tcW w:w="1295" w:type="dxa"/>
            <w:tcBorders/>
            <w:tcMar>
              <w:bottom w:w="0" w:type="dxa"/>
            </w:tcMar>
            <w:vAlign w:val="center"/>
          </w:tcPr>
          <w:p>
            <w:pPr>
              <w:pStyle w:val="TableContents"/>
              <w:bidi w:val="0"/>
              <w:spacing w:before="0" w:after="0"/>
              <w:jc w:val="center"/>
              <w:rPr/>
            </w:pPr>
            <w:r>
              <w:rPr/>
              <w:t>Maersk</w:t>
            </w:r>
          </w:p>
        </w:tc>
        <w:tc>
          <w:tcPr>
            <w:tcW w:w="1440" w:type="dxa"/>
            <w:tcBorders/>
            <w:tcMar>
              <w:bottom w:w="0" w:type="dxa"/>
            </w:tcMar>
            <w:vAlign w:val="center"/>
          </w:tcPr>
          <w:p>
            <w:pPr>
              <w:pStyle w:val="TableContents"/>
              <w:bidi w:val="0"/>
              <w:spacing w:before="0" w:after="0"/>
              <w:jc w:val="center"/>
              <w:rPr/>
            </w:pPr>
            <w:r>
              <w:rPr/>
              <w:t>1Q28</w:t>
            </w:r>
          </w:p>
        </w:tc>
        <w:tc>
          <w:tcPr>
            <w:tcW w:w="1053" w:type="dxa"/>
            <w:tcBorders/>
            <w:tcMar>
              <w:bottom w:w="0" w:type="dxa"/>
            </w:tcMar>
            <w:vAlign w:val="center"/>
          </w:tcPr>
          <w:p>
            <w:pPr>
              <w:pStyle w:val="TableContents"/>
              <w:bidi w:val="0"/>
              <w:spacing w:before="0" w:after="0"/>
              <w:jc w:val="center"/>
              <w:rPr/>
            </w:pPr>
            <w:r>
              <w:rPr/>
              <w:t>3Q29</w:t>
            </w:r>
          </w:p>
        </w:tc>
        <w:tc>
          <w:tcPr>
            <w:tcW w:w="1240" w:type="dxa"/>
            <w:tcBorders/>
            <w:tcMar>
              <w:bottom w:w="0" w:type="dxa"/>
            </w:tcMar>
            <w:vAlign w:val="center"/>
          </w:tcPr>
          <w:p>
            <w:pPr>
              <w:pStyle w:val="TableContents"/>
              <w:bidi w:val="0"/>
              <w:spacing w:lineRule="auto" w:line="240" w:before="0" w:after="0"/>
              <w:jc w:val="center"/>
              <w:rPr/>
            </w:pPr>
            <w:r>
              <w:rPr/>
              <w:t>Footnote (10)</w:t>
            </w:r>
          </w:p>
        </w:tc>
      </w:tr>
      <w:tr>
        <w:trPr/>
        <w:tc>
          <w:tcPr>
            <w:tcW w:w="1880" w:type="dxa"/>
            <w:tcBorders/>
            <w:shd w:fill="CCEEFF" w:val="clear"/>
            <w:tcMar>
              <w:bottom w:w="0" w:type="dxa"/>
            </w:tcMar>
            <w:vAlign w:val="center"/>
          </w:tcPr>
          <w:p>
            <w:pPr>
              <w:pStyle w:val="TableContents"/>
              <w:bidi w:val="0"/>
              <w:spacing w:before="0" w:after="0"/>
              <w:jc w:val="left"/>
              <w:rPr/>
            </w:pPr>
            <w:r>
              <w:rPr/>
              <w:t>GSL Grania</w:t>
            </w:r>
          </w:p>
        </w:tc>
        <w:tc>
          <w:tcPr>
            <w:tcW w:w="1189" w:type="dxa"/>
            <w:tcBorders/>
            <w:shd w:fill="CCEEFF" w:val="clear"/>
            <w:tcMar>
              <w:bottom w:w="0" w:type="dxa"/>
            </w:tcMar>
            <w:vAlign w:val="center"/>
          </w:tcPr>
          <w:p>
            <w:pPr>
              <w:pStyle w:val="TableContents"/>
              <w:bidi w:val="0"/>
              <w:spacing w:before="0" w:after="0"/>
              <w:ind w:left="370" w:right="0" w:hanging="0"/>
              <w:jc w:val="center"/>
              <w:rPr/>
            </w:pPr>
            <w:r>
              <w:rPr/>
              <w:t>7,847</w:t>
            </w:r>
          </w:p>
        </w:tc>
        <w:tc>
          <w:tcPr>
            <w:tcW w:w="1424" w:type="dxa"/>
            <w:tcBorders/>
            <w:shd w:fill="CCEEFF" w:val="clear"/>
            <w:tcMar>
              <w:bottom w:w="0" w:type="dxa"/>
            </w:tcMar>
            <w:vAlign w:val="center"/>
          </w:tcPr>
          <w:p>
            <w:pPr>
              <w:pStyle w:val="TableContents"/>
              <w:bidi w:val="0"/>
              <w:spacing w:before="0" w:after="0"/>
              <w:jc w:val="center"/>
              <w:rPr/>
            </w:pPr>
            <w:r>
              <w:rPr/>
              <w:t>29,261</w:t>
            </w:r>
          </w:p>
        </w:tc>
        <w:tc>
          <w:tcPr>
            <w:tcW w:w="684" w:type="dxa"/>
            <w:tcBorders/>
            <w:shd w:fill="CCEEFF" w:val="clear"/>
            <w:tcMar>
              <w:bottom w:w="0" w:type="dxa"/>
            </w:tcMar>
            <w:vAlign w:val="center"/>
          </w:tcPr>
          <w:p>
            <w:pPr>
              <w:pStyle w:val="TableContents"/>
              <w:bidi w:val="0"/>
              <w:spacing w:before="0" w:after="0"/>
              <w:jc w:val="center"/>
              <w:rPr/>
            </w:pPr>
            <w:r>
              <w:rPr/>
              <w:t>2004</w:t>
            </w:r>
          </w:p>
        </w:tc>
        <w:tc>
          <w:tcPr>
            <w:tcW w:w="1295" w:type="dxa"/>
            <w:tcBorders/>
            <w:shd w:fill="CCEEFF" w:val="clear"/>
            <w:tcMar>
              <w:bottom w:w="0" w:type="dxa"/>
            </w:tcMar>
            <w:vAlign w:val="center"/>
          </w:tcPr>
          <w:p>
            <w:pPr>
              <w:pStyle w:val="TableContents"/>
              <w:bidi w:val="0"/>
              <w:spacing w:before="0" w:after="0"/>
              <w:jc w:val="center"/>
              <w:rPr/>
            </w:pPr>
            <w:r>
              <w:rPr/>
              <w:t>Maersk</w:t>
            </w:r>
          </w:p>
        </w:tc>
        <w:tc>
          <w:tcPr>
            <w:tcW w:w="1440" w:type="dxa"/>
            <w:tcBorders/>
            <w:shd w:fill="CCEEFF" w:val="clear"/>
            <w:tcMar>
              <w:bottom w:w="0" w:type="dxa"/>
            </w:tcMar>
            <w:vAlign w:val="center"/>
          </w:tcPr>
          <w:p>
            <w:pPr>
              <w:pStyle w:val="TableContents"/>
              <w:bidi w:val="0"/>
              <w:spacing w:before="0" w:after="0"/>
              <w:jc w:val="center"/>
              <w:rPr/>
            </w:pPr>
            <w:r>
              <w:rPr/>
              <w:t>1Q28</w:t>
            </w:r>
          </w:p>
        </w:tc>
        <w:tc>
          <w:tcPr>
            <w:tcW w:w="1053" w:type="dxa"/>
            <w:tcBorders/>
            <w:shd w:fill="CCEEFF" w:val="clear"/>
            <w:tcMar>
              <w:bottom w:w="0" w:type="dxa"/>
            </w:tcMar>
            <w:vAlign w:val="center"/>
          </w:tcPr>
          <w:p>
            <w:pPr>
              <w:pStyle w:val="TableContents"/>
              <w:bidi w:val="0"/>
              <w:spacing w:before="0" w:after="0"/>
              <w:jc w:val="center"/>
              <w:rPr/>
            </w:pPr>
            <w:r>
              <w:rPr/>
              <w:t>3Q29</w:t>
            </w:r>
          </w:p>
        </w:tc>
        <w:tc>
          <w:tcPr>
            <w:tcW w:w="1240" w:type="dxa"/>
            <w:tcBorders/>
            <w:shd w:fill="CCEEFF" w:val="clear"/>
            <w:tcMar>
              <w:bottom w:w="0" w:type="dxa"/>
            </w:tcMar>
            <w:vAlign w:val="center"/>
          </w:tcPr>
          <w:p>
            <w:pPr>
              <w:pStyle w:val="TableContents"/>
              <w:bidi w:val="0"/>
              <w:spacing w:lineRule="auto" w:line="240" w:before="0" w:after="0"/>
              <w:jc w:val="center"/>
              <w:rPr/>
            </w:pPr>
            <w:r>
              <w:rPr/>
              <w:t>Footnote (10)</w:t>
            </w:r>
          </w:p>
        </w:tc>
      </w:tr>
      <w:tr>
        <w:trPr/>
        <w:tc>
          <w:tcPr>
            <w:tcW w:w="1880" w:type="dxa"/>
            <w:tcBorders/>
            <w:tcMar>
              <w:bottom w:w="0" w:type="dxa"/>
            </w:tcMar>
            <w:vAlign w:val="center"/>
          </w:tcPr>
          <w:p>
            <w:pPr>
              <w:pStyle w:val="TableContents"/>
              <w:bidi w:val="0"/>
              <w:spacing w:lineRule="auto" w:line="240" w:before="0" w:after="0"/>
              <w:jc w:val="left"/>
              <w:rPr/>
            </w:pPr>
            <w:r>
              <w:rPr/>
              <w:t>Colombia Express (1)</w:t>
            </w:r>
          </w:p>
        </w:tc>
        <w:tc>
          <w:tcPr>
            <w:tcW w:w="1189" w:type="dxa"/>
            <w:tcBorders/>
            <w:tcMar>
              <w:bottom w:w="0" w:type="dxa"/>
            </w:tcMar>
            <w:vAlign w:val="center"/>
          </w:tcPr>
          <w:p>
            <w:pPr>
              <w:pStyle w:val="TableContents"/>
              <w:bidi w:val="0"/>
              <w:spacing w:before="0" w:after="0"/>
              <w:ind w:left="370" w:right="0" w:hanging="0"/>
              <w:jc w:val="center"/>
              <w:rPr/>
            </w:pPr>
            <w:r>
              <w:rPr/>
              <w:t>7,072</w:t>
            </w:r>
          </w:p>
        </w:tc>
        <w:tc>
          <w:tcPr>
            <w:tcW w:w="1424" w:type="dxa"/>
            <w:tcBorders/>
            <w:tcMar>
              <w:bottom w:w="0" w:type="dxa"/>
            </w:tcMar>
            <w:vAlign w:val="center"/>
          </w:tcPr>
          <w:p>
            <w:pPr>
              <w:pStyle w:val="TableContents"/>
              <w:bidi w:val="0"/>
              <w:spacing w:before="0" w:after="0"/>
              <w:jc w:val="center"/>
              <w:rPr/>
            </w:pPr>
            <w:r>
              <w:rPr/>
              <w:t>23,424</w:t>
            </w:r>
          </w:p>
        </w:tc>
        <w:tc>
          <w:tcPr>
            <w:tcW w:w="684" w:type="dxa"/>
            <w:tcBorders/>
            <w:tcMar>
              <w:bottom w:w="0" w:type="dxa"/>
            </w:tcMar>
            <w:vAlign w:val="center"/>
          </w:tcPr>
          <w:p>
            <w:pPr>
              <w:pStyle w:val="TableContents"/>
              <w:bidi w:val="0"/>
              <w:spacing w:before="0" w:after="0"/>
              <w:jc w:val="center"/>
              <w:rPr/>
            </w:pPr>
            <w:r>
              <w:rPr/>
              <w:t>2013</w:t>
            </w:r>
          </w:p>
        </w:tc>
        <w:tc>
          <w:tcPr>
            <w:tcW w:w="1295" w:type="dxa"/>
            <w:tcBorders/>
            <w:tcMar>
              <w:bottom w:w="0" w:type="dxa"/>
            </w:tcMar>
            <w:vAlign w:val="center"/>
          </w:tcPr>
          <w:p>
            <w:pPr>
              <w:pStyle w:val="TableContents"/>
              <w:bidi w:val="0"/>
              <w:spacing w:before="0" w:after="0"/>
              <w:jc w:val="center"/>
              <w:rPr/>
            </w:pPr>
            <w:r>
              <w:rPr/>
              <w:t>Hapag-Lloyd</w:t>
            </w:r>
          </w:p>
        </w:tc>
        <w:tc>
          <w:tcPr>
            <w:tcW w:w="1440" w:type="dxa"/>
            <w:tcBorders/>
            <w:tcMar>
              <w:bottom w:w="0" w:type="dxa"/>
            </w:tcMar>
            <w:vAlign w:val="center"/>
          </w:tcPr>
          <w:p>
            <w:pPr>
              <w:pStyle w:val="TableContents"/>
              <w:bidi w:val="0"/>
              <w:spacing w:before="0" w:after="0"/>
              <w:jc w:val="center"/>
              <w:rPr/>
            </w:pPr>
            <w:r>
              <w:rPr/>
              <w:t>4Q28</w:t>
            </w:r>
          </w:p>
        </w:tc>
        <w:tc>
          <w:tcPr>
            <w:tcW w:w="1053" w:type="dxa"/>
            <w:tcBorders/>
            <w:tcMar>
              <w:bottom w:w="0" w:type="dxa"/>
            </w:tcMar>
            <w:vAlign w:val="center"/>
          </w:tcPr>
          <w:p>
            <w:pPr>
              <w:pStyle w:val="TableContents"/>
              <w:bidi w:val="0"/>
              <w:spacing w:before="0" w:after="0"/>
              <w:jc w:val="center"/>
              <w:rPr/>
            </w:pPr>
            <w:r>
              <w:rPr/>
              <w:t>1Q31</w:t>
            </w:r>
          </w:p>
        </w:tc>
        <w:tc>
          <w:tcPr>
            <w:tcW w:w="1240" w:type="dxa"/>
            <w:tcBorders/>
            <w:tcMar>
              <w:bottom w:w="0" w:type="dxa"/>
            </w:tcMar>
            <w:vAlign w:val="center"/>
          </w:tcPr>
          <w:p>
            <w:pPr>
              <w:pStyle w:val="TableContents"/>
              <w:bidi w:val="0"/>
              <w:spacing w:lineRule="auto" w:line="240" w:before="0" w:after="0"/>
              <w:jc w:val="center"/>
              <w:rPr/>
            </w:pPr>
            <w:r>
              <w:rPr/>
              <w:t>Footnote (11)</w:t>
            </w:r>
          </w:p>
        </w:tc>
      </w:tr>
      <w:tr>
        <w:trPr/>
        <w:tc>
          <w:tcPr>
            <w:tcW w:w="1880" w:type="dxa"/>
            <w:tcBorders/>
            <w:shd w:fill="CCEEFF" w:val="clear"/>
            <w:tcMar>
              <w:bottom w:w="0" w:type="dxa"/>
            </w:tcMar>
            <w:vAlign w:val="center"/>
          </w:tcPr>
          <w:p>
            <w:pPr>
              <w:pStyle w:val="TableContents"/>
              <w:bidi w:val="0"/>
              <w:spacing w:lineRule="auto" w:line="240" w:before="0" w:after="0"/>
              <w:jc w:val="left"/>
              <w:rPr/>
            </w:pPr>
            <w:r>
              <w:rPr/>
              <w:t>Panama Express (1)</w:t>
            </w:r>
          </w:p>
        </w:tc>
        <w:tc>
          <w:tcPr>
            <w:tcW w:w="1189" w:type="dxa"/>
            <w:tcBorders/>
            <w:shd w:fill="CCEEFF" w:val="clear"/>
            <w:tcMar>
              <w:bottom w:w="0" w:type="dxa"/>
            </w:tcMar>
            <w:vAlign w:val="center"/>
          </w:tcPr>
          <w:p>
            <w:pPr>
              <w:pStyle w:val="TableContents"/>
              <w:bidi w:val="0"/>
              <w:spacing w:before="0" w:after="0"/>
              <w:ind w:left="370" w:right="0" w:hanging="0"/>
              <w:jc w:val="center"/>
              <w:rPr/>
            </w:pPr>
            <w:r>
              <w:rPr/>
              <w:t>7,072</w:t>
            </w:r>
          </w:p>
        </w:tc>
        <w:tc>
          <w:tcPr>
            <w:tcW w:w="1424" w:type="dxa"/>
            <w:tcBorders/>
            <w:shd w:fill="CCEEFF" w:val="clear"/>
            <w:tcMar>
              <w:bottom w:w="0" w:type="dxa"/>
            </w:tcMar>
            <w:vAlign w:val="center"/>
          </w:tcPr>
          <w:p>
            <w:pPr>
              <w:pStyle w:val="TableContents"/>
              <w:bidi w:val="0"/>
              <w:spacing w:before="0" w:after="0"/>
              <w:jc w:val="center"/>
              <w:rPr/>
            </w:pPr>
            <w:r>
              <w:rPr/>
              <w:t>23,424</w:t>
            </w:r>
          </w:p>
        </w:tc>
        <w:tc>
          <w:tcPr>
            <w:tcW w:w="684" w:type="dxa"/>
            <w:tcBorders/>
            <w:shd w:fill="CCEEFF" w:val="clear"/>
            <w:tcMar>
              <w:bottom w:w="0" w:type="dxa"/>
            </w:tcMar>
            <w:vAlign w:val="center"/>
          </w:tcPr>
          <w:p>
            <w:pPr>
              <w:pStyle w:val="TableContents"/>
              <w:bidi w:val="0"/>
              <w:spacing w:before="0" w:after="0"/>
              <w:jc w:val="center"/>
              <w:rPr/>
            </w:pPr>
            <w:r>
              <w:rPr/>
              <w:t>2013</w:t>
            </w:r>
          </w:p>
        </w:tc>
        <w:tc>
          <w:tcPr>
            <w:tcW w:w="1295" w:type="dxa"/>
            <w:tcBorders/>
            <w:shd w:fill="CCEEFF" w:val="clear"/>
            <w:tcMar>
              <w:bottom w:w="0" w:type="dxa"/>
            </w:tcMar>
            <w:vAlign w:val="center"/>
          </w:tcPr>
          <w:p>
            <w:pPr>
              <w:pStyle w:val="TableContents"/>
              <w:bidi w:val="0"/>
              <w:spacing w:before="0" w:after="0"/>
              <w:jc w:val="center"/>
              <w:rPr/>
            </w:pPr>
            <w:r>
              <w:rPr/>
              <w:t>Hapag-Lloyd</w:t>
            </w:r>
          </w:p>
        </w:tc>
        <w:tc>
          <w:tcPr>
            <w:tcW w:w="1440" w:type="dxa"/>
            <w:tcBorders/>
            <w:shd w:fill="CCEEFF" w:val="clear"/>
            <w:tcMar>
              <w:bottom w:w="0" w:type="dxa"/>
            </w:tcMar>
            <w:vAlign w:val="center"/>
          </w:tcPr>
          <w:p>
            <w:pPr>
              <w:pStyle w:val="TableContents"/>
              <w:bidi w:val="0"/>
              <w:spacing w:before="0" w:after="0"/>
              <w:jc w:val="center"/>
              <w:rPr/>
            </w:pPr>
            <w:r>
              <w:rPr/>
              <w:t>4Q29</w:t>
            </w:r>
          </w:p>
        </w:tc>
        <w:tc>
          <w:tcPr>
            <w:tcW w:w="1053" w:type="dxa"/>
            <w:tcBorders/>
            <w:shd w:fill="CCEEFF" w:val="clear"/>
            <w:tcMar>
              <w:bottom w:w="0" w:type="dxa"/>
            </w:tcMar>
            <w:vAlign w:val="center"/>
          </w:tcPr>
          <w:p>
            <w:pPr>
              <w:pStyle w:val="TableContents"/>
              <w:bidi w:val="0"/>
              <w:spacing w:before="0" w:after="0"/>
              <w:jc w:val="center"/>
              <w:rPr/>
            </w:pPr>
            <w:r>
              <w:rPr/>
              <w:t>4Q31</w:t>
            </w:r>
          </w:p>
        </w:tc>
        <w:tc>
          <w:tcPr>
            <w:tcW w:w="1240" w:type="dxa"/>
            <w:tcBorders/>
            <w:shd w:fill="CCEEFF" w:val="clear"/>
            <w:tcMar>
              <w:bottom w:w="0" w:type="dxa"/>
            </w:tcMar>
            <w:vAlign w:val="center"/>
          </w:tcPr>
          <w:p>
            <w:pPr>
              <w:pStyle w:val="TableContents"/>
              <w:bidi w:val="0"/>
              <w:spacing w:lineRule="auto" w:line="240" w:before="0" w:after="0"/>
              <w:jc w:val="center"/>
              <w:rPr/>
            </w:pPr>
            <w:r>
              <w:rPr/>
              <w:t>Footnote (11)</w:t>
            </w:r>
          </w:p>
        </w:tc>
      </w:tr>
      <w:tr>
        <w:trPr/>
        <w:tc>
          <w:tcPr>
            <w:tcW w:w="1880" w:type="dxa"/>
            <w:tcBorders/>
            <w:tcMar>
              <w:bottom w:w="0" w:type="dxa"/>
            </w:tcMar>
            <w:vAlign w:val="center"/>
          </w:tcPr>
          <w:p>
            <w:pPr>
              <w:pStyle w:val="TableContents"/>
              <w:bidi w:val="0"/>
              <w:spacing w:lineRule="auto" w:line="240" w:before="0" w:after="0"/>
              <w:jc w:val="left"/>
              <w:rPr/>
            </w:pPr>
            <w:r>
              <w:rPr/>
              <w:t>Costa Rica Express (1)</w:t>
            </w:r>
          </w:p>
        </w:tc>
        <w:tc>
          <w:tcPr>
            <w:tcW w:w="1189" w:type="dxa"/>
            <w:tcBorders/>
            <w:tcMar>
              <w:bottom w:w="0" w:type="dxa"/>
            </w:tcMar>
            <w:vAlign w:val="center"/>
          </w:tcPr>
          <w:p>
            <w:pPr>
              <w:pStyle w:val="TableContents"/>
              <w:bidi w:val="0"/>
              <w:spacing w:before="0" w:after="0"/>
              <w:ind w:left="370" w:right="0" w:hanging="0"/>
              <w:jc w:val="center"/>
              <w:rPr/>
            </w:pPr>
            <w:r>
              <w:rPr/>
              <w:t>7,072</w:t>
            </w:r>
          </w:p>
        </w:tc>
        <w:tc>
          <w:tcPr>
            <w:tcW w:w="1424" w:type="dxa"/>
            <w:tcBorders/>
            <w:tcMar>
              <w:bottom w:w="0" w:type="dxa"/>
            </w:tcMar>
            <w:vAlign w:val="center"/>
          </w:tcPr>
          <w:p>
            <w:pPr>
              <w:pStyle w:val="TableContents"/>
              <w:bidi w:val="0"/>
              <w:spacing w:before="0" w:after="0"/>
              <w:jc w:val="center"/>
              <w:rPr/>
            </w:pPr>
            <w:r>
              <w:rPr/>
              <w:t>23,424</w:t>
            </w:r>
          </w:p>
        </w:tc>
        <w:tc>
          <w:tcPr>
            <w:tcW w:w="684" w:type="dxa"/>
            <w:tcBorders/>
            <w:tcMar>
              <w:bottom w:w="0" w:type="dxa"/>
            </w:tcMar>
            <w:vAlign w:val="center"/>
          </w:tcPr>
          <w:p>
            <w:pPr>
              <w:pStyle w:val="TableContents"/>
              <w:bidi w:val="0"/>
              <w:spacing w:before="0" w:after="0"/>
              <w:jc w:val="center"/>
              <w:rPr/>
            </w:pPr>
            <w:r>
              <w:rPr/>
              <w:t>2013</w:t>
            </w:r>
          </w:p>
        </w:tc>
        <w:tc>
          <w:tcPr>
            <w:tcW w:w="1295" w:type="dxa"/>
            <w:tcBorders/>
            <w:tcMar>
              <w:bottom w:w="0" w:type="dxa"/>
            </w:tcMar>
            <w:vAlign w:val="center"/>
          </w:tcPr>
          <w:p>
            <w:pPr>
              <w:pStyle w:val="TableContents"/>
              <w:bidi w:val="0"/>
              <w:spacing w:before="0" w:after="0"/>
              <w:jc w:val="center"/>
              <w:rPr/>
            </w:pPr>
            <w:r>
              <w:rPr/>
              <w:t>Hapag-Lloyd</w:t>
            </w:r>
          </w:p>
        </w:tc>
        <w:tc>
          <w:tcPr>
            <w:tcW w:w="1440" w:type="dxa"/>
            <w:tcBorders/>
            <w:tcMar>
              <w:bottom w:w="0" w:type="dxa"/>
            </w:tcMar>
            <w:vAlign w:val="center"/>
          </w:tcPr>
          <w:p>
            <w:pPr>
              <w:pStyle w:val="TableContents"/>
              <w:bidi w:val="0"/>
              <w:spacing w:before="0" w:after="0"/>
              <w:jc w:val="center"/>
              <w:rPr/>
            </w:pPr>
            <w:r>
              <w:rPr/>
              <w:t>2Q29</w:t>
            </w:r>
          </w:p>
        </w:tc>
        <w:tc>
          <w:tcPr>
            <w:tcW w:w="1053" w:type="dxa"/>
            <w:tcBorders/>
            <w:tcMar>
              <w:bottom w:w="0" w:type="dxa"/>
            </w:tcMar>
            <w:vAlign w:val="center"/>
          </w:tcPr>
          <w:p>
            <w:pPr>
              <w:pStyle w:val="TableContents"/>
              <w:bidi w:val="0"/>
              <w:spacing w:before="0" w:after="0"/>
              <w:jc w:val="center"/>
              <w:rPr/>
            </w:pPr>
            <w:r>
              <w:rPr/>
              <w:t>3Q31</w:t>
            </w:r>
          </w:p>
        </w:tc>
        <w:tc>
          <w:tcPr>
            <w:tcW w:w="1240" w:type="dxa"/>
            <w:tcBorders/>
            <w:tcMar>
              <w:bottom w:w="0" w:type="dxa"/>
            </w:tcMar>
            <w:vAlign w:val="center"/>
          </w:tcPr>
          <w:p>
            <w:pPr>
              <w:pStyle w:val="TableContents"/>
              <w:bidi w:val="0"/>
              <w:spacing w:lineRule="auto" w:line="240" w:before="0" w:after="0"/>
              <w:jc w:val="center"/>
              <w:rPr/>
            </w:pPr>
            <w:r>
              <w:rPr/>
              <w:t>Footnote (11)</w:t>
            </w:r>
          </w:p>
        </w:tc>
      </w:tr>
      <w:tr>
        <w:trPr/>
        <w:tc>
          <w:tcPr>
            <w:tcW w:w="1880" w:type="dxa"/>
            <w:tcBorders/>
            <w:shd w:fill="CCEEFF" w:val="clear"/>
            <w:tcMar>
              <w:bottom w:w="0" w:type="dxa"/>
            </w:tcMar>
            <w:vAlign w:val="center"/>
          </w:tcPr>
          <w:p>
            <w:pPr>
              <w:pStyle w:val="TableContents"/>
              <w:bidi w:val="0"/>
              <w:spacing w:lineRule="auto" w:line="240" w:before="0" w:after="0"/>
              <w:jc w:val="left"/>
              <w:rPr/>
            </w:pPr>
            <w:r>
              <w:rPr/>
              <w:t>Nicaragua Express (1)</w:t>
            </w:r>
          </w:p>
        </w:tc>
        <w:tc>
          <w:tcPr>
            <w:tcW w:w="1189" w:type="dxa"/>
            <w:tcBorders/>
            <w:shd w:fill="CCEEFF" w:val="clear"/>
            <w:tcMar>
              <w:bottom w:w="0" w:type="dxa"/>
            </w:tcMar>
            <w:vAlign w:val="center"/>
          </w:tcPr>
          <w:p>
            <w:pPr>
              <w:pStyle w:val="TableContents"/>
              <w:bidi w:val="0"/>
              <w:spacing w:before="0" w:after="0"/>
              <w:ind w:left="370" w:right="0" w:hanging="0"/>
              <w:jc w:val="center"/>
              <w:rPr/>
            </w:pPr>
            <w:r>
              <w:rPr/>
              <w:t>7,072</w:t>
            </w:r>
          </w:p>
        </w:tc>
        <w:tc>
          <w:tcPr>
            <w:tcW w:w="1424" w:type="dxa"/>
            <w:tcBorders/>
            <w:shd w:fill="CCEEFF" w:val="clear"/>
            <w:tcMar>
              <w:bottom w:w="0" w:type="dxa"/>
            </w:tcMar>
            <w:vAlign w:val="center"/>
          </w:tcPr>
          <w:p>
            <w:pPr>
              <w:pStyle w:val="TableContents"/>
              <w:bidi w:val="0"/>
              <w:spacing w:before="0" w:after="0"/>
              <w:jc w:val="center"/>
              <w:rPr/>
            </w:pPr>
            <w:r>
              <w:rPr/>
              <w:t>23,424</w:t>
            </w:r>
          </w:p>
        </w:tc>
        <w:tc>
          <w:tcPr>
            <w:tcW w:w="684" w:type="dxa"/>
            <w:tcBorders/>
            <w:shd w:fill="CCEEFF" w:val="clear"/>
            <w:tcMar>
              <w:bottom w:w="0" w:type="dxa"/>
            </w:tcMar>
            <w:vAlign w:val="center"/>
          </w:tcPr>
          <w:p>
            <w:pPr>
              <w:pStyle w:val="TableContents"/>
              <w:bidi w:val="0"/>
              <w:spacing w:before="0" w:after="0"/>
              <w:jc w:val="center"/>
              <w:rPr/>
            </w:pPr>
            <w:r>
              <w:rPr/>
              <w:t>2013</w:t>
            </w:r>
          </w:p>
        </w:tc>
        <w:tc>
          <w:tcPr>
            <w:tcW w:w="1295" w:type="dxa"/>
            <w:tcBorders/>
            <w:shd w:fill="CCEEFF" w:val="clear"/>
            <w:tcMar>
              <w:bottom w:w="0" w:type="dxa"/>
            </w:tcMar>
            <w:vAlign w:val="center"/>
          </w:tcPr>
          <w:p>
            <w:pPr>
              <w:pStyle w:val="TableContents"/>
              <w:bidi w:val="0"/>
              <w:spacing w:before="0" w:after="0"/>
              <w:jc w:val="center"/>
              <w:rPr/>
            </w:pPr>
            <w:r>
              <w:rPr/>
              <w:t>Hapag-Lloyd</w:t>
            </w:r>
          </w:p>
        </w:tc>
        <w:tc>
          <w:tcPr>
            <w:tcW w:w="1440" w:type="dxa"/>
            <w:tcBorders/>
            <w:shd w:fill="CCEEFF" w:val="clear"/>
            <w:tcMar>
              <w:bottom w:w="0" w:type="dxa"/>
            </w:tcMar>
            <w:vAlign w:val="center"/>
          </w:tcPr>
          <w:p>
            <w:pPr>
              <w:pStyle w:val="TableContents"/>
              <w:bidi w:val="0"/>
              <w:spacing w:before="0" w:after="0"/>
              <w:jc w:val="center"/>
              <w:rPr/>
            </w:pPr>
            <w:r>
              <w:rPr/>
              <w:t>3Q29</w:t>
            </w:r>
          </w:p>
        </w:tc>
        <w:tc>
          <w:tcPr>
            <w:tcW w:w="1053" w:type="dxa"/>
            <w:tcBorders/>
            <w:shd w:fill="CCEEFF" w:val="clear"/>
            <w:tcMar>
              <w:bottom w:w="0" w:type="dxa"/>
            </w:tcMar>
            <w:vAlign w:val="center"/>
          </w:tcPr>
          <w:p>
            <w:pPr>
              <w:pStyle w:val="TableContents"/>
              <w:bidi w:val="0"/>
              <w:spacing w:before="0" w:after="0"/>
              <w:jc w:val="center"/>
              <w:rPr/>
            </w:pPr>
            <w:r>
              <w:rPr/>
              <w:t>4Q31</w:t>
            </w:r>
          </w:p>
        </w:tc>
        <w:tc>
          <w:tcPr>
            <w:tcW w:w="1240" w:type="dxa"/>
            <w:tcBorders/>
            <w:shd w:fill="CCEEFF" w:val="clear"/>
            <w:tcMar>
              <w:bottom w:w="0" w:type="dxa"/>
            </w:tcMar>
            <w:vAlign w:val="center"/>
          </w:tcPr>
          <w:p>
            <w:pPr>
              <w:pStyle w:val="TableContents"/>
              <w:bidi w:val="0"/>
              <w:spacing w:lineRule="auto" w:line="240" w:before="0" w:after="0"/>
              <w:jc w:val="center"/>
              <w:rPr/>
            </w:pPr>
            <w:r>
              <w:rPr/>
              <w:t>Footnote (11)</w:t>
            </w:r>
          </w:p>
        </w:tc>
      </w:tr>
      <w:tr>
        <w:trPr/>
        <w:tc>
          <w:tcPr>
            <w:tcW w:w="1880" w:type="dxa"/>
            <w:tcBorders/>
            <w:tcMar>
              <w:bottom w:w="0" w:type="dxa"/>
            </w:tcMar>
            <w:vAlign w:val="center"/>
          </w:tcPr>
          <w:p>
            <w:pPr>
              <w:pStyle w:val="TableContents"/>
              <w:bidi w:val="0"/>
              <w:spacing w:lineRule="auto" w:line="240" w:before="0" w:after="0"/>
              <w:jc w:val="left"/>
              <w:rPr/>
            </w:pPr>
            <w:r>
              <w:rPr/>
              <w:t>Ateti (ex CMA CGM Berlioz) (12)</w:t>
            </w:r>
          </w:p>
        </w:tc>
        <w:tc>
          <w:tcPr>
            <w:tcW w:w="1189" w:type="dxa"/>
            <w:tcBorders/>
            <w:tcMar>
              <w:bottom w:w="0" w:type="dxa"/>
            </w:tcMar>
            <w:vAlign w:val="center"/>
          </w:tcPr>
          <w:p>
            <w:pPr>
              <w:pStyle w:val="TableContents"/>
              <w:bidi w:val="0"/>
              <w:spacing w:before="0" w:after="0"/>
              <w:ind w:left="370" w:right="0" w:hanging="0"/>
              <w:jc w:val="center"/>
              <w:rPr/>
            </w:pPr>
            <w:r>
              <w:rPr/>
              <w:t>7,023</w:t>
            </w:r>
          </w:p>
        </w:tc>
        <w:tc>
          <w:tcPr>
            <w:tcW w:w="1424" w:type="dxa"/>
            <w:tcBorders/>
            <w:tcMar>
              <w:bottom w:w="0" w:type="dxa"/>
            </w:tcMar>
            <w:vAlign w:val="center"/>
          </w:tcPr>
          <w:p>
            <w:pPr>
              <w:pStyle w:val="TableContents"/>
              <w:bidi w:val="0"/>
              <w:spacing w:before="0" w:after="0"/>
              <w:jc w:val="center"/>
              <w:rPr/>
            </w:pPr>
            <w:r>
              <w:rPr/>
              <w:t>26,776</w:t>
            </w:r>
          </w:p>
        </w:tc>
        <w:tc>
          <w:tcPr>
            <w:tcW w:w="684" w:type="dxa"/>
            <w:tcBorders/>
            <w:tcMar>
              <w:bottom w:w="0" w:type="dxa"/>
            </w:tcMar>
            <w:vAlign w:val="center"/>
          </w:tcPr>
          <w:p>
            <w:pPr>
              <w:pStyle w:val="TableContents"/>
              <w:bidi w:val="0"/>
              <w:spacing w:before="0" w:after="0"/>
              <w:jc w:val="center"/>
              <w:rPr/>
            </w:pPr>
            <w:r>
              <w:rPr/>
              <w:t>2001</w:t>
            </w:r>
          </w:p>
        </w:tc>
        <w:tc>
          <w:tcPr>
            <w:tcW w:w="1295" w:type="dxa"/>
            <w:tcBorders/>
            <w:tcMar>
              <w:bottom w:w="0" w:type="dxa"/>
            </w:tcMar>
            <w:vAlign w:val="center"/>
          </w:tcPr>
          <w:p>
            <w:pPr>
              <w:pStyle w:val="TableContents"/>
              <w:bidi w:val="0"/>
              <w:spacing w:before="0" w:after="0"/>
              <w:jc w:val="center"/>
              <w:rPr/>
            </w:pPr>
            <w:r>
              <w:rPr/>
              <w:t>MSC</w:t>
            </w:r>
          </w:p>
        </w:tc>
        <w:tc>
          <w:tcPr>
            <w:tcW w:w="1440" w:type="dxa"/>
            <w:tcBorders/>
            <w:tcMar>
              <w:bottom w:w="0" w:type="dxa"/>
            </w:tcMar>
            <w:vAlign w:val="center"/>
          </w:tcPr>
          <w:p>
            <w:pPr>
              <w:pStyle w:val="TableContents"/>
              <w:bidi w:val="0"/>
              <w:spacing w:before="0" w:after="0"/>
              <w:jc w:val="center"/>
              <w:rPr/>
            </w:pPr>
            <w:r>
              <w:rPr/>
              <w:t>2Q29</w:t>
            </w:r>
          </w:p>
        </w:tc>
        <w:tc>
          <w:tcPr>
            <w:tcW w:w="1053" w:type="dxa"/>
            <w:tcBorders/>
            <w:tcMar>
              <w:bottom w:w="0" w:type="dxa"/>
            </w:tcMar>
            <w:vAlign w:val="center"/>
          </w:tcPr>
          <w:p>
            <w:pPr>
              <w:pStyle w:val="TableContents"/>
              <w:bidi w:val="0"/>
              <w:spacing w:before="0" w:after="0"/>
              <w:jc w:val="center"/>
              <w:rPr/>
            </w:pPr>
            <w:r>
              <w:rPr/>
              <w:t>2Q29</w:t>
            </w:r>
          </w:p>
        </w:tc>
        <w:tc>
          <w:tcPr>
            <w:tcW w:w="1240" w:type="dxa"/>
            <w:tcBorders/>
            <w:tcMar>
              <w:bottom w:w="0" w:type="dxa"/>
            </w:tcMar>
            <w:vAlign w:val="center"/>
          </w:tcPr>
          <w:p>
            <w:pPr>
              <w:pStyle w:val="TableContents"/>
              <w:bidi w:val="0"/>
              <w:spacing w:lineRule="auto" w:line="240" w:before="0" w:after="0"/>
              <w:jc w:val="center"/>
              <w:rPr/>
            </w:pPr>
            <w:r>
              <w:rPr/>
              <w:t>Footnote (12)</w:t>
            </w:r>
          </w:p>
        </w:tc>
      </w:tr>
      <w:tr>
        <w:trPr/>
        <w:tc>
          <w:tcPr>
            <w:tcW w:w="1880" w:type="dxa"/>
            <w:tcBorders/>
            <w:shd w:fill="CCEEFF" w:val="clear"/>
            <w:tcMar>
              <w:bottom w:w="0" w:type="dxa"/>
            </w:tcMar>
            <w:vAlign w:val="center"/>
          </w:tcPr>
          <w:p>
            <w:pPr>
              <w:pStyle w:val="TableContents"/>
              <w:bidi w:val="0"/>
              <w:spacing w:lineRule="auto" w:line="240" w:before="0" w:after="0"/>
              <w:jc w:val="left"/>
              <w:rPr/>
            </w:pPr>
            <w:r>
              <w:rPr/>
              <w:t>Mexico Express (1)</w:t>
            </w:r>
          </w:p>
        </w:tc>
        <w:tc>
          <w:tcPr>
            <w:tcW w:w="1189" w:type="dxa"/>
            <w:tcBorders/>
            <w:shd w:fill="CCEEFF" w:val="clear"/>
            <w:tcMar>
              <w:bottom w:w="0" w:type="dxa"/>
            </w:tcMar>
            <w:vAlign w:val="center"/>
          </w:tcPr>
          <w:p>
            <w:pPr>
              <w:pStyle w:val="TableContents"/>
              <w:bidi w:val="0"/>
              <w:spacing w:before="0" w:after="0"/>
              <w:ind w:left="370" w:right="0" w:hanging="0"/>
              <w:jc w:val="center"/>
              <w:rPr/>
            </w:pPr>
            <w:r>
              <w:rPr/>
              <w:t>6,918</w:t>
            </w:r>
          </w:p>
        </w:tc>
        <w:tc>
          <w:tcPr>
            <w:tcW w:w="1424" w:type="dxa"/>
            <w:tcBorders/>
            <w:shd w:fill="CCEEFF" w:val="clear"/>
            <w:tcMar>
              <w:bottom w:w="0" w:type="dxa"/>
            </w:tcMar>
            <w:vAlign w:val="center"/>
          </w:tcPr>
          <w:p>
            <w:pPr>
              <w:pStyle w:val="TableContents"/>
              <w:bidi w:val="0"/>
              <w:spacing w:before="0" w:after="0"/>
              <w:jc w:val="center"/>
              <w:rPr/>
            </w:pPr>
            <w:r>
              <w:rPr/>
              <w:t>23,970</w:t>
            </w:r>
          </w:p>
        </w:tc>
        <w:tc>
          <w:tcPr>
            <w:tcW w:w="684" w:type="dxa"/>
            <w:tcBorders/>
            <w:shd w:fill="CCEEFF" w:val="clear"/>
            <w:tcMar>
              <w:bottom w:w="0" w:type="dxa"/>
            </w:tcMar>
            <w:vAlign w:val="center"/>
          </w:tcPr>
          <w:p>
            <w:pPr>
              <w:pStyle w:val="TableContents"/>
              <w:bidi w:val="0"/>
              <w:spacing w:before="0" w:after="0"/>
              <w:jc w:val="center"/>
              <w:rPr/>
            </w:pPr>
            <w:r>
              <w:rPr/>
              <w:t>2015</w:t>
            </w:r>
          </w:p>
        </w:tc>
        <w:tc>
          <w:tcPr>
            <w:tcW w:w="1295" w:type="dxa"/>
            <w:tcBorders/>
            <w:shd w:fill="CCEEFF" w:val="clear"/>
            <w:tcMar>
              <w:bottom w:w="0" w:type="dxa"/>
            </w:tcMar>
            <w:vAlign w:val="center"/>
          </w:tcPr>
          <w:p>
            <w:pPr>
              <w:pStyle w:val="TableContents"/>
              <w:bidi w:val="0"/>
              <w:spacing w:before="0" w:after="0"/>
              <w:jc w:val="center"/>
              <w:rPr/>
            </w:pPr>
            <w:r>
              <w:rPr/>
              <w:t>Hapag-Lloyd</w:t>
            </w:r>
          </w:p>
        </w:tc>
        <w:tc>
          <w:tcPr>
            <w:tcW w:w="1440" w:type="dxa"/>
            <w:tcBorders/>
            <w:shd w:fill="CCEEFF" w:val="clear"/>
            <w:tcMar>
              <w:bottom w:w="0" w:type="dxa"/>
            </w:tcMar>
            <w:vAlign w:val="center"/>
          </w:tcPr>
          <w:p>
            <w:pPr>
              <w:pStyle w:val="TableContents"/>
              <w:bidi w:val="0"/>
              <w:spacing w:before="0" w:after="0"/>
              <w:jc w:val="center"/>
              <w:rPr/>
            </w:pPr>
            <w:r>
              <w:rPr/>
              <w:t>3Q29</w:t>
            </w:r>
          </w:p>
        </w:tc>
        <w:tc>
          <w:tcPr>
            <w:tcW w:w="1053" w:type="dxa"/>
            <w:tcBorders/>
            <w:shd w:fill="CCEEFF" w:val="clear"/>
            <w:tcMar>
              <w:bottom w:w="0" w:type="dxa"/>
            </w:tcMar>
            <w:vAlign w:val="center"/>
          </w:tcPr>
          <w:p>
            <w:pPr>
              <w:pStyle w:val="TableContents"/>
              <w:bidi w:val="0"/>
              <w:spacing w:before="0" w:after="0"/>
              <w:jc w:val="center"/>
              <w:rPr/>
            </w:pPr>
            <w:r>
              <w:rPr/>
              <w:t>4Q31</w:t>
            </w:r>
          </w:p>
        </w:tc>
        <w:tc>
          <w:tcPr>
            <w:tcW w:w="1240" w:type="dxa"/>
            <w:tcBorders/>
            <w:shd w:fill="CCEEFF" w:val="clear"/>
            <w:tcMar>
              <w:bottom w:w="0" w:type="dxa"/>
            </w:tcMar>
            <w:vAlign w:val="center"/>
          </w:tcPr>
          <w:p>
            <w:pPr>
              <w:pStyle w:val="TableContents"/>
              <w:bidi w:val="0"/>
              <w:spacing w:lineRule="auto" w:line="240" w:before="0" w:after="0"/>
              <w:jc w:val="center"/>
              <w:rPr/>
            </w:pPr>
            <w:r>
              <w:rPr/>
              <w:t>Footnote (11)</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Page 7</w:t>
      </w:r>
    </w:p>
    <w:p>
      <w:pPr>
        <w:pStyle w:val="HorizontalLine"/>
        <w:pBdr>
          <w:bottom w:val="single" w:sz="12" w:space="0" w:color="808080"/>
        </w:pBdr>
        <w:bidi w:val="0"/>
        <w:spacing w:before="200" w:after="200"/>
        <w:jc w:val="left"/>
        <w:rPr/>
      </w:pPr>
      <w:r>
        <w:rPr/>
      </w:r>
    </w:p>
    <w:tbl>
      <w:tblPr>
        <w:tblW w:w="7720" w:type="dxa"/>
        <w:jc w:val="left"/>
        <w:tblInd w:w="0" w:type="dxa"/>
        <w:tblLayout w:type="fixed"/>
        <w:tblCellMar>
          <w:top w:w="0" w:type="dxa"/>
          <w:left w:w="0" w:type="dxa"/>
          <w:bottom w:w="0" w:type="dxa"/>
          <w:right w:w="0" w:type="dxa"/>
        </w:tblCellMar>
      </w:tblPr>
      <w:tblGrid>
        <w:gridCol w:w="2225"/>
        <w:gridCol w:w="560"/>
        <w:gridCol w:w="680"/>
        <w:gridCol w:w="500"/>
        <w:gridCol w:w="1310"/>
        <w:gridCol w:w="560"/>
        <w:gridCol w:w="560"/>
        <w:gridCol w:w="1325"/>
      </w:tblGrid>
      <w:tr>
        <w:trPr/>
        <w:tc>
          <w:tcPr>
            <w:tcW w:w="2225" w:type="dxa"/>
            <w:tcBorders/>
            <w:vAlign w:val="center"/>
          </w:tcPr>
          <w:p>
            <w:pPr>
              <w:pStyle w:val="TableContents"/>
              <w:bidi w:val="0"/>
              <w:spacing w:lineRule="auto" w:line="240" w:before="0" w:after="0"/>
              <w:jc w:val="left"/>
              <w:rPr/>
            </w:pPr>
            <w:r>
              <w:rPr/>
              <w:t>Jamaica Express (1)</w:t>
            </w:r>
          </w:p>
        </w:tc>
        <w:tc>
          <w:tcPr>
            <w:tcW w:w="560" w:type="dxa"/>
            <w:tcBorders/>
            <w:vAlign w:val="center"/>
          </w:tcPr>
          <w:p>
            <w:pPr>
              <w:pStyle w:val="TableContents"/>
              <w:bidi w:val="0"/>
              <w:spacing w:before="0" w:after="0"/>
              <w:ind w:left="370" w:right="0" w:hanging="0"/>
              <w:jc w:val="center"/>
              <w:rPr/>
            </w:pPr>
            <w:r>
              <w:rPr/>
              <w:t>6,918</w:t>
            </w:r>
          </w:p>
        </w:tc>
        <w:tc>
          <w:tcPr>
            <w:tcW w:w="680" w:type="dxa"/>
            <w:tcBorders/>
            <w:vAlign w:val="center"/>
          </w:tcPr>
          <w:p>
            <w:pPr>
              <w:pStyle w:val="TableContents"/>
              <w:bidi w:val="0"/>
              <w:spacing w:before="0" w:after="0"/>
              <w:jc w:val="center"/>
              <w:rPr/>
            </w:pPr>
            <w:r>
              <w:rPr/>
              <w:t>23,915</w:t>
            </w:r>
          </w:p>
        </w:tc>
        <w:tc>
          <w:tcPr>
            <w:tcW w:w="500" w:type="dxa"/>
            <w:tcBorders/>
            <w:vAlign w:val="center"/>
          </w:tcPr>
          <w:p>
            <w:pPr>
              <w:pStyle w:val="TableContents"/>
              <w:bidi w:val="0"/>
              <w:spacing w:before="0" w:after="0"/>
              <w:ind w:left="100" w:right="0" w:hanging="0"/>
              <w:jc w:val="left"/>
              <w:rPr/>
            </w:pPr>
            <w:r>
              <w:rPr/>
              <w:t>2015</w:t>
            </w:r>
          </w:p>
        </w:tc>
        <w:tc>
          <w:tcPr>
            <w:tcW w:w="1310" w:type="dxa"/>
            <w:tcBorders/>
            <w:vAlign w:val="center"/>
          </w:tcPr>
          <w:p>
            <w:pPr>
              <w:pStyle w:val="TableContents"/>
              <w:bidi w:val="0"/>
              <w:spacing w:before="0" w:after="0"/>
              <w:jc w:val="center"/>
              <w:rPr/>
            </w:pPr>
            <w:r>
              <w:rPr/>
              <w:t>Hapag-Lloyd</w:t>
            </w:r>
          </w:p>
        </w:tc>
        <w:tc>
          <w:tcPr>
            <w:tcW w:w="560" w:type="dxa"/>
            <w:tcBorders/>
            <w:vAlign w:val="center"/>
          </w:tcPr>
          <w:p>
            <w:pPr>
              <w:pStyle w:val="TableContents"/>
              <w:bidi w:val="0"/>
              <w:spacing w:before="0" w:after="0"/>
              <w:jc w:val="center"/>
              <w:rPr/>
            </w:pPr>
            <w:r>
              <w:rPr/>
              <w:t>3Q29</w:t>
            </w:r>
          </w:p>
        </w:tc>
        <w:tc>
          <w:tcPr>
            <w:tcW w:w="560" w:type="dxa"/>
            <w:tcBorders/>
            <w:vAlign w:val="center"/>
          </w:tcPr>
          <w:p>
            <w:pPr>
              <w:pStyle w:val="TableContents"/>
              <w:bidi w:val="0"/>
              <w:spacing w:before="0" w:after="0"/>
              <w:jc w:val="center"/>
              <w:rPr/>
            </w:pPr>
            <w:r>
              <w:rPr/>
              <w:t>4Q31</w:t>
            </w:r>
          </w:p>
        </w:tc>
        <w:tc>
          <w:tcPr>
            <w:tcW w:w="1325" w:type="dxa"/>
            <w:tcBorders/>
            <w:vAlign w:val="center"/>
          </w:tcPr>
          <w:p>
            <w:pPr>
              <w:pStyle w:val="TableContents"/>
              <w:bidi w:val="0"/>
              <w:spacing w:lineRule="auto" w:line="240" w:before="0" w:after="0"/>
              <w:jc w:val="center"/>
              <w:rPr/>
            </w:pPr>
            <w:r>
              <w:rPr/>
              <w:t>Footnote (11)</w:t>
            </w:r>
          </w:p>
        </w:tc>
      </w:tr>
      <w:tr>
        <w:trPr/>
        <w:tc>
          <w:tcPr>
            <w:tcW w:w="2225" w:type="dxa"/>
            <w:tcBorders/>
            <w:shd w:fill="CCEEFF" w:val="clear"/>
            <w:vAlign w:val="center"/>
          </w:tcPr>
          <w:p>
            <w:pPr>
              <w:pStyle w:val="TableContents"/>
              <w:bidi w:val="0"/>
              <w:spacing w:before="0" w:after="0"/>
              <w:jc w:val="left"/>
              <w:rPr/>
            </w:pPr>
            <w:r>
              <w:rPr/>
              <w:t>GSL Christen</w:t>
            </w:r>
          </w:p>
        </w:tc>
        <w:tc>
          <w:tcPr>
            <w:tcW w:w="560" w:type="dxa"/>
            <w:tcBorders/>
            <w:shd w:fill="CCEEFF" w:val="clear"/>
            <w:vAlign w:val="center"/>
          </w:tcPr>
          <w:p>
            <w:pPr>
              <w:pStyle w:val="TableContents"/>
              <w:bidi w:val="0"/>
              <w:spacing w:before="0" w:after="0"/>
              <w:ind w:left="370" w:right="0" w:hanging="0"/>
              <w:jc w:val="center"/>
              <w:rPr/>
            </w:pPr>
            <w:r>
              <w:rPr/>
              <w:t>6,858</w:t>
            </w:r>
          </w:p>
        </w:tc>
        <w:tc>
          <w:tcPr>
            <w:tcW w:w="680" w:type="dxa"/>
            <w:tcBorders/>
            <w:shd w:fill="CCEEFF" w:val="clear"/>
            <w:vAlign w:val="center"/>
          </w:tcPr>
          <w:p>
            <w:pPr>
              <w:pStyle w:val="TableContents"/>
              <w:bidi w:val="0"/>
              <w:spacing w:before="0" w:after="0"/>
              <w:jc w:val="center"/>
              <w:rPr/>
            </w:pPr>
            <w:r>
              <w:rPr/>
              <w:t>27,954</w:t>
            </w:r>
          </w:p>
        </w:tc>
        <w:tc>
          <w:tcPr>
            <w:tcW w:w="500" w:type="dxa"/>
            <w:tcBorders/>
            <w:shd w:fill="CCEEFF" w:val="clear"/>
            <w:vAlign w:val="center"/>
          </w:tcPr>
          <w:p>
            <w:pPr>
              <w:pStyle w:val="TableContents"/>
              <w:bidi w:val="0"/>
              <w:spacing w:before="0" w:after="0"/>
              <w:ind w:left="100" w:right="0" w:hanging="0"/>
              <w:jc w:val="left"/>
              <w:rPr/>
            </w:pPr>
            <w:r>
              <w:rPr/>
              <w:t>2002</w:t>
            </w:r>
          </w:p>
        </w:tc>
        <w:tc>
          <w:tcPr>
            <w:tcW w:w="1310" w:type="dxa"/>
            <w:tcBorders/>
            <w:shd w:fill="CCEEFF" w:val="clear"/>
            <w:vAlign w:val="center"/>
          </w:tcPr>
          <w:p>
            <w:pPr>
              <w:pStyle w:val="TableContents"/>
              <w:bidi w:val="0"/>
              <w:spacing w:before="0" w:after="0"/>
              <w:jc w:val="center"/>
              <w:rPr/>
            </w:pPr>
            <w:r>
              <w:rPr/>
              <w:t>Maersk</w:t>
            </w:r>
          </w:p>
        </w:tc>
        <w:tc>
          <w:tcPr>
            <w:tcW w:w="560" w:type="dxa"/>
            <w:tcBorders/>
            <w:shd w:fill="CCEEFF" w:val="clear"/>
            <w:vAlign w:val="center"/>
          </w:tcPr>
          <w:p>
            <w:pPr>
              <w:pStyle w:val="TableContents"/>
              <w:bidi w:val="0"/>
              <w:spacing w:before="0" w:after="0"/>
              <w:jc w:val="center"/>
              <w:rPr/>
            </w:pPr>
            <w:r>
              <w:rPr/>
              <w:t>4Q27</w:t>
            </w:r>
          </w:p>
        </w:tc>
        <w:tc>
          <w:tcPr>
            <w:tcW w:w="560" w:type="dxa"/>
            <w:tcBorders/>
            <w:shd w:fill="CCEEFF" w:val="clear"/>
            <w:vAlign w:val="center"/>
          </w:tcPr>
          <w:p>
            <w:pPr>
              <w:pStyle w:val="TableContents"/>
              <w:bidi w:val="0"/>
              <w:spacing w:before="0" w:after="0"/>
              <w:jc w:val="center"/>
              <w:rPr/>
            </w:pPr>
            <w:r>
              <w:rPr/>
              <w:t>1Q28</w:t>
            </w:r>
          </w:p>
        </w:tc>
        <w:tc>
          <w:tcPr>
            <w:tcW w:w="1325" w:type="dxa"/>
            <w:tcBorders/>
            <w:shd w:fill="CCEEFF" w:val="clear"/>
            <w:vAlign w:val="center"/>
          </w:tcPr>
          <w:p>
            <w:pPr>
              <w:pStyle w:val="TableContents"/>
              <w:bidi w:val="0"/>
              <w:spacing w:lineRule="auto" w:line="240" w:before="0" w:after="0"/>
              <w:jc w:val="center"/>
              <w:rPr/>
            </w:pPr>
            <w:r>
              <w:rPr/>
              <w:t>Footnote (13)</w:t>
            </w:r>
          </w:p>
        </w:tc>
      </w:tr>
      <w:tr>
        <w:trPr/>
        <w:tc>
          <w:tcPr>
            <w:tcW w:w="2225" w:type="dxa"/>
            <w:tcBorders/>
            <w:vAlign w:val="center"/>
          </w:tcPr>
          <w:p>
            <w:pPr>
              <w:pStyle w:val="TableContents"/>
              <w:bidi w:val="0"/>
              <w:spacing w:before="0" w:after="0"/>
              <w:jc w:val="left"/>
              <w:rPr/>
            </w:pPr>
            <w:r>
              <w:rPr/>
              <w:t>GSL Nicoletta</w:t>
            </w:r>
          </w:p>
        </w:tc>
        <w:tc>
          <w:tcPr>
            <w:tcW w:w="560" w:type="dxa"/>
            <w:tcBorders/>
            <w:vAlign w:val="center"/>
          </w:tcPr>
          <w:p>
            <w:pPr>
              <w:pStyle w:val="TableContents"/>
              <w:bidi w:val="0"/>
              <w:spacing w:before="0" w:after="0"/>
              <w:ind w:left="370" w:right="0" w:hanging="0"/>
              <w:jc w:val="center"/>
              <w:rPr/>
            </w:pPr>
            <w:r>
              <w:rPr/>
              <w:t>6,858</w:t>
            </w:r>
          </w:p>
        </w:tc>
        <w:tc>
          <w:tcPr>
            <w:tcW w:w="680" w:type="dxa"/>
            <w:tcBorders/>
            <w:vAlign w:val="center"/>
          </w:tcPr>
          <w:p>
            <w:pPr>
              <w:pStyle w:val="TableContents"/>
              <w:bidi w:val="0"/>
              <w:spacing w:before="0" w:after="0"/>
              <w:jc w:val="center"/>
              <w:rPr/>
            </w:pPr>
            <w:r>
              <w:rPr/>
              <w:t>28,070</w:t>
            </w:r>
          </w:p>
        </w:tc>
        <w:tc>
          <w:tcPr>
            <w:tcW w:w="500" w:type="dxa"/>
            <w:tcBorders/>
            <w:vAlign w:val="center"/>
          </w:tcPr>
          <w:p>
            <w:pPr>
              <w:pStyle w:val="TableContents"/>
              <w:bidi w:val="0"/>
              <w:spacing w:before="0" w:after="0"/>
              <w:ind w:left="100" w:right="0" w:hanging="0"/>
              <w:jc w:val="left"/>
              <w:rPr/>
            </w:pPr>
            <w:r>
              <w:rPr/>
              <w:t>2002</w:t>
            </w:r>
          </w:p>
        </w:tc>
        <w:tc>
          <w:tcPr>
            <w:tcW w:w="1310" w:type="dxa"/>
            <w:tcBorders/>
            <w:vAlign w:val="center"/>
          </w:tcPr>
          <w:p>
            <w:pPr>
              <w:pStyle w:val="TableContents"/>
              <w:bidi w:val="0"/>
              <w:spacing w:before="0" w:after="0"/>
              <w:jc w:val="center"/>
              <w:rPr/>
            </w:pPr>
            <w:r>
              <w:rPr/>
              <w:t>Maersk</w:t>
            </w:r>
          </w:p>
        </w:tc>
        <w:tc>
          <w:tcPr>
            <w:tcW w:w="560" w:type="dxa"/>
            <w:tcBorders/>
            <w:vAlign w:val="center"/>
          </w:tcPr>
          <w:p>
            <w:pPr>
              <w:pStyle w:val="TableContents"/>
              <w:bidi w:val="0"/>
              <w:spacing w:before="0" w:after="0"/>
              <w:jc w:val="center"/>
              <w:rPr/>
            </w:pPr>
            <w:r>
              <w:rPr/>
              <w:t>1Q28</w:t>
            </w:r>
          </w:p>
        </w:tc>
        <w:tc>
          <w:tcPr>
            <w:tcW w:w="560" w:type="dxa"/>
            <w:tcBorders/>
            <w:vAlign w:val="center"/>
          </w:tcPr>
          <w:p>
            <w:pPr>
              <w:pStyle w:val="TableContents"/>
              <w:bidi w:val="0"/>
              <w:spacing w:before="0" w:after="0"/>
              <w:jc w:val="center"/>
              <w:rPr/>
            </w:pPr>
            <w:r>
              <w:rPr/>
              <w:t>2Q28</w:t>
            </w:r>
          </w:p>
        </w:tc>
        <w:tc>
          <w:tcPr>
            <w:tcW w:w="1325" w:type="dxa"/>
            <w:tcBorders/>
            <w:vAlign w:val="center"/>
          </w:tcPr>
          <w:p>
            <w:pPr>
              <w:pStyle w:val="TableContents"/>
              <w:bidi w:val="0"/>
              <w:spacing w:lineRule="auto" w:line="240" w:before="0" w:after="0"/>
              <w:jc w:val="center"/>
              <w:rPr/>
            </w:pPr>
            <w:r>
              <w:rPr/>
              <w:t>Footnote (13)</w:t>
            </w:r>
          </w:p>
        </w:tc>
      </w:tr>
      <w:tr>
        <w:trPr/>
        <w:tc>
          <w:tcPr>
            <w:tcW w:w="2225" w:type="dxa"/>
            <w:tcBorders/>
            <w:shd w:fill="CCEEFF" w:val="clear"/>
            <w:vAlign w:val="center"/>
          </w:tcPr>
          <w:p>
            <w:pPr>
              <w:pStyle w:val="TableContents"/>
              <w:bidi w:val="0"/>
              <w:spacing w:before="0" w:after="0"/>
              <w:jc w:val="left"/>
              <w:rPr/>
            </w:pPr>
            <w:r>
              <w:rPr/>
              <w:t>Agios Dimitrios</w:t>
            </w:r>
          </w:p>
        </w:tc>
        <w:tc>
          <w:tcPr>
            <w:tcW w:w="560" w:type="dxa"/>
            <w:tcBorders/>
            <w:shd w:fill="CCEEFF" w:val="clear"/>
            <w:vAlign w:val="center"/>
          </w:tcPr>
          <w:p>
            <w:pPr>
              <w:pStyle w:val="TableContents"/>
              <w:bidi w:val="0"/>
              <w:spacing w:before="0" w:after="0"/>
              <w:ind w:left="370" w:right="0" w:hanging="0"/>
              <w:jc w:val="center"/>
              <w:rPr/>
            </w:pPr>
            <w:r>
              <w:rPr/>
              <w:t>6,572</w:t>
            </w:r>
          </w:p>
        </w:tc>
        <w:tc>
          <w:tcPr>
            <w:tcW w:w="680" w:type="dxa"/>
            <w:tcBorders/>
            <w:shd w:fill="CCEEFF" w:val="clear"/>
            <w:vAlign w:val="center"/>
          </w:tcPr>
          <w:p>
            <w:pPr>
              <w:pStyle w:val="TableContents"/>
              <w:bidi w:val="0"/>
              <w:spacing w:before="0" w:after="0"/>
              <w:jc w:val="center"/>
              <w:rPr/>
            </w:pPr>
            <w:r>
              <w:rPr/>
              <w:t>24,931</w:t>
            </w:r>
          </w:p>
        </w:tc>
        <w:tc>
          <w:tcPr>
            <w:tcW w:w="500" w:type="dxa"/>
            <w:tcBorders/>
            <w:shd w:fill="CCEEFF" w:val="clear"/>
            <w:vAlign w:val="center"/>
          </w:tcPr>
          <w:p>
            <w:pPr>
              <w:pStyle w:val="TableContents"/>
              <w:bidi w:val="0"/>
              <w:spacing w:before="0" w:after="0"/>
              <w:ind w:left="100" w:right="0" w:hanging="0"/>
              <w:jc w:val="left"/>
              <w:rPr/>
            </w:pPr>
            <w:r>
              <w:rPr/>
              <w:t>2011</w:t>
            </w:r>
          </w:p>
        </w:tc>
        <w:tc>
          <w:tcPr>
            <w:tcW w:w="1310" w:type="dxa"/>
            <w:tcBorders/>
            <w:shd w:fill="CCEEFF" w:val="clear"/>
            <w:vAlign w:val="center"/>
          </w:tcPr>
          <w:p>
            <w:pPr>
              <w:pStyle w:val="TableContents"/>
              <w:bidi w:val="0"/>
              <w:spacing w:before="0" w:after="0"/>
              <w:jc w:val="center"/>
              <w:rPr/>
            </w:pPr>
            <w:r>
              <w:rPr/>
              <w:t>MSC</w:t>
            </w:r>
          </w:p>
        </w:tc>
        <w:tc>
          <w:tcPr>
            <w:tcW w:w="560" w:type="dxa"/>
            <w:tcBorders/>
            <w:shd w:fill="CCEEFF" w:val="clear"/>
            <w:vAlign w:val="center"/>
          </w:tcPr>
          <w:p>
            <w:pPr>
              <w:pStyle w:val="TableContents"/>
              <w:bidi w:val="0"/>
              <w:spacing w:before="0" w:after="0"/>
              <w:jc w:val="center"/>
              <w:rPr/>
            </w:pPr>
            <w:r>
              <w:rPr/>
              <w:t>3Q30</w:t>
            </w:r>
          </w:p>
        </w:tc>
        <w:tc>
          <w:tcPr>
            <w:tcW w:w="560" w:type="dxa"/>
            <w:tcBorders/>
            <w:shd w:fill="CCEEFF" w:val="clear"/>
            <w:vAlign w:val="center"/>
          </w:tcPr>
          <w:p>
            <w:pPr>
              <w:pStyle w:val="TableContents"/>
              <w:bidi w:val="0"/>
              <w:spacing w:before="0" w:after="0"/>
              <w:jc w:val="center"/>
              <w:rPr/>
            </w:pPr>
            <w:r>
              <w:rPr/>
              <w:t>4Q30</w:t>
            </w:r>
          </w:p>
        </w:tc>
        <w:tc>
          <w:tcPr>
            <w:tcW w:w="1325" w:type="dxa"/>
            <w:tcBorders/>
            <w:shd w:fill="CCEEFF" w:val="clear"/>
            <w:vAlign w:val="center"/>
          </w:tcPr>
          <w:p>
            <w:pPr>
              <w:pStyle w:val="TableContents"/>
              <w:bidi w:val="0"/>
              <w:spacing w:lineRule="auto" w:line="240" w:before="0" w:after="0"/>
              <w:jc w:val="center"/>
              <w:rPr/>
            </w:pPr>
            <w:r>
              <w:rPr/>
              <w:t>Footnote (6)</w:t>
            </w:r>
          </w:p>
        </w:tc>
      </w:tr>
      <w:tr>
        <w:trPr/>
        <w:tc>
          <w:tcPr>
            <w:tcW w:w="2225" w:type="dxa"/>
            <w:tcBorders/>
            <w:vAlign w:val="center"/>
          </w:tcPr>
          <w:p>
            <w:pPr>
              <w:pStyle w:val="TableContents"/>
              <w:bidi w:val="0"/>
              <w:spacing w:before="0" w:after="0"/>
              <w:jc w:val="left"/>
              <w:rPr/>
            </w:pPr>
            <w:r>
              <w:rPr/>
              <w:t>GSL Vinia</w:t>
            </w:r>
          </w:p>
        </w:tc>
        <w:tc>
          <w:tcPr>
            <w:tcW w:w="560" w:type="dxa"/>
            <w:tcBorders/>
            <w:vAlign w:val="center"/>
          </w:tcPr>
          <w:p>
            <w:pPr>
              <w:pStyle w:val="TableContents"/>
              <w:bidi w:val="0"/>
              <w:spacing w:before="0" w:after="0"/>
              <w:ind w:left="370" w:right="0" w:hanging="0"/>
              <w:jc w:val="center"/>
              <w:rPr/>
            </w:pPr>
            <w:r>
              <w:rPr/>
              <w:t>6,080</w:t>
            </w:r>
          </w:p>
        </w:tc>
        <w:tc>
          <w:tcPr>
            <w:tcW w:w="680" w:type="dxa"/>
            <w:tcBorders/>
            <w:vAlign w:val="center"/>
          </w:tcPr>
          <w:p>
            <w:pPr>
              <w:pStyle w:val="TableContents"/>
              <w:bidi w:val="0"/>
              <w:spacing w:before="0" w:after="0"/>
              <w:jc w:val="center"/>
              <w:rPr/>
            </w:pPr>
            <w:r>
              <w:rPr/>
              <w:t>23,737</w:t>
            </w:r>
          </w:p>
        </w:tc>
        <w:tc>
          <w:tcPr>
            <w:tcW w:w="500" w:type="dxa"/>
            <w:tcBorders/>
            <w:vAlign w:val="center"/>
          </w:tcPr>
          <w:p>
            <w:pPr>
              <w:pStyle w:val="TableContents"/>
              <w:bidi w:val="0"/>
              <w:spacing w:before="0" w:after="0"/>
              <w:ind w:left="100" w:right="0" w:hanging="0"/>
              <w:jc w:val="left"/>
              <w:rPr/>
            </w:pPr>
            <w:r>
              <w:rPr/>
              <w:t>2004</w:t>
            </w:r>
          </w:p>
        </w:tc>
        <w:tc>
          <w:tcPr>
            <w:tcW w:w="1310" w:type="dxa"/>
            <w:tcBorders/>
            <w:vAlign w:val="center"/>
          </w:tcPr>
          <w:p>
            <w:pPr>
              <w:pStyle w:val="TableContents"/>
              <w:bidi w:val="0"/>
              <w:spacing w:before="0" w:after="0"/>
              <w:jc w:val="center"/>
              <w:rPr/>
            </w:pPr>
            <w:r>
              <w:rPr/>
              <w:t>Maersk</w:t>
            </w:r>
          </w:p>
        </w:tc>
        <w:tc>
          <w:tcPr>
            <w:tcW w:w="560" w:type="dxa"/>
            <w:tcBorders/>
            <w:vAlign w:val="center"/>
          </w:tcPr>
          <w:p>
            <w:pPr>
              <w:pStyle w:val="TableContents"/>
              <w:bidi w:val="0"/>
              <w:spacing w:before="0" w:after="0"/>
              <w:jc w:val="center"/>
              <w:rPr/>
            </w:pPr>
            <w:r>
              <w:rPr/>
              <w:t>1Q28</w:t>
            </w:r>
          </w:p>
        </w:tc>
        <w:tc>
          <w:tcPr>
            <w:tcW w:w="560" w:type="dxa"/>
            <w:tcBorders/>
            <w:vAlign w:val="center"/>
          </w:tcPr>
          <w:p>
            <w:pPr>
              <w:pStyle w:val="TableContents"/>
              <w:bidi w:val="0"/>
              <w:spacing w:before="0" w:after="0"/>
              <w:jc w:val="center"/>
              <w:rPr/>
            </w:pPr>
            <w:r>
              <w:rPr/>
              <w:t>4Q29</w:t>
            </w:r>
          </w:p>
        </w:tc>
        <w:tc>
          <w:tcPr>
            <w:tcW w:w="1325" w:type="dxa"/>
            <w:tcBorders/>
            <w:vAlign w:val="center"/>
          </w:tcPr>
          <w:p>
            <w:pPr>
              <w:pStyle w:val="TableContents"/>
              <w:bidi w:val="0"/>
              <w:spacing w:lineRule="auto" w:line="240" w:before="0" w:after="0"/>
              <w:jc w:val="center"/>
              <w:rPr/>
            </w:pPr>
            <w:r>
              <w:rPr/>
              <w:t>Footnote (14)</w:t>
            </w:r>
          </w:p>
        </w:tc>
      </w:tr>
      <w:tr>
        <w:trPr/>
        <w:tc>
          <w:tcPr>
            <w:tcW w:w="2225" w:type="dxa"/>
            <w:tcBorders/>
            <w:shd w:fill="CCEEFF" w:val="clear"/>
            <w:vAlign w:val="center"/>
          </w:tcPr>
          <w:p>
            <w:pPr>
              <w:pStyle w:val="TableContents"/>
              <w:bidi w:val="0"/>
              <w:spacing w:before="0" w:after="0"/>
              <w:jc w:val="left"/>
              <w:rPr/>
            </w:pPr>
            <w:r>
              <w:rPr/>
              <w:t>GSL Christel Elisabeth</w:t>
            </w:r>
          </w:p>
        </w:tc>
        <w:tc>
          <w:tcPr>
            <w:tcW w:w="560" w:type="dxa"/>
            <w:tcBorders/>
            <w:shd w:fill="CCEEFF" w:val="clear"/>
            <w:vAlign w:val="center"/>
          </w:tcPr>
          <w:p>
            <w:pPr>
              <w:pStyle w:val="TableContents"/>
              <w:bidi w:val="0"/>
              <w:spacing w:before="0" w:after="0"/>
              <w:ind w:left="370" w:right="0" w:hanging="0"/>
              <w:jc w:val="center"/>
              <w:rPr/>
            </w:pPr>
            <w:r>
              <w:rPr/>
              <w:t>6,080</w:t>
            </w:r>
          </w:p>
        </w:tc>
        <w:tc>
          <w:tcPr>
            <w:tcW w:w="680" w:type="dxa"/>
            <w:tcBorders/>
            <w:shd w:fill="CCEEFF" w:val="clear"/>
            <w:vAlign w:val="center"/>
          </w:tcPr>
          <w:p>
            <w:pPr>
              <w:pStyle w:val="TableContents"/>
              <w:bidi w:val="0"/>
              <w:spacing w:before="0" w:after="0"/>
              <w:jc w:val="center"/>
              <w:rPr/>
            </w:pPr>
            <w:r>
              <w:rPr/>
              <w:t>23,745</w:t>
            </w:r>
          </w:p>
        </w:tc>
        <w:tc>
          <w:tcPr>
            <w:tcW w:w="500" w:type="dxa"/>
            <w:tcBorders/>
            <w:shd w:fill="CCEEFF" w:val="clear"/>
            <w:vAlign w:val="center"/>
          </w:tcPr>
          <w:p>
            <w:pPr>
              <w:pStyle w:val="TableContents"/>
              <w:bidi w:val="0"/>
              <w:spacing w:before="0" w:after="0"/>
              <w:ind w:left="100" w:right="0" w:hanging="0"/>
              <w:jc w:val="left"/>
              <w:rPr/>
            </w:pPr>
            <w:r>
              <w:rPr/>
              <w:t>2004</w:t>
            </w:r>
          </w:p>
        </w:tc>
        <w:tc>
          <w:tcPr>
            <w:tcW w:w="1310" w:type="dxa"/>
            <w:tcBorders/>
            <w:shd w:fill="CCEEFF" w:val="clear"/>
            <w:vAlign w:val="center"/>
          </w:tcPr>
          <w:p>
            <w:pPr>
              <w:pStyle w:val="TableContents"/>
              <w:bidi w:val="0"/>
              <w:spacing w:before="0" w:after="0"/>
              <w:jc w:val="center"/>
              <w:rPr/>
            </w:pPr>
            <w:r>
              <w:rPr/>
              <w:t>Maersk</w:t>
            </w:r>
          </w:p>
        </w:tc>
        <w:tc>
          <w:tcPr>
            <w:tcW w:w="560" w:type="dxa"/>
            <w:tcBorders/>
            <w:shd w:fill="CCEEFF" w:val="clear"/>
            <w:vAlign w:val="center"/>
          </w:tcPr>
          <w:p>
            <w:pPr>
              <w:pStyle w:val="TableContents"/>
              <w:bidi w:val="0"/>
              <w:spacing w:before="0" w:after="0"/>
              <w:jc w:val="center"/>
              <w:rPr/>
            </w:pPr>
            <w:r>
              <w:rPr/>
              <w:t>1Q28</w:t>
            </w:r>
          </w:p>
        </w:tc>
        <w:tc>
          <w:tcPr>
            <w:tcW w:w="560" w:type="dxa"/>
            <w:tcBorders/>
            <w:shd w:fill="CCEEFF" w:val="clear"/>
            <w:vAlign w:val="center"/>
          </w:tcPr>
          <w:p>
            <w:pPr>
              <w:pStyle w:val="TableContents"/>
              <w:bidi w:val="0"/>
              <w:spacing w:before="0" w:after="0"/>
              <w:jc w:val="center"/>
              <w:rPr/>
            </w:pPr>
            <w:r>
              <w:rPr/>
              <w:t>3Q29</w:t>
            </w:r>
          </w:p>
        </w:tc>
        <w:tc>
          <w:tcPr>
            <w:tcW w:w="1325" w:type="dxa"/>
            <w:tcBorders/>
            <w:shd w:fill="CCEEFF" w:val="clear"/>
            <w:vAlign w:val="center"/>
          </w:tcPr>
          <w:p>
            <w:pPr>
              <w:pStyle w:val="TableContents"/>
              <w:bidi w:val="0"/>
              <w:spacing w:lineRule="auto" w:line="240" w:before="0" w:after="0"/>
              <w:jc w:val="center"/>
              <w:rPr/>
            </w:pPr>
            <w:r>
              <w:rPr/>
              <w:t>Footnote (14)</w:t>
            </w:r>
          </w:p>
        </w:tc>
      </w:tr>
      <w:tr>
        <w:trPr/>
        <w:tc>
          <w:tcPr>
            <w:tcW w:w="2225" w:type="dxa"/>
            <w:tcBorders/>
            <w:vAlign w:val="center"/>
          </w:tcPr>
          <w:p>
            <w:pPr>
              <w:pStyle w:val="TableContents"/>
              <w:bidi w:val="0"/>
              <w:spacing w:before="0" w:after="0"/>
              <w:jc w:val="left"/>
              <w:rPr/>
            </w:pPr>
            <w:r>
              <w:rPr/>
              <w:t>GSL Arcadia</w:t>
            </w:r>
          </w:p>
        </w:tc>
        <w:tc>
          <w:tcPr>
            <w:tcW w:w="560" w:type="dxa"/>
            <w:tcBorders/>
            <w:vAlign w:val="center"/>
          </w:tcPr>
          <w:p>
            <w:pPr>
              <w:pStyle w:val="TableContents"/>
              <w:bidi w:val="0"/>
              <w:spacing w:before="0" w:after="0"/>
              <w:ind w:left="370" w:right="0" w:hanging="0"/>
              <w:jc w:val="center"/>
              <w:rPr/>
            </w:pPr>
            <w:r>
              <w:rPr/>
              <w:t>6,008</w:t>
            </w:r>
          </w:p>
        </w:tc>
        <w:tc>
          <w:tcPr>
            <w:tcW w:w="680" w:type="dxa"/>
            <w:tcBorders/>
            <w:vAlign w:val="center"/>
          </w:tcPr>
          <w:p>
            <w:pPr>
              <w:pStyle w:val="TableContents"/>
              <w:bidi w:val="0"/>
              <w:spacing w:before="0" w:after="0"/>
              <w:jc w:val="center"/>
              <w:rPr/>
            </w:pPr>
            <w:r>
              <w:rPr/>
              <w:t>24,859</w:t>
            </w:r>
          </w:p>
        </w:tc>
        <w:tc>
          <w:tcPr>
            <w:tcW w:w="500" w:type="dxa"/>
            <w:tcBorders/>
            <w:vAlign w:val="center"/>
          </w:tcPr>
          <w:p>
            <w:pPr>
              <w:pStyle w:val="TableContents"/>
              <w:bidi w:val="0"/>
              <w:spacing w:before="0" w:after="0"/>
              <w:ind w:left="100" w:right="0" w:hanging="0"/>
              <w:jc w:val="left"/>
              <w:rPr/>
            </w:pPr>
            <w:r>
              <w:rPr/>
              <w:t>2000</w:t>
            </w:r>
          </w:p>
        </w:tc>
        <w:tc>
          <w:tcPr>
            <w:tcW w:w="1310" w:type="dxa"/>
            <w:tcBorders/>
            <w:vAlign w:val="center"/>
          </w:tcPr>
          <w:p>
            <w:pPr>
              <w:pStyle w:val="TableContents"/>
              <w:bidi w:val="0"/>
              <w:spacing w:lineRule="auto" w:line="240" w:before="0" w:after="0"/>
              <w:jc w:val="center"/>
              <w:rPr/>
            </w:pPr>
            <w:r>
              <w:rPr/>
              <w:t>Footnote (15)</w:t>
            </w:r>
          </w:p>
        </w:tc>
        <w:tc>
          <w:tcPr>
            <w:tcW w:w="560" w:type="dxa"/>
            <w:tcBorders/>
            <w:vAlign w:val="center"/>
          </w:tcPr>
          <w:p>
            <w:pPr>
              <w:pStyle w:val="TableContents"/>
              <w:bidi w:val="0"/>
              <w:spacing w:before="0" w:after="0"/>
              <w:jc w:val="center"/>
              <w:rPr/>
            </w:pPr>
            <w:r>
              <w:rPr/>
              <w:t>1Q29</w:t>
            </w:r>
          </w:p>
        </w:tc>
        <w:tc>
          <w:tcPr>
            <w:tcW w:w="560" w:type="dxa"/>
            <w:tcBorders/>
            <w:vAlign w:val="center"/>
          </w:tcPr>
          <w:p>
            <w:pPr>
              <w:pStyle w:val="TableContents"/>
              <w:bidi w:val="0"/>
              <w:spacing w:before="0" w:after="0"/>
              <w:jc w:val="center"/>
              <w:rPr/>
            </w:pPr>
            <w:r>
              <w:rPr/>
              <w:t>2Q29</w:t>
            </w:r>
          </w:p>
        </w:tc>
        <w:tc>
          <w:tcPr>
            <w:tcW w:w="1325" w:type="dxa"/>
            <w:tcBorders/>
            <w:vAlign w:val="center"/>
          </w:tcPr>
          <w:p>
            <w:pPr>
              <w:pStyle w:val="TableContents"/>
              <w:bidi w:val="0"/>
              <w:spacing w:lineRule="auto" w:line="240" w:before="0" w:after="0"/>
              <w:jc w:val="center"/>
              <w:rPr/>
            </w:pPr>
            <w:r>
              <w:rPr/>
              <w:t>Footnote (15)</w:t>
            </w:r>
          </w:p>
        </w:tc>
      </w:tr>
      <w:tr>
        <w:trPr/>
        <w:tc>
          <w:tcPr>
            <w:tcW w:w="2225" w:type="dxa"/>
            <w:tcBorders/>
            <w:shd w:fill="CCEEFF" w:val="clear"/>
            <w:vAlign w:val="center"/>
          </w:tcPr>
          <w:p>
            <w:pPr>
              <w:pStyle w:val="TableContents"/>
              <w:bidi w:val="0"/>
              <w:spacing w:before="0" w:after="0"/>
              <w:jc w:val="left"/>
              <w:rPr/>
            </w:pPr>
            <w:r>
              <w:rPr/>
              <w:t>GSL Violetta</w:t>
            </w:r>
          </w:p>
        </w:tc>
        <w:tc>
          <w:tcPr>
            <w:tcW w:w="560" w:type="dxa"/>
            <w:tcBorders/>
            <w:shd w:fill="CCEEFF" w:val="clear"/>
            <w:vAlign w:val="center"/>
          </w:tcPr>
          <w:p>
            <w:pPr>
              <w:pStyle w:val="TableContents"/>
              <w:bidi w:val="0"/>
              <w:spacing w:before="0" w:after="0"/>
              <w:ind w:left="370" w:right="0" w:hanging="0"/>
              <w:jc w:val="center"/>
              <w:rPr/>
            </w:pPr>
            <w:r>
              <w:rPr/>
              <w:t>6,008</w:t>
            </w:r>
          </w:p>
        </w:tc>
        <w:tc>
          <w:tcPr>
            <w:tcW w:w="680" w:type="dxa"/>
            <w:tcBorders/>
            <w:shd w:fill="CCEEFF" w:val="clear"/>
            <w:vAlign w:val="center"/>
          </w:tcPr>
          <w:p>
            <w:pPr>
              <w:pStyle w:val="TableContents"/>
              <w:bidi w:val="0"/>
              <w:spacing w:before="0" w:after="0"/>
              <w:jc w:val="center"/>
              <w:rPr/>
            </w:pPr>
            <w:r>
              <w:rPr/>
              <w:t>24,873</w:t>
            </w:r>
          </w:p>
        </w:tc>
        <w:tc>
          <w:tcPr>
            <w:tcW w:w="500" w:type="dxa"/>
            <w:tcBorders/>
            <w:shd w:fill="CCEEFF" w:val="clear"/>
            <w:vAlign w:val="center"/>
          </w:tcPr>
          <w:p>
            <w:pPr>
              <w:pStyle w:val="TableContents"/>
              <w:bidi w:val="0"/>
              <w:spacing w:before="0" w:after="0"/>
              <w:ind w:left="100" w:right="0" w:hanging="0"/>
              <w:jc w:val="left"/>
              <w:rPr/>
            </w:pPr>
            <w:r>
              <w:rPr/>
              <w:t>2000</w:t>
            </w:r>
          </w:p>
        </w:tc>
        <w:tc>
          <w:tcPr>
            <w:tcW w:w="1310" w:type="dxa"/>
            <w:tcBorders/>
            <w:shd w:fill="CCEEFF" w:val="clear"/>
            <w:vAlign w:val="center"/>
          </w:tcPr>
          <w:p>
            <w:pPr>
              <w:pStyle w:val="TableContents"/>
              <w:bidi w:val="0"/>
              <w:spacing w:lineRule="auto" w:line="240" w:before="0" w:after="0"/>
              <w:jc w:val="center"/>
              <w:rPr/>
            </w:pPr>
            <w:r>
              <w:rPr/>
              <w:t>Footnote (15)</w:t>
            </w:r>
          </w:p>
        </w:tc>
        <w:tc>
          <w:tcPr>
            <w:tcW w:w="560" w:type="dxa"/>
            <w:tcBorders/>
            <w:shd w:fill="CCEEFF" w:val="clear"/>
            <w:vAlign w:val="center"/>
          </w:tcPr>
          <w:p>
            <w:pPr>
              <w:pStyle w:val="TableContents"/>
              <w:bidi w:val="0"/>
              <w:spacing w:before="0" w:after="0"/>
              <w:jc w:val="center"/>
              <w:rPr/>
            </w:pPr>
            <w:r>
              <w:rPr/>
              <w:t>1Q29</w:t>
            </w:r>
          </w:p>
        </w:tc>
        <w:tc>
          <w:tcPr>
            <w:tcW w:w="560" w:type="dxa"/>
            <w:tcBorders/>
            <w:shd w:fill="CCEEFF" w:val="clear"/>
            <w:vAlign w:val="center"/>
          </w:tcPr>
          <w:p>
            <w:pPr>
              <w:pStyle w:val="TableContents"/>
              <w:bidi w:val="0"/>
              <w:spacing w:before="0" w:after="0"/>
              <w:jc w:val="center"/>
              <w:rPr/>
            </w:pPr>
            <w:r>
              <w:rPr/>
              <w:t>1Q29</w:t>
            </w:r>
          </w:p>
        </w:tc>
        <w:tc>
          <w:tcPr>
            <w:tcW w:w="1325" w:type="dxa"/>
            <w:tcBorders/>
            <w:shd w:fill="CCEEFF" w:val="clear"/>
            <w:vAlign w:val="center"/>
          </w:tcPr>
          <w:p>
            <w:pPr>
              <w:pStyle w:val="TableContents"/>
              <w:bidi w:val="0"/>
              <w:spacing w:lineRule="auto" w:line="240" w:before="0" w:after="0"/>
              <w:jc w:val="center"/>
              <w:rPr/>
            </w:pPr>
            <w:r>
              <w:rPr/>
              <w:t>Footnote (15)</w:t>
            </w:r>
          </w:p>
        </w:tc>
      </w:tr>
      <w:tr>
        <w:trPr/>
        <w:tc>
          <w:tcPr>
            <w:tcW w:w="2225" w:type="dxa"/>
            <w:tcBorders/>
            <w:vAlign w:val="center"/>
          </w:tcPr>
          <w:p>
            <w:pPr>
              <w:pStyle w:val="TableContents"/>
              <w:bidi w:val="0"/>
              <w:spacing w:before="0" w:after="0"/>
              <w:jc w:val="left"/>
              <w:rPr/>
            </w:pPr>
            <w:r>
              <w:rPr/>
              <w:t>GSL Maria</w:t>
            </w:r>
          </w:p>
        </w:tc>
        <w:tc>
          <w:tcPr>
            <w:tcW w:w="560" w:type="dxa"/>
            <w:tcBorders/>
            <w:vAlign w:val="center"/>
          </w:tcPr>
          <w:p>
            <w:pPr>
              <w:pStyle w:val="TableContents"/>
              <w:bidi w:val="0"/>
              <w:spacing w:before="0" w:after="0"/>
              <w:ind w:left="370" w:right="0" w:hanging="0"/>
              <w:jc w:val="center"/>
              <w:rPr/>
            </w:pPr>
            <w:r>
              <w:rPr/>
              <w:t>6,008</w:t>
            </w:r>
          </w:p>
        </w:tc>
        <w:tc>
          <w:tcPr>
            <w:tcW w:w="680" w:type="dxa"/>
            <w:tcBorders/>
            <w:vAlign w:val="center"/>
          </w:tcPr>
          <w:p>
            <w:pPr>
              <w:pStyle w:val="TableContents"/>
              <w:bidi w:val="0"/>
              <w:spacing w:before="0" w:after="0"/>
              <w:jc w:val="center"/>
              <w:rPr/>
            </w:pPr>
            <w:r>
              <w:rPr/>
              <w:t>24,414</w:t>
            </w:r>
          </w:p>
        </w:tc>
        <w:tc>
          <w:tcPr>
            <w:tcW w:w="500" w:type="dxa"/>
            <w:tcBorders/>
            <w:vAlign w:val="center"/>
          </w:tcPr>
          <w:p>
            <w:pPr>
              <w:pStyle w:val="TableContents"/>
              <w:bidi w:val="0"/>
              <w:spacing w:before="0" w:after="0"/>
              <w:ind w:left="100" w:right="0" w:hanging="0"/>
              <w:jc w:val="left"/>
              <w:rPr/>
            </w:pPr>
            <w:r>
              <w:rPr/>
              <w:t>2001</w:t>
            </w:r>
          </w:p>
        </w:tc>
        <w:tc>
          <w:tcPr>
            <w:tcW w:w="1310" w:type="dxa"/>
            <w:tcBorders/>
            <w:vAlign w:val="center"/>
          </w:tcPr>
          <w:p>
            <w:pPr>
              <w:pStyle w:val="TableContents"/>
              <w:bidi w:val="0"/>
              <w:spacing w:lineRule="auto" w:line="240" w:before="0" w:after="0"/>
              <w:jc w:val="center"/>
              <w:rPr/>
            </w:pPr>
            <w:r>
              <w:rPr/>
              <w:t>Maersk (15)</w:t>
            </w:r>
          </w:p>
        </w:tc>
        <w:tc>
          <w:tcPr>
            <w:tcW w:w="560" w:type="dxa"/>
            <w:tcBorders/>
            <w:vAlign w:val="center"/>
          </w:tcPr>
          <w:p>
            <w:pPr>
              <w:pStyle w:val="TableContents"/>
              <w:bidi w:val="0"/>
              <w:spacing w:before="0" w:after="0"/>
              <w:jc w:val="center"/>
              <w:rPr/>
            </w:pPr>
            <w:r>
              <w:rPr/>
              <w:t>1Q30</w:t>
            </w:r>
          </w:p>
        </w:tc>
        <w:tc>
          <w:tcPr>
            <w:tcW w:w="560" w:type="dxa"/>
            <w:tcBorders/>
            <w:vAlign w:val="center"/>
          </w:tcPr>
          <w:p>
            <w:pPr>
              <w:pStyle w:val="TableContents"/>
              <w:bidi w:val="0"/>
              <w:spacing w:before="0" w:after="0"/>
              <w:jc w:val="center"/>
              <w:rPr/>
            </w:pPr>
            <w:r>
              <w:rPr/>
              <w:t>2Q30</w:t>
            </w:r>
          </w:p>
        </w:tc>
        <w:tc>
          <w:tcPr>
            <w:tcW w:w="1325" w:type="dxa"/>
            <w:tcBorders/>
            <w:vAlign w:val="center"/>
          </w:tcPr>
          <w:p>
            <w:pPr>
              <w:pStyle w:val="TableContents"/>
              <w:bidi w:val="0"/>
              <w:spacing w:lineRule="auto" w:line="240" w:before="0" w:after="0"/>
              <w:jc w:val="center"/>
              <w:rPr/>
            </w:pPr>
            <w:r>
              <w:rPr/>
              <w:t>12,700 (15)</w:t>
            </w:r>
          </w:p>
        </w:tc>
      </w:tr>
      <w:tr>
        <w:trPr/>
        <w:tc>
          <w:tcPr>
            <w:tcW w:w="2225" w:type="dxa"/>
            <w:tcBorders/>
            <w:shd w:fill="CCEEFF" w:val="clear"/>
            <w:vAlign w:val="center"/>
          </w:tcPr>
          <w:p>
            <w:pPr>
              <w:pStyle w:val="TableContents"/>
              <w:bidi w:val="0"/>
              <w:spacing w:before="0" w:after="0"/>
              <w:jc w:val="left"/>
              <w:rPr/>
            </w:pPr>
            <w:r>
              <w:rPr/>
              <w:t>GSL MYNY</w:t>
            </w:r>
          </w:p>
        </w:tc>
        <w:tc>
          <w:tcPr>
            <w:tcW w:w="560" w:type="dxa"/>
            <w:tcBorders/>
            <w:shd w:fill="CCEEFF" w:val="clear"/>
            <w:vAlign w:val="center"/>
          </w:tcPr>
          <w:p>
            <w:pPr>
              <w:pStyle w:val="TableContents"/>
              <w:bidi w:val="0"/>
              <w:spacing w:before="0" w:after="0"/>
              <w:ind w:left="370" w:right="0" w:hanging="0"/>
              <w:jc w:val="center"/>
              <w:rPr/>
            </w:pPr>
            <w:r>
              <w:rPr/>
              <w:t>6,008</w:t>
            </w:r>
          </w:p>
        </w:tc>
        <w:tc>
          <w:tcPr>
            <w:tcW w:w="680" w:type="dxa"/>
            <w:tcBorders/>
            <w:shd w:fill="CCEEFF" w:val="clear"/>
            <w:vAlign w:val="center"/>
          </w:tcPr>
          <w:p>
            <w:pPr>
              <w:pStyle w:val="TableContents"/>
              <w:bidi w:val="0"/>
              <w:spacing w:before="0" w:after="0"/>
              <w:jc w:val="center"/>
              <w:rPr/>
            </w:pPr>
            <w:r>
              <w:rPr/>
              <w:t>24,876</w:t>
            </w:r>
          </w:p>
        </w:tc>
        <w:tc>
          <w:tcPr>
            <w:tcW w:w="500" w:type="dxa"/>
            <w:tcBorders/>
            <w:shd w:fill="CCEEFF" w:val="clear"/>
            <w:vAlign w:val="center"/>
          </w:tcPr>
          <w:p>
            <w:pPr>
              <w:pStyle w:val="TableContents"/>
              <w:bidi w:val="0"/>
              <w:spacing w:before="0" w:after="0"/>
              <w:ind w:left="100" w:right="0" w:hanging="0"/>
              <w:jc w:val="left"/>
              <w:rPr/>
            </w:pPr>
            <w:r>
              <w:rPr/>
              <w:t>2000</w:t>
            </w:r>
          </w:p>
        </w:tc>
        <w:tc>
          <w:tcPr>
            <w:tcW w:w="1310" w:type="dxa"/>
            <w:tcBorders/>
            <w:shd w:fill="CCEEFF" w:val="clear"/>
            <w:vAlign w:val="center"/>
          </w:tcPr>
          <w:p>
            <w:pPr>
              <w:pStyle w:val="TableContents"/>
              <w:bidi w:val="0"/>
              <w:spacing w:lineRule="auto" w:line="240" w:before="0" w:after="0"/>
              <w:jc w:val="center"/>
              <w:rPr/>
            </w:pPr>
            <w:r>
              <w:rPr/>
              <w:t>Footnote (15)</w:t>
            </w:r>
          </w:p>
        </w:tc>
        <w:tc>
          <w:tcPr>
            <w:tcW w:w="560" w:type="dxa"/>
            <w:tcBorders/>
            <w:shd w:fill="CCEEFF" w:val="clear"/>
            <w:vAlign w:val="center"/>
          </w:tcPr>
          <w:p>
            <w:pPr>
              <w:pStyle w:val="TableContents"/>
              <w:bidi w:val="0"/>
              <w:spacing w:before="0" w:after="0"/>
              <w:jc w:val="center"/>
              <w:rPr/>
            </w:pPr>
            <w:r>
              <w:rPr/>
              <w:t>1Q29</w:t>
            </w:r>
          </w:p>
        </w:tc>
        <w:tc>
          <w:tcPr>
            <w:tcW w:w="560" w:type="dxa"/>
            <w:tcBorders/>
            <w:shd w:fill="CCEEFF" w:val="clear"/>
            <w:vAlign w:val="center"/>
          </w:tcPr>
          <w:p>
            <w:pPr>
              <w:pStyle w:val="TableContents"/>
              <w:bidi w:val="0"/>
              <w:spacing w:before="0" w:after="0"/>
              <w:jc w:val="center"/>
              <w:rPr/>
            </w:pPr>
            <w:r>
              <w:rPr/>
              <w:t>2Q29</w:t>
            </w:r>
          </w:p>
        </w:tc>
        <w:tc>
          <w:tcPr>
            <w:tcW w:w="1325" w:type="dxa"/>
            <w:tcBorders/>
            <w:shd w:fill="CCEEFF" w:val="clear"/>
            <w:vAlign w:val="center"/>
          </w:tcPr>
          <w:p>
            <w:pPr>
              <w:pStyle w:val="TableContents"/>
              <w:bidi w:val="0"/>
              <w:spacing w:lineRule="auto" w:line="240" w:before="0" w:after="0"/>
              <w:jc w:val="center"/>
              <w:rPr/>
            </w:pPr>
            <w:r>
              <w:rPr/>
              <w:t>Footnote (15)</w:t>
            </w:r>
          </w:p>
        </w:tc>
      </w:tr>
      <w:tr>
        <w:trPr/>
        <w:tc>
          <w:tcPr>
            <w:tcW w:w="2225" w:type="dxa"/>
            <w:tcBorders/>
            <w:vAlign w:val="center"/>
          </w:tcPr>
          <w:p>
            <w:pPr>
              <w:pStyle w:val="TableContents"/>
              <w:bidi w:val="0"/>
              <w:spacing w:before="0" w:after="0"/>
              <w:jc w:val="left"/>
              <w:rPr/>
            </w:pPr>
            <w:r>
              <w:rPr/>
              <w:t>GSL Melita</w:t>
            </w:r>
          </w:p>
        </w:tc>
        <w:tc>
          <w:tcPr>
            <w:tcW w:w="560" w:type="dxa"/>
            <w:tcBorders/>
            <w:vAlign w:val="center"/>
          </w:tcPr>
          <w:p>
            <w:pPr>
              <w:pStyle w:val="TableContents"/>
              <w:bidi w:val="0"/>
              <w:spacing w:before="0" w:after="0"/>
              <w:ind w:left="370" w:right="0" w:hanging="0"/>
              <w:jc w:val="center"/>
              <w:rPr/>
            </w:pPr>
            <w:r>
              <w:rPr/>
              <w:t>6,008</w:t>
            </w:r>
          </w:p>
        </w:tc>
        <w:tc>
          <w:tcPr>
            <w:tcW w:w="680" w:type="dxa"/>
            <w:tcBorders/>
            <w:vAlign w:val="center"/>
          </w:tcPr>
          <w:p>
            <w:pPr>
              <w:pStyle w:val="TableContents"/>
              <w:bidi w:val="0"/>
              <w:spacing w:before="0" w:after="0"/>
              <w:jc w:val="center"/>
              <w:rPr/>
            </w:pPr>
            <w:r>
              <w:rPr/>
              <w:t>24,859</w:t>
            </w:r>
          </w:p>
        </w:tc>
        <w:tc>
          <w:tcPr>
            <w:tcW w:w="500" w:type="dxa"/>
            <w:tcBorders/>
            <w:vAlign w:val="center"/>
          </w:tcPr>
          <w:p>
            <w:pPr>
              <w:pStyle w:val="TableContents"/>
              <w:bidi w:val="0"/>
              <w:spacing w:before="0" w:after="0"/>
              <w:ind w:left="100" w:right="0" w:hanging="0"/>
              <w:jc w:val="left"/>
              <w:rPr/>
            </w:pPr>
            <w:r>
              <w:rPr/>
              <w:t>2001</w:t>
            </w:r>
          </w:p>
        </w:tc>
        <w:tc>
          <w:tcPr>
            <w:tcW w:w="1310" w:type="dxa"/>
            <w:tcBorders/>
            <w:vAlign w:val="center"/>
          </w:tcPr>
          <w:p>
            <w:pPr>
              <w:pStyle w:val="TableContents"/>
              <w:bidi w:val="0"/>
              <w:spacing w:lineRule="auto" w:line="240" w:before="0" w:after="0"/>
              <w:jc w:val="center"/>
              <w:rPr/>
            </w:pPr>
            <w:r>
              <w:rPr/>
              <w:t>Maersk (15)</w:t>
            </w:r>
          </w:p>
        </w:tc>
        <w:tc>
          <w:tcPr>
            <w:tcW w:w="560" w:type="dxa"/>
            <w:tcBorders/>
            <w:vAlign w:val="center"/>
          </w:tcPr>
          <w:p>
            <w:pPr>
              <w:pStyle w:val="TableContents"/>
              <w:bidi w:val="0"/>
              <w:spacing w:before="0" w:after="0"/>
              <w:jc w:val="center"/>
              <w:rPr/>
            </w:pPr>
            <w:r>
              <w:rPr/>
              <w:t>4Q29</w:t>
            </w:r>
          </w:p>
        </w:tc>
        <w:tc>
          <w:tcPr>
            <w:tcW w:w="560" w:type="dxa"/>
            <w:tcBorders/>
            <w:vAlign w:val="center"/>
          </w:tcPr>
          <w:p>
            <w:pPr>
              <w:pStyle w:val="TableContents"/>
              <w:bidi w:val="0"/>
              <w:spacing w:before="0" w:after="0"/>
              <w:jc w:val="center"/>
              <w:rPr/>
            </w:pPr>
            <w:r>
              <w:rPr/>
              <w:t>4Q29</w:t>
            </w:r>
          </w:p>
        </w:tc>
        <w:tc>
          <w:tcPr>
            <w:tcW w:w="1325" w:type="dxa"/>
            <w:tcBorders/>
            <w:vAlign w:val="center"/>
          </w:tcPr>
          <w:p>
            <w:pPr>
              <w:pStyle w:val="TableContents"/>
              <w:bidi w:val="0"/>
              <w:spacing w:lineRule="auto" w:line="240" w:before="0" w:after="0"/>
              <w:jc w:val="center"/>
              <w:rPr/>
            </w:pPr>
            <w:r>
              <w:rPr/>
              <w:t>12,700 (15)</w:t>
            </w:r>
          </w:p>
        </w:tc>
      </w:tr>
      <w:tr>
        <w:trPr/>
        <w:tc>
          <w:tcPr>
            <w:tcW w:w="2225" w:type="dxa"/>
            <w:tcBorders/>
            <w:shd w:fill="CCEEFF" w:val="clear"/>
            <w:vAlign w:val="center"/>
          </w:tcPr>
          <w:p>
            <w:pPr>
              <w:pStyle w:val="TableContents"/>
              <w:bidi w:val="0"/>
              <w:spacing w:before="0" w:after="0"/>
              <w:jc w:val="left"/>
              <w:rPr/>
            </w:pPr>
            <w:r>
              <w:rPr/>
              <w:t>GSL Tegea</w:t>
            </w:r>
          </w:p>
        </w:tc>
        <w:tc>
          <w:tcPr>
            <w:tcW w:w="560" w:type="dxa"/>
            <w:tcBorders/>
            <w:shd w:fill="CCEEFF" w:val="clear"/>
            <w:vAlign w:val="center"/>
          </w:tcPr>
          <w:p>
            <w:pPr>
              <w:pStyle w:val="TableContents"/>
              <w:bidi w:val="0"/>
              <w:spacing w:before="0" w:after="0"/>
              <w:ind w:left="370" w:right="0" w:hanging="0"/>
              <w:jc w:val="center"/>
              <w:rPr/>
            </w:pPr>
            <w:r>
              <w:rPr/>
              <w:t>5,994</w:t>
            </w:r>
          </w:p>
        </w:tc>
        <w:tc>
          <w:tcPr>
            <w:tcW w:w="680" w:type="dxa"/>
            <w:tcBorders/>
            <w:shd w:fill="CCEEFF" w:val="clear"/>
            <w:vAlign w:val="center"/>
          </w:tcPr>
          <w:p>
            <w:pPr>
              <w:pStyle w:val="TableContents"/>
              <w:bidi w:val="0"/>
              <w:spacing w:before="0" w:after="0"/>
              <w:jc w:val="center"/>
              <w:rPr/>
            </w:pPr>
            <w:r>
              <w:rPr/>
              <w:t>24,308</w:t>
            </w:r>
          </w:p>
        </w:tc>
        <w:tc>
          <w:tcPr>
            <w:tcW w:w="500" w:type="dxa"/>
            <w:tcBorders/>
            <w:shd w:fill="CCEEFF" w:val="clear"/>
            <w:vAlign w:val="center"/>
          </w:tcPr>
          <w:p>
            <w:pPr>
              <w:pStyle w:val="TableContents"/>
              <w:bidi w:val="0"/>
              <w:spacing w:before="0" w:after="0"/>
              <w:ind w:left="100" w:right="0" w:hanging="0"/>
              <w:jc w:val="left"/>
              <w:rPr/>
            </w:pPr>
            <w:r>
              <w:rPr/>
              <w:t>2001</w:t>
            </w:r>
          </w:p>
        </w:tc>
        <w:tc>
          <w:tcPr>
            <w:tcW w:w="1310" w:type="dxa"/>
            <w:tcBorders/>
            <w:shd w:fill="CCEEFF" w:val="clear"/>
            <w:vAlign w:val="center"/>
          </w:tcPr>
          <w:p>
            <w:pPr>
              <w:pStyle w:val="TableContents"/>
              <w:bidi w:val="0"/>
              <w:spacing w:lineRule="auto" w:line="240" w:before="0" w:after="0"/>
              <w:jc w:val="center"/>
              <w:rPr/>
            </w:pPr>
            <w:r>
              <w:rPr/>
              <w:t>Maersk (15)</w:t>
            </w:r>
          </w:p>
        </w:tc>
        <w:tc>
          <w:tcPr>
            <w:tcW w:w="560" w:type="dxa"/>
            <w:tcBorders/>
            <w:shd w:fill="CCEEFF" w:val="clear"/>
            <w:vAlign w:val="center"/>
          </w:tcPr>
          <w:p>
            <w:pPr>
              <w:pStyle w:val="TableContents"/>
              <w:bidi w:val="0"/>
              <w:spacing w:before="0" w:after="0"/>
              <w:jc w:val="center"/>
              <w:rPr/>
            </w:pPr>
            <w:r>
              <w:rPr/>
              <w:t>4Q29</w:t>
            </w:r>
          </w:p>
        </w:tc>
        <w:tc>
          <w:tcPr>
            <w:tcW w:w="560" w:type="dxa"/>
            <w:tcBorders/>
            <w:shd w:fill="CCEEFF" w:val="clear"/>
            <w:vAlign w:val="center"/>
          </w:tcPr>
          <w:p>
            <w:pPr>
              <w:pStyle w:val="TableContents"/>
              <w:bidi w:val="0"/>
              <w:spacing w:before="0" w:after="0"/>
              <w:jc w:val="center"/>
              <w:rPr/>
            </w:pPr>
            <w:r>
              <w:rPr/>
              <w:t>1Q30</w:t>
            </w:r>
          </w:p>
        </w:tc>
        <w:tc>
          <w:tcPr>
            <w:tcW w:w="1325" w:type="dxa"/>
            <w:tcBorders/>
            <w:shd w:fill="CCEEFF" w:val="clear"/>
            <w:vAlign w:val="center"/>
          </w:tcPr>
          <w:p>
            <w:pPr>
              <w:pStyle w:val="TableContents"/>
              <w:bidi w:val="0"/>
              <w:spacing w:lineRule="auto" w:line="240" w:before="0" w:after="0"/>
              <w:jc w:val="center"/>
              <w:rPr/>
            </w:pPr>
            <w:r>
              <w:rPr/>
              <w:t>12,700 (15)</w:t>
            </w:r>
          </w:p>
        </w:tc>
      </w:tr>
      <w:tr>
        <w:trPr/>
        <w:tc>
          <w:tcPr>
            <w:tcW w:w="2225" w:type="dxa"/>
            <w:tcBorders/>
            <w:vAlign w:val="center"/>
          </w:tcPr>
          <w:p>
            <w:pPr>
              <w:pStyle w:val="TableContents"/>
              <w:bidi w:val="0"/>
              <w:spacing w:before="0" w:after="0"/>
              <w:jc w:val="left"/>
              <w:rPr/>
            </w:pPr>
            <w:r>
              <w:rPr/>
              <w:t>GSL Dorothea</w:t>
            </w:r>
          </w:p>
        </w:tc>
        <w:tc>
          <w:tcPr>
            <w:tcW w:w="560" w:type="dxa"/>
            <w:tcBorders/>
            <w:vAlign w:val="center"/>
          </w:tcPr>
          <w:p>
            <w:pPr>
              <w:pStyle w:val="TableContents"/>
              <w:bidi w:val="0"/>
              <w:spacing w:before="0" w:after="0"/>
              <w:ind w:left="370" w:right="0" w:hanging="0"/>
              <w:jc w:val="center"/>
              <w:rPr/>
            </w:pPr>
            <w:r>
              <w:rPr/>
              <w:t>5,994</w:t>
            </w:r>
          </w:p>
        </w:tc>
        <w:tc>
          <w:tcPr>
            <w:tcW w:w="680" w:type="dxa"/>
            <w:tcBorders/>
            <w:vAlign w:val="center"/>
          </w:tcPr>
          <w:p>
            <w:pPr>
              <w:pStyle w:val="TableContents"/>
              <w:bidi w:val="0"/>
              <w:spacing w:before="0" w:after="0"/>
              <w:jc w:val="center"/>
              <w:rPr/>
            </w:pPr>
            <w:r>
              <w:rPr/>
              <w:t>24,243</w:t>
            </w:r>
          </w:p>
        </w:tc>
        <w:tc>
          <w:tcPr>
            <w:tcW w:w="500" w:type="dxa"/>
            <w:tcBorders/>
            <w:vAlign w:val="center"/>
          </w:tcPr>
          <w:p>
            <w:pPr>
              <w:pStyle w:val="TableContents"/>
              <w:bidi w:val="0"/>
              <w:spacing w:before="0" w:after="0"/>
              <w:ind w:left="100" w:right="0" w:hanging="0"/>
              <w:jc w:val="left"/>
              <w:rPr/>
            </w:pPr>
            <w:r>
              <w:rPr/>
              <w:t>2001</w:t>
            </w:r>
          </w:p>
        </w:tc>
        <w:tc>
          <w:tcPr>
            <w:tcW w:w="1310" w:type="dxa"/>
            <w:tcBorders/>
            <w:vAlign w:val="center"/>
          </w:tcPr>
          <w:p>
            <w:pPr>
              <w:pStyle w:val="TableContents"/>
              <w:bidi w:val="0"/>
              <w:spacing w:lineRule="auto" w:line="240" w:before="0" w:after="0"/>
              <w:jc w:val="center"/>
              <w:rPr/>
            </w:pPr>
            <w:r>
              <w:rPr/>
              <w:t>Maersk (15)</w:t>
            </w:r>
          </w:p>
        </w:tc>
        <w:tc>
          <w:tcPr>
            <w:tcW w:w="560" w:type="dxa"/>
            <w:tcBorders/>
            <w:vAlign w:val="center"/>
          </w:tcPr>
          <w:p>
            <w:pPr>
              <w:pStyle w:val="TableContents"/>
              <w:bidi w:val="0"/>
              <w:spacing w:before="0" w:after="0"/>
              <w:jc w:val="center"/>
              <w:rPr/>
            </w:pPr>
            <w:r>
              <w:rPr/>
              <w:t>4Q29</w:t>
            </w:r>
          </w:p>
        </w:tc>
        <w:tc>
          <w:tcPr>
            <w:tcW w:w="560" w:type="dxa"/>
            <w:tcBorders/>
            <w:vAlign w:val="center"/>
          </w:tcPr>
          <w:p>
            <w:pPr>
              <w:pStyle w:val="TableContents"/>
              <w:bidi w:val="0"/>
              <w:spacing w:before="0" w:after="0"/>
              <w:jc w:val="center"/>
              <w:rPr/>
            </w:pPr>
            <w:r>
              <w:rPr/>
              <w:t>4Q29</w:t>
            </w:r>
          </w:p>
        </w:tc>
        <w:tc>
          <w:tcPr>
            <w:tcW w:w="1325" w:type="dxa"/>
            <w:tcBorders/>
            <w:vAlign w:val="center"/>
          </w:tcPr>
          <w:p>
            <w:pPr>
              <w:pStyle w:val="TableContents"/>
              <w:bidi w:val="0"/>
              <w:spacing w:lineRule="auto" w:line="240" w:before="0" w:after="0"/>
              <w:jc w:val="center"/>
              <w:rPr/>
            </w:pPr>
            <w:r>
              <w:rPr/>
              <w:t>12,700 (15)</w:t>
            </w:r>
          </w:p>
        </w:tc>
      </w:tr>
      <w:tr>
        <w:trPr/>
        <w:tc>
          <w:tcPr>
            <w:tcW w:w="2225" w:type="dxa"/>
            <w:tcBorders/>
            <w:shd w:fill="CCEEFF" w:val="clear"/>
            <w:vAlign w:val="center"/>
          </w:tcPr>
          <w:p>
            <w:pPr>
              <w:pStyle w:val="TableContents"/>
              <w:bidi w:val="0"/>
              <w:spacing w:before="0" w:after="0"/>
              <w:jc w:val="left"/>
              <w:rPr/>
            </w:pPr>
            <w:r>
              <w:rPr/>
              <w:t>Ian H</w:t>
            </w:r>
          </w:p>
        </w:tc>
        <w:tc>
          <w:tcPr>
            <w:tcW w:w="560" w:type="dxa"/>
            <w:tcBorders/>
            <w:shd w:fill="CCEEFF" w:val="clear"/>
            <w:vAlign w:val="center"/>
          </w:tcPr>
          <w:p>
            <w:pPr>
              <w:pStyle w:val="TableContents"/>
              <w:bidi w:val="0"/>
              <w:spacing w:before="0" w:after="0"/>
              <w:ind w:left="370" w:right="0" w:hanging="0"/>
              <w:jc w:val="center"/>
              <w:rPr/>
            </w:pPr>
            <w:r>
              <w:rPr/>
              <w:t>5,936</w:t>
            </w:r>
          </w:p>
        </w:tc>
        <w:tc>
          <w:tcPr>
            <w:tcW w:w="680" w:type="dxa"/>
            <w:tcBorders/>
            <w:shd w:fill="CCEEFF" w:val="clear"/>
            <w:vAlign w:val="center"/>
          </w:tcPr>
          <w:p>
            <w:pPr>
              <w:pStyle w:val="TableContents"/>
              <w:bidi w:val="0"/>
              <w:spacing w:before="0" w:after="0"/>
              <w:jc w:val="center"/>
              <w:rPr/>
            </w:pPr>
            <w:r>
              <w:rPr/>
              <w:t>25,128</w:t>
            </w:r>
          </w:p>
        </w:tc>
        <w:tc>
          <w:tcPr>
            <w:tcW w:w="500" w:type="dxa"/>
            <w:tcBorders/>
            <w:shd w:fill="CCEEFF" w:val="clear"/>
            <w:vAlign w:val="center"/>
          </w:tcPr>
          <w:p>
            <w:pPr>
              <w:pStyle w:val="TableContents"/>
              <w:bidi w:val="0"/>
              <w:spacing w:before="0" w:after="0"/>
              <w:ind w:left="100" w:right="0" w:hanging="0"/>
              <w:jc w:val="left"/>
              <w:rPr/>
            </w:pPr>
            <w:r>
              <w:rPr/>
              <w:t>2000</w:t>
            </w:r>
          </w:p>
        </w:tc>
        <w:tc>
          <w:tcPr>
            <w:tcW w:w="1310" w:type="dxa"/>
            <w:tcBorders/>
            <w:shd w:fill="CCEEFF" w:val="clear"/>
            <w:vAlign w:val="center"/>
          </w:tcPr>
          <w:p>
            <w:pPr>
              <w:pStyle w:val="TableContents"/>
              <w:bidi w:val="0"/>
              <w:spacing w:before="0" w:after="0"/>
              <w:jc w:val="center"/>
              <w:rPr/>
            </w:pPr>
            <w:r>
              <w:rPr/>
              <w:t>COSCO</w:t>
            </w:r>
          </w:p>
        </w:tc>
        <w:tc>
          <w:tcPr>
            <w:tcW w:w="560" w:type="dxa"/>
            <w:tcBorders/>
            <w:shd w:fill="CCEEFF" w:val="clear"/>
            <w:vAlign w:val="center"/>
          </w:tcPr>
          <w:p>
            <w:pPr>
              <w:pStyle w:val="TableContents"/>
              <w:bidi w:val="0"/>
              <w:spacing w:before="0" w:after="0"/>
              <w:jc w:val="center"/>
              <w:rPr/>
            </w:pPr>
            <w:r>
              <w:rPr/>
              <w:t>4Q27</w:t>
            </w:r>
          </w:p>
        </w:tc>
        <w:tc>
          <w:tcPr>
            <w:tcW w:w="560" w:type="dxa"/>
            <w:tcBorders/>
            <w:shd w:fill="CCEEFF" w:val="clear"/>
            <w:vAlign w:val="center"/>
          </w:tcPr>
          <w:p>
            <w:pPr>
              <w:pStyle w:val="TableContents"/>
              <w:bidi w:val="0"/>
              <w:spacing w:before="0" w:after="0"/>
              <w:jc w:val="center"/>
              <w:rPr/>
            </w:pPr>
            <w:r>
              <w:rPr/>
              <w:t>4Q27</w:t>
            </w:r>
          </w:p>
        </w:tc>
        <w:tc>
          <w:tcPr>
            <w:tcW w:w="1325" w:type="dxa"/>
            <w:tcBorders/>
            <w:shd w:fill="CCEEFF" w:val="clear"/>
            <w:vAlign w:val="center"/>
          </w:tcPr>
          <w:p>
            <w:pPr>
              <w:pStyle w:val="TableContents"/>
              <w:bidi w:val="0"/>
              <w:spacing w:lineRule="auto" w:line="240" w:before="0" w:after="0"/>
              <w:jc w:val="center"/>
              <w:rPr/>
            </w:pPr>
            <w:r>
              <w:rPr/>
              <w:t>Footnote (16)</w:t>
            </w:r>
          </w:p>
        </w:tc>
      </w:tr>
      <w:tr>
        <w:trPr/>
        <w:tc>
          <w:tcPr>
            <w:tcW w:w="2225" w:type="dxa"/>
            <w:tcBorders/>
            <w:vAlign w:val="center"/>
          </w:tcPr>
          <w:p>
            <w:pPr>
              <w:pStyle w:val="TableContents"/>
              <w:bidi w:val="0"/>
              <w:spacing w:before="0" w:after="0"/>
              <w:jc w:val="left"/>
              <w:rPr/>
            </w:pPr>
            <w:r>
              <w:rPr/>
              <w:t>GSL Tripoli</w:t>
            </w:r>
          </w:p>
        </w:tc>
        <w:tc>
          <w:tcPr>
            <w:tcW w:w="560" w:type="dxa"/>
            <w:tcBorders/>
            <w:vAlign w:val="center"/>
          </w:tcPr>
          <w:p>
            <w:pPr>
              <w:pStyle w:val="TableContents"/>
              <w:bidi w:val="0"/>
              <w:spacing w:before="0" w:after="0"/>
              <w:ind w:left="370" w:right="0" w:hanging="0"/>
              <w:jc w:val="center"/>
              <w:rPr/>
            </w:pPr>
            <w:r>
              <w:rPr/>
              <w:t>5,470</w:t>
            </w:r>
          </w:p>
        </w:tc>
        <w:tc>
          <w:tcPr>
            <w:tcW w:w="680" w:type="dxa"/>
            <w:tcBorders/>
            <w:vAlign w:val="center"/>
          </w:tcPr>
          <w:p>
            <w:pPr>
              <w:pStyle w:val="TableContents"/>
              <w:bidi w:val="0"/>
              <w:spacing w:before="0" w:after="0"/>
              <w:jc w:val="center"/>
              <w:rPr/>
            </w:pPr>
            <w:r>
              <w:rPr/>
              <w:t>22,109</w:t>
            </w:r>
          </w:p>
        </w:tc>
        <w:tc>
          <w:tcPr>
            <w:tcW w:w="500" w:type="dxa"/>
            <w:tcBorders/>
            <w:vAlign w:val="center"/>
          </w:tcPr>
          <w:p>
            <w:pPr>
              <w:pStyle w:val="TableContents"/>
              <w:bidi w:val="0"/>
              <w:spacing w:before="0" w:after="0"/>
              <w:ind w:left="100" w:right="0" w:hanging="0"/>
              <w:jc w:val="left"/>
              <w:rPr/>
            </w:pPr>
            <w:r>
              <w:rPr/>
              <w:t>2009</w:t>
            </w:r>
          </w:p>
        </w:tc>
        <w:tc>
          <w:tcPr>
            <w:tcW w:w="1310" w:type="dxa"/>
            <w:tcBorders/>
            <w:vAlign w:val="center"/>
          </w:tcPr>
          <w:p>
            <w:pPr>
              <w:pStyle w:val="TableContents"/>
              <w:bidi w:val="0"/>
              <w:spacing w:before="0" w:after="0"/>
              <w:jc w:val="center"/>
              <w:rPr/>
            </w:pPr>
            <w:r>
              <w:rPr/>
              <w:t>Maersk</w:t>
            </w:r>
          </w:p>
        </w:tc>
        <w:tc>
          <w:tcPr>
            <w:tcW w:w="560" w:type="dxa"/>
            <w:tcBorders/>
            <w:vAlign w:val="center"/>
          </w:tcPr>
          <w:p>
            <w:pPr>
              <w:pStyle w:val="TableContents"/>
              <w:bidi w:val="0"/>
              <w:spacing w:before="0" w:after="0"/>
              <w:jc w:val="center"/>
              <w:rPr/>
            </w:pPr>
            <w:r>
              <w:rPr/>
              <w:t>3Q27</w:t>
            </w:r>
          </w:p>
        </w:tc>
        <w:tc>
          <w:tcPr>
            <w:tcW w:w="560" w:type="dxa"/>
            <w:tcBorders/>
            <w:vAlign w:val="center"/>
          </w:tcPr>
          <w:p>
            <w:pPr>
              <w:pStyle w:val="TableContents"/>
              <w:bidi w:val="0"/>
              <w:spacing w:before="0" w:after="0"/>
              <w:jc w:val="center"/>
              <w:rPr/>
            </w:pPr>
            <w:r>
              <w:rPr/>
              <w:t>4Q27</w:t>
            </w:r>
          </w:p>
        </w:tc>
        <w:tc>
          <w:tcPr>
            <w:tcW w:w="1325" w:type="dxa"/>
            <w:tcBorders/>
            <w:vAlign w:val="center"/>
          </w:tcPr>
          <w:p>
            <w:pPr>
              <w:pStyle w:val="TableContents"/>
              <w:bidi w:val="0"/>
              <w:spacing w:before="0" w:after="0"/>
              <w:jc w:val="center"/>
              <w:rPr/>
            </w:pPr>
            <w:r>
              <w:rPr/>
              <w:t>17,250</w:t>
            </w:r>
          </w:p>
        </w:tc>
      </w:tr>
      <w:tr>
        <w:trPr/>
        <w:tc>
          <w:tcPr>
            <w:tcW w:w="2225" w:type="dxa"/>
            <w:tcBorders/>
            <w:shd w:fill="CCEEFF" w:val="clear"/>
            <w:vAlign w:val="center"/>
          </w:tcPr>
          <w:p>
            <w:pPr>
              <w:pStyle w:val="TableContents"/>
              <w:bidi w:val="0"/>
              <w:spacing w:before="0" w:after="0"/>
              <w:jc w:val="left"/>
              <w:rPr/>
            </w:pPr>
            <w:r>
              <w:rPr/>
              <w:t>GSL Kithira</w:t>
            </w:r>
          </w:p>
        </w:tc>
        <w:tc>
          <w:tcPr>
            <w:tcW w:w="560" w:type="dxa"/>
            <w:tcBorders/>
            <w:shd w:fill="CCEEFF" w:val="clear"/>
            <w:vAlign w:val="center"/>
          </w:tcPr>
          <w:p>
            <w:pPr>
              <w:pStyle w:val="TableContents"/>
              <w:bidi w:val="0"/>
              <w:spacing w:before="0" w:after="0"/>
              <w:ind w:left="370" w:right="0" w:hanging="0"/>
              <w:jc w:val="center"/>
              <w:rPr/>
            </w:pPr>
            <w:r>
              <w:rPr/>
              <w:t>5,470</w:t>
            </w:r>
          </w:p>
        </w:tc>
        <w:tc>
          <w:tcPr>
            <w:tcW w:w="680" w:type="dxa"/>
            <w:tcBorders/>
            <w:shd w:fill="CCEEFF" w:val="clear"/>
            <w:vAlign w:val="center"/>
          </w:tcPr>
          <w:p>
            <w:pPr>
              <w:pStyle w:val="TableContents"/>
              <w:bidi w:val="0"/>
              <w:spacing w:before="0" w:after="0"/>
              <w:jc w:val="center"/>
              <w:rPr/>
            </w:pPr>
            <w:r>
              <w:rPr/>
              <w:t>22,259</w:t>
            </w:r>
          </w:p>
        </w:tc>
        <w:tc>
          <w:tcPr>
            <w:tcW w:w="500" w:type="dxa"/>
            <w:tcBorders/>
            <w:shd w:fill="CCEEFF" w:val="clear"/>
            <w:vAlign w:val="center"/>
          </w:tcPr>
          <w:p>
            <w:pPr>
              <w:pStyle w:val="TableContents"/>
              <w:bidi w:val="0"/>
              <w:spacing w:before="0" w:after="0"/>
              <w:ind w:left="100" w:right="0" w:hanging="0"/>
              <w:jc w:val="left"/>
              <w:rPr/>
            </w:pPr>
            <w:r>
              <w:rPr/>
              <w:t>2009</w:t>
            </w:r>
          </w:p>
        </w:tc>
        <w:tc>
          <w:tcPr>
            <w:tcW w:w="1310" w:type="dxa"/>
            <w:tcBorders/>
            <w:shd w:fill="CCEEFF" w:val="clear"/>
            <w:vAlign w:val="center"/>
          </w:tcPr>
          <w:p>
            <w:pPr>
              <w:pStyle w:val="TableContents"/>
              <w:bidi w:val="0"/>
              <w:spacing w:before="0" w:after="0"/>
              <w:jc w:val="center"/>
              <w:rPr/>
            </w:pPr>
            <w:r>
              <w:rPr/>
              <w:t>Maersk</w:t>
            </w:r>
          </w:p>
        </w:tc>
        <w:tc>
          <w:tcPr>
            <w:tcW w:w="560" w:type="dxa"/>
            <w:tcBorders/>
            <w:shd w:fill="CCEEFF" w:val="clear"/>
            <w:vAlign w:val="center"/>
          </w:tcPr>
          <w:p>
            <w:pPr>
              <w:pStyle w:val="TableContents"/>
              <w:bidi w:val="0"/>
              <w:spacing w:before="0" w:after="0"/>
              <w:jc w:val="center"/>
              <w:rPr/>
            </w:pPr>
            <w:r>
              <w:rPr/>
              <w:t>4Q27</w:t>
            </w:r>
          </w:p>
        </w:tc>
        <w:tc>
          <w:tcPr>
            <w:tcW w:w="560" w:type="dxa"/>
            <w:tcBorders/>
            <w:shd w:fill="CCEEFF" w:val="clear"/>
            <w:vAlign w:val="center"/>
          </w:tcPr>
          <w:p>
            <w:pPr>
              <w:pStyle w:val="TableContents"/>
              <w:bidi w:val="0"/>
              <w:spacing w:before="0" w:after="0"/>
              <w:jc w:val="center"/>
              <w:rPr/>
            </w:pPr>
            <w:r>
              <w:rPr/>
              <w:t>1Q28</w:t>
            </w:r>
          </w:p>
        </w:tc>
        <w:tc>
          <w:tcPr>
            <w:tcW w:w="1325" w:type="dxa"/>
            <w:tcBorders/>
            <w:shd w:fill="CCEEFF" w:val="clear"/>
            <w:vAlign w:val="center"/>
          </w:tcPr>
          <w:p>
            <w:pPr>
              <w:pStyle w:val="TableContents"/>
              <w:bidi w:val="0"/>
              <w:spacing w:before="0" w:after="0"/>
              <w:jc w:val="center"/>
              <w:rPr/>
            </w:pPr>
            <w:r>
              <w:rPr/>
              <w:t>17,250</w:t>
            </w:r>
          </w:p>
        </w:tc>
      </w:tr>
      <w:tr>
        <w:trPr/>
        <w:tc>
          <w:tcPr>
            <w:tcW w:w="2225" w:type="dxa"/>
            <w:tcBorders/>
            <w:vAlign w:val="center"/>
          </w:tcPr>
          <w:p>
            <w:pPr>
              <w:pStyle w:val="TableContents"/>
              <w:bidi w:val="0"/>
              <w:spacing w:before="0" w:after="0"/>
              <w:jc w:val="left"/>
              <w:rPr/>
            </w:pPr>
            <w:r>
              <w:rPr/>
              <w:t>GSL Tinos</w:t>
            </w:r>
          </w:p>
        </w:tc>
        <w:tc>
          <w:tcPr>
            <w:tcW w:w="560" w:type="dxa"/>
            <w:tcBorders/>
            <w:vAlign w:val="center"/>
          </w:tcPr>
          <w:p>
            <w:pPr>
              <w:pStyle w:val="TableContents"/>
              <w:bidi w:val="0"/>
              <w:spacing w:before="0" w:after="0"/>
              <w:ind w:left="370" w:right="0" w:hanging="0"/>
              <w:jc w:val="center"/>
              <w:rPr/>
            </w:pPr>
            <w:r>
              <w:rPr/>
              <w:t>5,470</w:t>
            </w:r>
          </w:p>
        </w:tc>
        <w:tc>
          <w:tcPr>
            <w:tcW w:w="680" w:type="dxa"/>
            <w:tcBorders/>
            <w:vAlign w:val="center"/>
          </w:tcPr>
          <w:p>
            <w:pPr>
              <w:pStyle w:val="TableContents"/>
              <w:bidi w:val="0"/>
              <w:spacing w:before="0" w:after="0"/>
              <w:jc w:val="center"/>
              <w:rPr/>
            </w:pPr>
            <w:r>
              <w:rPr/>
              <w:t>22,068</w:t>
            </w:r>
          </w:p>
        </w:tc>
        <w:tc>
          <w:tcPr>
            <w:tcW w:w="500" w:type="dxa"/>
            <w:tcBorders/>
            <w:vAlign w:val="center"/>
          </w:tcPr>
          <w:p>
            <w:pPr>
              <w:pStyle w:val="TableContents"/>
              <w:bidi w:val="0"/>
              <w:spacing w:before="0" w:after="0"/>
              <w:ind w:left="100" w:right="0" w:hanging="0"/>
              <w:jc w:val="left"/>
              <w:rPr/>
            </w:pPr>
            <w:r>
              <w:rPr/>
              <w:t>2010</w:t>
            </w:r>
          </w:p>
        </w:tc>
        <w:tc>
          <w:tcPr>
            <w:tcW w:w="1310" w:type="dxa"/>
            <w:tcBorders/>
            <w:vAlign w:val="center"/>
          </w:tcPr>
          <w:p>
            <w:pPr>
              <w:pStyle w:val="TableContents"/>
              <w:bidi w:val="0"/>
              <w:spacing w:before="0" w:after="0"/>
              <w:jc w:val="center"/>
              <w:rPr/>
            </w:pPr>
            <w:r>
              <w:rPr/>
              <w:t>Maersk</w:t>
            </w:r>
          </w:p>
        </w:tc>
        <w:tc>
          <w:tcPr>
            <w:tcW w:w="560" w:type="dxa"/>
            <w:tcBorders/>
            <w:vAlign w:val="center"/>
          </w:tcPr>
          <w:p>
            <w:pPr>
              <w:pStyle w:val="TableContents"/>
              <w:bidi w:val="0"/>
              <w:spacing w:before="0" w:after="0"/>
              <w:jc w:val="center"/>
              <w:rPr/>
            </w:pPr>
            <w:r>
              <w:rPr/>
              <w:t>3Q27</w:t>
            </w:r>
          </w:p>
        </w:tc>
        <w:tc>
          <w:tcPr>
            <w:tcW w:w="560" w:type="dxa"/>
            <w:tcBorders/>
            <w:vAlign w:val="center"/>
          </w:tcPr>
          <w:p>
            <w:pPr>
              <w:pStyle w:val="TableContents"/>
              <w:bidi w:val="0"/>
              <w:spacing w:before="0" w:after="0"/>
              <w:jc w:val="center"/>
              <w:rPr/>
            </w:pPr>
            <w:r>
              <w:rPr/>
              <w:t>4Q27</w:t>
            </w:r>
          </w:p>
        </w:tc>
        <w:tc>
          <w:tcPr>
            <w:tcW w:w="1325" w:type="dxa"/>
            <w:tcBorders/>
            <w:vAlign w:val="center"/>
          </w:tcPr>
          <w:p>
            <w:pPr>
              <w:pStyle w:val="TableContents"/>
              <w:bidi w:val="0"/>
              <w:spacing w:before="0" w:after="0"/>
              <w:jc w:val="center"/>
              <w:rPr/>
            </w:pPr>
            <w:r>
              <w:rPr/>
              <w:t>17,250</w:t>
            </w:r>
          </w:p>
        </w:tc>
      </w:tr>
      <w:tr>
        <w:trPr/>
        <w:tc>
          <w:tcPr>
            <w:tcW w:w="2225" w:type="dxa"/>
            <w:tcBorders/>
            <w:shd w:fill="CCEEFF" w:val="clear"/>
            <w:vAlign w:val="center"/>
          </w:tcPr>
          <w:p>
            <w:pPr>
              <w:pStyle w:val="TableContents"/>
              <w:bidi w:val="0"/>
              <w:spacing w:before="0" w:after="0"/>
              <w:jc w:val="left"/>
              <w:rPr/>
            </w:pPr>
            <w:r>
              <w:rPr/>
              <w:t>GSL Syros</w:t>
            </w:r>
          </w:p>
        </w:tc>
        <w:tc>
          <w:tcPr>
            <w:tcW w:w="560" w:type="dxa"/>
            <w:tcBorders/>
            <w:shd w:fill="CCEEFF" w:val="clear"/>
            <w:vAlign w:val="center"/>
          </w:tcPr>
          <w:p>
            <w:pPr>
              <w:pStyle w:val="TableContents"/>
              <w:bidi w:val="0"/>
              <w:spacing w:before="0" w:after="0"/>
              <w:ind w:left="370" w:right="0" w:hanging="0"/>
              <w:jc w:val="center"/>
              <w:rPr/>
            </w:pPr>
            <w:r>
              <w:rPr/>
              <w:t>5,470</w:t>
            </w:r>
          </w:p>
        </w:tc>
        <w:tc>
          <w:tcPr>
            <w:tcW w:w="680" w:type="dxa"/>
            <w:tcBorders/>
            <w:shd w:fill="CCEEFF" w:val="clear"/>
            <w:vAlign w:val="center"/>
          </w:tcPr>
          <w:p>
            <w:pPr>
              <w:pStyle w:val="TableContents"/>
              <w:bidi w:val="0"/>
              <w:spacing w:before="0" w:after="0"/>
              <w:jc w:val="center"/>
              <w:rPr/>
            </w:pPr>
            <w:r>
              <w:rPr/>
              <w:t>22,099</w:t>
            </w:r>
          </w:p>
        </w:tc>
        <w:tc>
          <w:tcPr>
            <w:tcW w:w="500" w:type="dxa"/>
            <w:tcBorders/>
            <w:shd w:fill="CCEEFF" w:val="clear"/>
            <w:vAlign w:val="center"/>
          </w:tcPr>
          <w:p>
            <w:pPr>
              <w:pStyle w:val="TableContents"/>
              <w:bidi w:val="0"/>
              <w:spacing w:before="0" w:after="0"/>
              <w:ind w:left="100" w:right="0" w:hanging="0"/>
              <w:jc w:val="left"/>
              <w:rPr/>
            </w:pPr>
            <w:r>
              <w:rPr/>
              <w:t>2010</w:t>
            </w:r>
          </w:p>
        </w:tc>
        <w:tc>
          <w:tcPr>
            <w:tcW w:w="1310" w:type="dxa"/>
            <w:tcBorders/>
            <w:shd w:fill="CCEEFF" w:val="clear"/>
            <w:vAlign w:val="center"/>
          </w:tcPr>
          <w:p>
            <w:pPr>
              <w:pStyle w:val="TableContents"/>
              <w:bidi w:val="0"/>
              <w:spacing w:before="0" w:after="0"/>
              <w:jc w:val="center"/>
              <w:rPr/>
            </w:pPr>
            <w:r>
              <w:rPr/>
              <w:t>Maersk</w:t>
            </w:r>
          </w:p>
        </w:tc>
        <w:tc>
          <w:tcPr>
            <w:tcW w:w="560" w:type="dxa"/>
            <w:tcBorders/>
            <w:shd w:fill="CCEEFF" w:val="clear"/>
            <w:vAlign w:val="center"/>
          </w:tcPr>
          <w:p>
            <w:pPr>
              <w:pStyle w:val="TableContents"/>
              <w:bidi w:val="0"/>
              <w:spacing w:before="0" w:after="0"/>
              <w:jc w:val="center"/>
              <w:rPr/>
            </w:pPr>
            <w:r>
              <w:rPr/>
              <w:t>4Q27</w:t>
            </w:r>
          </w:p>
        </w:tc>
        <w:tc>
          <w:tcPr>
            <w:tcW w:w="560" w:type="dxa"/>
            <w:tcBorders/>
            <w:shd w:fill="CCEEFF" w:val="clear"/>
            <w:vAlign w:val="center"/>
          </w:tcPr>
          <w:p>
            <w:pPr>
              <w:pStyle w:val="TableContents"/>
              <w:bidi w:val="0"/>
              <w:spacing w:before="0" w:after="0"/>
              <w:jc w:val="center"/>
              <w:rPr/>
            </w:pPr>
            <w:r>
              <w:rPr/>
              <w:t>4Q27</w:t>
            </w:r>
          </w:p>
        </w:tc>
        <w:tc>
          <w:tcPr>
            <w:tcW w:w="1325" w:type="dxa"/>
            <w:tcBorders/>
            <w:shd w:fill="CCEEFF" w:val="clear"/>
            <w:vAlign w:val="center"/>
          </w:tcPr>
          <w:p>
            <w:pPr>
              <w:pStyle w:val="TableContents"/>
              <w:bidi w:val="0"/>
              <w:spacing w:before="0" w:after="0"/>
              <w:jc w:val="center"/>
              <w:rPr/>
            </w:pPr>
            <w:r>
              <w:rPr/>
              <w:t>17,250</w:t>
            </w:r>
          </w:p>
        </w:tc>
      </w:tr>
      <w:tr>
        <w:trPr/>
        <w:tc>
          <w:tcPr>
            <w:tcW w:w="2225" w:type="dxa"/>
            <w:tcBorders/>
            <w:vAlign w:val="center"/>
          </w:tcPr>
          <w:p>
            <w:pPr>
              <w:pStyle w:val="TableContents"/>
              <w:bidi w:val="0"/>
              <w:spacing w:before="0" w:after="0"/>
              <w:jc w:val="left"/>
              <w:rPr/>
            </w:pPr>
            <w:r>
              <w:rPr/>
              <w:t>Orca I</w:t>
            </w:r>
          </w:p>
        </w:tc>
        <w:tc>
          <w:tcPr>
            <w:tcW w:w="560" w:type="dxa"/>
            <w:tcBorders/>
            <w:vAlign w:val="center"/>
          </w:tcPr>
          <w:p>
            <w:pPr>
              <w:pStyle w:val="TableContents"/>
              <w:bidi w:val="0"/>
              <w:spacing w:before="0" w:after="0"/>
              <w:ind w:left="370" w:right="0" w:hanging="0"/>
              <w:jc w:val="center"/>
              <w:rPr/>
            </w:pPr>
            <w:r>
              <w:rPr/>
              <w:t>5,308</w:t>
            </w:r>
          </w:p>
        </w:tc>
        <w:tc>
          <w:tcPr>
            <w:tcW w:w="680" w:type="dxa"/>
            <w:tcBorders/>
            <w:vAlign w:val="center"/>
          </w:tcPr>
          <w:p>
            <w:pPr>
              <w:pStyle w:val="TableContents"/>
              <w:bidi w:val="0"/>
              <w:spacing w:before="0" w:after="0"/>
              <w:jc w:val="center"/>
              <w:rPr/>
            </w:pPr>
            <w:r>
              <w:rPr/>
              <w:t>20,633</w:t>
            </w:r>
          </w:p>
        </w:tc>
        <w:tc>
          <w:tcPr>
            <w:tcW w:w="500" w:type="dxa"/>
            <w:tcBorders/>
            <w:vAlign w:val="center"/>
          </w:tcPr>
          <w:p>
            <w:pPr>
              <w:pStyle w:val="TableContents"/>
              <w:bidi w:val="0"/>
              <w:spacing w:before="0" w:after="0"/>
              <w:ind w:left="100" w:right="0" w:hanging="0"/>
              <w:jc w:val="left"/>
              <w:rPr/>
            </w:pPr>
            <w:r>
              <w:rPr/>
              <w:t>2006</w:t>
            </w:r>
          </w:p>
        </w:tc>
        <w:tc>
          <w:tcPr>
            <w:tcW w:w="1310" w:type="dxa"/>
            <w:tcBorders/>
            <w:vAlign w:val="center"/>
          </w:tcPr>
          <w:p>
            <w:pPr>
              <w:pStyle w:val="TableContents"/>
              <w:bidi w:val="0"/>
              <w:spacing w:lineRule="auto" w:line="240" w:before="0" w:after="0"/>
              <w:jc w:val="center"/>
              <w:rPr/>
            </w:pPr>
            <w:r>
              <w:rPr/>
              <w:t>Footnote (17)</w:t>
            </w:r>
          </w:p>
        </w:tc>
        <w:tc>
          <w:tcPr>
            <w:tcW w:w="560" w:type="dxa"/>
            <w:tcBorders/>
            <w:vAlign w:val="center"/>
          </w:tcPr>
          <w:p>
            <w:pPr>
              <w:pStyle w:val="TableContents"/>
              <w:bidi w:val="0"/>
              <w:spacing w:before="0" w:after="0"/>
              <w:jc w:val="center"/>
              <w:rPr/>
            </w:pPr>
            <w:r>
              <w:rPr/>
              <w:t>3Q28</w:t>
            </w:r>
          </w:p>
        </w:tc>
        <w:tc>
          <w:tcPr>
            <w:tcW w:w="560" w:type="dxa"/>
            <w:tcBorders/>
            <w:vAlign w:val="center"/>
          </w:tcPr>
          <w:p>
            <w:pPr>
              <w:pStyle w:val="TableContents"/>
              <w:bidi w:val="0"/>
              <w:spacing w:before="0" w:after="0"/>
              <w:jc w:val="center"/>
              <w:rPr/>
            </w:pPr>
            <w:r>
              <w:rPr/>
              <w:t>4Q28</w:t>
            </w:r>
          </w:p>
        </w:tc>
        <w:tc>
          <w:tcPr>
            <w:tcW w:w="1325" w:type="dxa"/>
            <w:tcBorders/>
            <w:vAlign w:val="center"/>
          </w:tcPr>
          <w:p>
            <w:pPr>
              <w:pStyle w:val="TableContents"/>
              <w:bidi w:val="0"/>
              <w:spacing w:lineRule="auto" w:line="240" w:before="0" w:after="0"/>
              <w:jc w:val="center"/>
              <w:rPr/>
            </w:pPr>
            <w:r>
              <w:rPr/>
              <w:t>Footnote (17)</w:t>
            </w:r>
          </w:p>
        </w:tc>
      </w:tr>
      <w:tr>
        <w:trPr/>
        <w:tc>
          <w:tcPr>
            <w:tcW w:w="2225" w:type="dxa"/>
            <w:tcBorders/>
            <w:shd w:fill="CCEEFF" w:val="clear"/>
            <w:vAlign w:val="center"/>
          </w:tcPr>
          <w:p>
            <w:pPr>
              <w:pStyle w:val="TableContents"/>
              <w:bidi w:val="0"/>
              <w:spacing w:before="0" w:after="0"/>
              <w:jc w:val="left"/>
              <w:rPr/>
            </w:pPr>
            <w:r>
              <w:rPr/>
              <w:t>Dolphin II</w:t>
            </w:r>
          </w:p>
        </w:tc>
        <w:tc>
          <w:tcPr>
            <w:tcW w:w="560" w:type="dxa"/>
            <w:tcBorders/>
            <w:shd w:fill="CCEEFF" w:val="clear"/>
            <w:vAlign w:val="center"/>
          </w:tcPr>
          <w:p>
            <w:pPr>
              <w:pStyle w:val="TableContents"/>
              <w:bidi w:val="0"/>
              <w:spacing w:before="0" w:after="0"/>
              <w:ind w:left="370" w:right="0" w:hanging="0"/>
              <w:jc w:val="center"/>
              <w:rPr/>
            </w:pPr>
            <w:r>
              <w:rPr/>
              <w:t>5,095</w:t>
            </w:r>
          </w:p>
        </w:tc>
        <w:tc>
          <w:tcPr>
            <w:tcW w:w="680" w:type="dxa"/>
            <w:tcBorders/>
            <w:shd w:fill="CCEEFF" w:val="clear"/>
            <w:vAlign w:val="center"/>
          </w:tcPr>
          <w:p>
            <w:pPr>
              <w:pStyle w:val="TableContents"/>
              <w:bidi w:val="0"/>
              <w:spacing w:before="0" w:after="0"/>
              <w:jc w:val="center"/>
              <w:rPr/>
            </w:pPr>
            <w:r>
              <w:rPr/>
              <w:t>20,596</w:t>
            </w:r>
          </w:p>
        </w:tc>
        <w:tc>
          <w:tcPr>
            <w:tcW w:w="500" w:type="dxa"/>
            <w:tcBorders/>
            <w:shd w:fill="CCEEFF" w:val="clear"/>
            <w:vAlign w:val="center"/>
          </w:tcPr>
          <w:p>
            <w:pPr>
              <w:pStyle w:val="TableContents"/>
              <w:bidi w:val="0"/>
              <w:spacing w:before="0" w:after="0"/>
              <w:ind w:left="100" w:right="0" w:hanging="0"/>
              <w:jc w:val="left"/>
              <w:rPr/>
            </w:pPr>
            <w:r>
              <w:rPr/>
              <w:t>2007</w:t>
            </w:r>
          </w:p>
        </w:tc>
        <w:tc>
          <w:tcPr>
            <w:tcW w:w="1310" w:type="dxa"/>
            <w:tcBorders/>
            <w:shd w:fill="CCEEFF" w:val="clear"/>
            <w:vAlign w:val="center"/>
          </w:tcPr>
          <w:p>
            <w:pPr>
              <w:pStyle w:val="TableContents"/>
              <w:bidi w:val="0"/>
              <w:spacing w:lineRule="auto" w:line="240" w:before="0" w:after="0"/>
              <w:jc w:val="center"/>
              <w:rPr/>
            </w:pPr>
            <w:r>
              <w:rPr/>
              <w:t>Footnote (17)</w:t>
            </w:r>
          </w:p>
        </w:tc>
        <w:tc>
          <w:tcPr>
            <w:tcW w:w="560" w:type="dxa"/>
            <w:tcBorders/>
            <w:shd w:fill="CCEEFF" w:val="clear"/>
            <w:vAlign w:val="center"/>
          </w:tcPr>
          <w:p>
            <w:pPr>
              <w:pStyle w:val="TableContents"/>
              <w:bidi w:val="0"/>
              <w:spacing w:before="0" w:after="0"/>
              <w:jc w:val="center"/>
              <w:rPr/>
            </w:pPr>
            <w:r>
              <w:rPr/>
              <w:t>1Q28</w:t>
            </w:r>
          </w:p>
        </w:tc>
        <w:tc>
          <w:tcPr>
            <w:tcW w:w="560" w:type="dxa"/>
            <w:tcBorders/>
            <w:shd w:fill="CCEEFF" w:val="clear"/>
            <w:vAlign w:val="center"/>
          </w:tcPr>
          <w:p>
            <w:pPr>
              <w:pStyle w:val="TableContents"/>
              <w:bidi w:val="0"/>
              <w:spacing w:before="0" w:after="0"/>
              <w:jc w:val="center"/>
              <w:rPr/>
            </w:pPr>
            <w:r>
              <w:rPr/>
              <w:t>2Q28</w:t>
            </w:r>
          </w:p>
        </w:tc>
        <w:tc>
          <w:tcPr>
            <w:tcW w:w="1325" w:type="dxa"/>
            <w:tcBorders/>
            <w:shd w:fill="CCEEFF" w:val="clear"/>
            <w:vAlign w:val="center"/>
          </w:tcPr>
          <w:p>
            <w:pPr>
              <w:pStyle w:val="TableContents"/>
              <w:bidi w:val="0"/>
              <w:spacing w:lineRule="auto" w:line="240" w:before="0" w:after="0"/>
              <w:jc w:val="center"/>
              <w:rPr/>
            </w:pPr>
            <w:r>
              <w:rPr/>
              <w:t>Footnote (17)</w:t>
            </w:r>
          </w:p>
        </w:tc>
      </w:tr>
      <w:tr>
        <w:trPr/>
        <w:tc>
          <w:tcPr>
            <w:tcW w:w="2225" w:type="dxa"/>
            <w:tcBorders/>
            <w:vAlign w:val="center"/>
          </w:tcPr>
          <w:p>
            <w:pPr>
              <w:pStyle w:val="TableContents"/>
              <w:bidi w:val="0"/>
              <w:spacing w:before="0" w:after="0"/>
              <w:jc w:val="left"/>
              <w:rPr/>
            </w:pPr>
            <w:r>
              <w:rPr/>
              <w:t>CMA CGM Alcazar</w:t>
            </w:r>
          </w:p>
        </w:tc>
        <w:tc>
          <w:tcPr>
            <w:tcW w:w="560" w:type="dxa"/>
            <w:tcBorders/>
            <w:vAlign w:val="center"/>
          </w:tcPr>
          <w:p>
            <w:pPr>
              <w:pStyle w:val="TableContents"/>
              <w:bidi w:val="0"/>
              <w:spacing w:before="0" w:after="0"/>
              <w:ind w:left="370" w:right="0" w:hanging="0"/>
              <w:jc w:val="center"/>
              <w:rPr/>
            </w:pPr>
            <w:r>
              <w:rPr/>
              <w:t>5,089</w:t>
            </w:r>
          </w:p>
        </w:tc>
        <w:tc>
          <w:tcPr>
            <w:tcW w:w="680" w:type="dxa"/>
            <w:tcBorders/>
            <w:vAlign w:val="center"/>
          </w:tcPr>
          <w:p>
            <w:pPr>
              <w:pStyle w:val="TableContents"/>
              <w:bidi w:val="0"/>
              <w:spacing w:before="0" w:after="0"/>
              <w:jc w:val="center"/>
              <w:rPr/>
            </w:pPr>
            <w:r>
              <w:rPr/>
              <w:t>20,087</w:t>
            </w:r>
          </w:p>
        </w:tc>
        <w:tc>
          <w:tcPr>
            <w:tcW w:w="500" w:type="dxa"/>
            <w:tcBorders/>
            <w:vAlign w:val="center"/>
          </w:tcPr>
          <w:p>
            <w:pPr>
              <w:pStyle w:val="TableContents"/>
              <w:bidi w:val="0"/>
              <w:spacing w:before="0" w:after="0"/>
              <w:ind w:left="100" w:right="0" w:hanging="0"/>
              <w:jc w:val="left"/>
              <w:rPr/>
            </w:pPr>
            <w:r>
              <w:rPr/>
              <w:t>2007</w:t>
            </w:r>
          </w:p>
        </w:tc>
        <w:tc>
          <w:tcPr>
            <w:tcW w:w="1310" w:type="dxa"/>
            <w:tcBorders/>
            <w:vAlign w:val="center"/>
          </w:tcPr>
          <w:p>
            <w:pPr>
              <w:pStyle w:val="TableContents"/>
              <w:bidi w:val="0"/>
              <w:spacing w:before="0" w:after="0"/>
              <w:jc w:val="center"/>
              <w:rPr/>
            </w:pPr>
            <w:r>
              <w:rPr/>
              <w:t>CMA CGM</w:t>
            </w:r>
          </w:p>
        </w:tc>
        <w:tc>
          <w:tcPr>
            <w:tcW w:w="560" w:type="dxa"/>
            <w:tcBorders/>
            <w:vAlign w:val="center"/>
          </w:tcPr>
          <w:p>
            <w:pPr>
              <w:pStyle w:val="TableContents"/>
              <w:bidi w:val="0"/>
              <w:spacing w:before="0" w:after="0"/>
              <w:jc w:val="center"/>
              <w:rPr/>
            </w:pPr>
            <w:r>
              <w:rPr/>
              <w:t>3Q29</w:t>
            </w:r>
          </w:p>
        </w:tc>
        <w:tc>
          <w:tcPr>
            <w:tcW w:w="560" w:type="dxa"/>
            <w:tcBorders/>
            <w:vAlign w:val="center"/>
          </w:tcPr>
          <w:p>
            <w:pPr>
              <w:pStyle w:val="TableContents"/>
              <w:bidi w:val="0"/>
              <w:spacing w:before="0" w:after="0"/>
              <w:jc w:val="center"/>
              <w:rPr/>
            </w:pPr>
            <w:r>
              <w:rPr/>
              <w:t>4Q29</w:t>
            </w:r>
          </w:p>
        </w:tc>
        <w:tc>
          <w:tcPr>
            <w:tcW w:w="1325" w:type="dxa"/>
            <w:tcBorders/>
            <w:vAlign w:val="center"/>
          </w:tcPr>
          <w:p>
            <w:pPr>
              <w:pStyle w:val="TableContents"/>
              <w:bidi w:val="0"/>
              <w:spacing w:lineRule="auto" w:line="240" w:before="0" w:after="0"/>
              <w:jc w:val="center"/>
              <w:rPr/>
            </w:pPr>
            <w:r>
              <w:rPr/>
              <w:t>35,500 (18)</w:t>
            </w:r>
          </w:p>
        </w:tc>
      </w:tr>
      <w:tr>
        <w:trPr/>
        <w:tc>
          <w:tcPr>
            <w:tcW w:w="2225" w:type="dxa"/>
            <w:tcBorders/>
            <w:shd w:fill="CCEEFF" w:val="clear"/>
            <w:vAlign w:val="center"/>
          </w:tcPr>
          <w:p>
            <w:pPr>
              <w:pStyle w:val="TableContents"/>
              <w:bidi w:val="0"/>
              <w:spacing w:before="0" w:after="0"/>
              <w:jc w:val="left"/>
              <w:rPr/>
            </w:pPr>
            <w:r>
              <w:rPr/>
              <w:t>GSL Château d’If</w:t>
            </w:r>
          </w:p>
        </w:tc>
        <w:tc>
          <w:tcPr>
            <w:tcW w:w="560" w:type="dxa"/>
            <w:tcBorders/>
            <w:shd w:fill="CCEEFF" w:val="clear"/>
            <w:vAlign w:val="center"/>
          </w:tcPr>
          <w:p>
            <w:pPr>
              <w:pStyle w:val="TableContents"/>
              <w:bidi w:val="0"/>
              <w:spacing w:before="0" w:after="0"/>
              <w:ind w:left="370" w:right="0" w:hanging="0"/>
              <w:jc w:val="center"/>
              <w:rPr/>
            </w:pPr>
            <w:r>
              <w:rPr/>
              <w:t>5,089</w:t>
            </w:r>
          </w:p>
        </w:tc>
        <w:tc>
          <w:tcPr>
            <w:tcW w:w="680" w:type="dxa"/>
            <w:tcBorders/>
            <w:shd w:fill="CCEEFF" w:val="clear"/>
            <w:vAlign w:val="center"/>
          </w:tcPr>
          <w:p>
            <w:pPr>
              <w:pStyle w:val="TableContents"/>
              <w:bidi w:val="0"/>
              <w:spacing w:before="0" w:after="0"/>
              <w:jc w:val="center"/>
              <w:rPr/>
            </w:pPr>
            <w:r>
              <w:rPr/>
              <w:t>19,994</w:t>
            </w:r>
          </w:p>
        </w:tc>
        <w:tc>
          <w:tcPr>
            <w:tcW w:w="500" w:type="dxa"/>
            <w:tcBorders/>
            <w:shd w:fill="CCEEFF" w:val="clear"/>
            <w:vAlign w:val="center"/>
          </w:tcPr>
          <w:p>
            <w:pPr>
              <w:pStyle w:val="TableContents"/>
              <w:bidi w:val="0"/>
              <w:spacing w:before="0" w:after="0"/>
              <w:ind w:left="100" w:right="0" w:hanging="0"/>
              <w:jc w:val="left"/>
              <w:rPr/>
            </w:pPr>
            <w:r>
              <w:rPr/>
              <w:t>2007</w:t>
            </w:r>
          </w:p>
        </w:tc>
        <w:tc>
          <w:tcPr>
            <w:tcW w:w="1310" w:type="dxa"/>
            <w:tcBorders/>
            <w:shd w:fill="CCEEFF" w:val="clear"/>
            <w:vAlign w:val="center"/>
          </w:tcPr>
          <w:p>
            <w:pPr>
              <w:pStyle w:val="TableContents"/>
              <w:bidi w:val="0"/>
              <w:spacing w:before="0" w:after="0"/>
              <w:jc w:val="center"/>
              <w:rPr/>
            </w:pPr>
            <w:r>
              <w:rPr/>
              <w:t>CMA CGM</w:t>
            </w:r>
          </w:p>
        </w:tc>
        <w:tc>
          <w:tcPr>
            <w:tcW w:w="560" w:type="dxa"/>
            <w:tcBorders/>
            <w:shd w:fill="CCEEFF" w:val="clear"/>
            <w:vAlign w:val="center"/>
          </w:tcPr>
          <w:p>
            <w:pPr>
              <w:pStyle w:val="TableContents"/>
              <w:bidi w:val="0"/>
              <w:spacing w:before="0" w:after="0"/>
              <w:jc w:val="center"/>
              <w:rPr/>
            </w:pPr>
            <w:r>
              <w:rPr/>
              <w:t>4Q29</w:t>
            </w:r>
          </w:p>
        </w:tc>
        <w:tc>
          <w:tcPr>
            <w:tcW w:w="560" w:type="dxa"/>
            <w:tcBorders/>
            <w:shd w:fill="CCEEFF" w:val="clear"/>
            <w:vAlign w:val="center"/>
          </w:tcPr>
          <w:p>
            <w:pPr>
              <w:pStyle w:val="TableContents"/>
              <w:bidi w:val="0"/>
              <w:spacing w:before="0" w:after="0"/>
              <w:jc w:val="center"/>
              <w:rPr/>
            </w:pPr>
            <w:r>
              <w:rPr/>
              <w:t>1Q30</w:t>
            </w:r>
          </w:p>
        </w:tc>
        <w:tc>
          <w:tcPr>
            <w:tcW w:w="1325" w:type="dxa"/>
            <w:tcBorders/>
            <w:shd w:fill="CCEEFF" w:val="clear"/>
            <w:vAlign w:val="center"/>
          </w:tcPr>
          <w:p>
            <w:pPr>
              <w:pStyle w:val="TableContents"/>
              <w:bidi w:val="0"/>
              <w:spacing w:lineRule="auto" w:line="240" w:before="0" w:after="0"/>
              <w:jc w:val="center"/>
              <w:rPr/>
            </w:pPr>
            <w:r>
              <w:rPr/>
              <w:t>35,500 (18)</w:t>
            </w:r>
          </w:p>
        </w:tc>
      </w:tr>
      <w:tr>
        <w:trPr/>
        <w:tc>
          <w:tcPr>
            <w:tcW w:w="2225" w:type="dxa"/>
            <w:tcBorders/>
            <w:vAlign w:val="center"/>
          </w:tcPr>
          <w:p>
            <w:pPr>
              <w:pStyle w:val="TableContents"/>
              <w:bidi w:val="0"/>
              <w:spacing w:before="0" w:after="0"/>
              <w:jc w:val="left"/>
              <w:rPr/>
            </w:pPr>
            <w:r>
              <w:rPr/>
              <w:t>GSL Susan</w:t>
            </w:r>
          </w:p>
        </w:tc>
        <w:tc>
          <w:tcPr>
            <w:tcW w:w="560" w:type="dxa"/>
            <w:tcBorders/>
            <w:vAlign w:val="center"/>
          </w:tcPr>
          <w:p>
            <w:pPr>
              <w:pStyle w:val="TableContents"/>
              <w:bidi w:val="0"/>
              <w:spacing w:before="0" w:after="0"/>
              <w:ind w:left="370" w:right="0" w:hanging="0"/>
              <w:jc w:val="center"/>
              <w:rPr/>
            </w:pPr>
            <w:r>
              <w:rPr/>
              <w:t>4,363</w:t>
            </w:r>
          </w:p>
        </w:tc>
        <w:tc>
          <w:tcPr>
            <w:tcW w:w="680" w:type="dxa"/>
            <w:tcBorders/>
            <w:vAlign w:val="center"/>
          </w:tcPr>
          <w:p>
            <w:pPr>
              <w:pStyle w:val="TableContents"/>
              <w:bidi w:val="0"/>
              <w:spacing w:before="0" w:after="0"/>
              <w:jc w:val="center"/>
              <w:rPr/>
            </w:pPr>
            <w:r>
              <w:rPr/>
              <w:t>17,309</w:t>
            </w:r>
          </w:p>
        </w:tc>
        <w:tc>
          <w:tcPr>
            <w:tcW w:w="500" w:type="dxa"/>
            <w:tcBorders/>
            <w:vAlign w:val="center"/>
          </w:tcPr>
          <w:p>
            <w:pPr>
              <w:pStyle w:val="TableContents"/>
              <w:bidi w:val="0"/>
              <w:spacing w:before="0" w:after="0"/>
              <w:ind w:left="100" w:right="0" w:hanging="0"/>
              <w:jc w:val="left"/>
              <w:rPr/>
            </w:pPr>
            <w:r>
              <w:rPr/>
              <w:t>2008</w:t>
            </w:r>
          </w:p>
        </w:tc>
        <w:tc>
          <w:tcPr>
            <w:tcW w:w="1310" w:type="dxa"/>
            <w:tcBorders/>
            <w:vAlign w:val="center"/>
          </w:tcPr>
          <w:p>
            <w:pPr>
              <w:pStyle w:val="TableContents"/>
              <w:bidi w:val="0"/>
              <w:spacing w:before="0" w:after="0"/>
              <w:jc w:val="center"/>
              <w:rPr/>
            </w:pPr>
            <w:r>
              <w:rPr/>
              <w:t>CMA CGM</w:t>
            </w:r>
          </w:p>
        </w:tc>
        <w:tc>
          <w:tcPr>
            <w:tcW w:w="560" w:type="dxa"/>
            <w:tcBorders/>
            <w:vAlign w:val="center"/>
          </w:tcPr>
          <w:p>
            <w:pPr>
              <w:pStyle w:val="TableContents"/>
              <w:bidi w:val="0"/>
              <w:spacing w:before="0" w:after="0"/>
              <w:jc w:val="center"/>
              <w:rPr/>
            </w:pPr>
            <w:r>
              <w:rPr/>
              <w:t>3Q27</w:t>
            </w:r>
          </w:p>
        </w:tc>
        <w:tc>
          <w:tcPr>
            <w:tcW w:w="560" w:type="dxa"/>
            <w:tcBorders/>
            <w:vAlign w:val="center"/>
          </w:tcPr>
          <w:p>
            <w:pPr>
              <w:pStyle w:val="TableContents"/>
              <w:bidi w:val="0"/>
              <w:spacing w:before="0" w:after="0"/>
              <w:jc w:val="center"/>
              <w:rPr/>
            </w:pPr>
            <w:r>
              <w:rPr/>
              <w:t>1Q28</w:t>
            </w:r>
          </w:p>
        </w:tc>
        <w:tc>
          <w:tcPr>
            <w:tcW w:w="1325" w:type="dxa"/>
            <w:tcBorders/>
            <w:vAlign w:val="center"/>
          </w:tcPr>
          <w:p>
            <w:pPr>
              <w:pStyle w:val="TableContents"/>
              <w:bidi w:val="0"/>
              <w:spacing w:lineRule="auto" w:line="240" w:before="0" w:after="0"/>
              <w:jc w:val="center"/>
              <w:rPr/>
            </w:pPr>
            <w:r>
              <w:rPr/>
              <w:t>Footnote (19)</w:t>
            </w:r>
          </w:p>
        </w:tc>
      </w:tr>
      <w:tr>
        <w:trPr/>
        <w:tc>
          <w:tcPr>
            <w:tcW w:w="2225" w:type="dxa"/>
            <w:tcBorders/>
            <w:shd w:fill="CCEEFF" w:val="clear"/>
            <w:vAlign w:val="center"/>
          </w:tcPr>
          <w:p>
            <w:pPr>
              <w:pStyle w:val="TableContents"/>
              <w:bidi w:val="0"/>
              <w:spacing w:before="0" w:after="0"/>
              <w:jc w:val="left"/>
              <w:rPr/>
            </w:pPr>
            <w:r>
              <w:rPr/>
              <w:t>CMA CGM Jamaica</w:t>
            </w:r>
          </w:p>
        </w:tc>
        <w:tc>
          <w:tcPr>
            <w:tcW w:w="560" w:type="dxa"/>
            <w:tcBorders/>
            <w:shd w:fill="CCEEFF" w:val="clear"/>
            <w:vAlign w:val="center"/>
          </w:tcPr>
          <w:p>
            <w:pPr>
              <w:pStyle w:val="TableContents"/>
              <w:bidi w:val="0"/>
              <w:spacing w:before="0" w:after="0"/>
              <w:ind w:left="370" w:right="0" w:hanging="0"/>
              <w:jc w:val="center"/>
              <w:rPr/>
            </w:pPr>
            <w:r>
              <w:rPr/>
              <w:t>4,298</w:t>
            </w:r>
          </w:p>
        </w:tc>
        <w:tc>
          <w:tcPr>
            <w:tcW w:w="680" w:type="dxa"/>
            <w:tcBorders/>
            <w:shd w:fill="CCEEFF" w:val="clear"/>
            <w:vAlign w:val="center"/>
          </w:tcPr>
          <w:p>
            <w:pPr>
              <w:pStyle w:val="TableContents"/>
              <w:bidi w:val="0"/>
              <w:spacing w:before="0" w:after="0"/>
              <w:jc w:val="center"/>
              <w:rPr/>
            </w:pPr>
            <w:r>
              <w:rPr/>
              <w:t>17,272</w:t>
            </w:r>
          </w:p>
        </w:tc>
        <w:tc>
          <w:tcPr>
            <w:tcW w:w="500" w:type="dxa"/>
            <w:tcBorders/>
            <w:shd w:fill="CCEEFF" w:val="clear"/>
            <w:vAlign w:val="center"/>
          </w:tcPr>
          <w:p>
            <w:pPr>
              <w:pStyle w:val="TableContents"/>
              <w:bidi w:val="0"/>
              <w:spacing w:before="0" w:after="0"/>
              <w:ind w:left="100" w:right="0" w:hanging="0"/>
              <w:jc w:val="left"/>
              <w:rPr/>
            </w:pPr>
            <w:r>
              <w:rPr/>
              <w:t>2006</w:t>
            </w:r>
          </w:p>
        </w:tc>
        <w:tc>
          <w:tcPr>
            <w:tcW w:w="1310" w:type="dxa"/>
            <w:tcBorders/>
            <w:shd w:fill="CCEEFF" w:val="clear"/>
            <w:vAlign w:val="center"/>
          </w:tcPr>
          <w:p>
            <w:pPr>
              <w:pStyle w:val="TableContents"/>
              <w:bidi w:val="0"/>
              <w:spacing w:before="0" w:after="0"/>
              <w:jc w:val="center"/>
              <w:rPr/>
            </w:pPr>
            <w:r>
              <w:rPr/>
              <w:t>CMA CGM</w:t>
            </w:r>
          </w:p>
        </w:tc>
        <w:tc>
          <w:tcPr>
            <w:tcW w:w="560" w:type="dxa"/>
            <w:tcBorders/>
            <w:shd w:fill="CCEEFF" w:val="clear"/>
            <w:vAlign w:val="center"/>
          </w:tcPr>
          <w:p>
            <w:pPr>
              <w:pStyle w:val="TableContents"/>
              <w:bidi w:val="0"/>
              <w:spacing w:before="0" w:after="0"/>
              <w:jc w:val="center"/>
              <w:rPr/>
            </w:pPr>
            <w:r>
              <w:rPr/>
              <w:t>1Q28</w:t>
            </w:r>
          </w:p>
        </w:tc>
        <w:tc>
          <w:tcPr>
            <w:tcW w:w="560" w:type="dxa"/>
            <w:tcBorders/>
            <w:shd w:fill="CCEEFF" w:val="clear"/>
            <w:vAlign w:val="center"/>
          </w:tcPr>
          <w:p>
            <w:pPr>
              <w:pStyle w:val="TableContents"/>
              <w:bidi w:val="0"/>
              <w:spacing w:before="0" w:after="0"/>
              <w:jc w:val="center"/>
              <w:rPr/>
            </w:pPr>
            <w:r>
              <w:rPr/>
              <w:t>2Q28</w:t>
            </w:r>
          </w:p>
        </w:tc>
        <w:tc>
          <w:tcPr>
            <w:tcW w:w="1325" w:type="dxa"/>
            <w:tcBorders/>
            <w:shd w:fill="CCEEFF" w:val="clear"/>
            <w:vAlign w:val="center"/>
          </w:tcPr>
          <w:p>
            <w:pPr>
              <w:pStyle w:val="TableContents"/>
              <w:bidi w:val="0"/>
              <w:spacing w:lineRule="auto" w:line="240" w:before="0" w:after="0"/>
              <w:jc w:val="center"/>
              <w:rPr/>
            </w:pPr>
            <w:r>
              <w:rPr/>
              <w:t>Footnote (19)</w:t>
            </w:r>
          </w:p>
        </w:tc>
      </w:tr>
      <w:tr>
        <w:trPr/>
        <w:tc>
          <w:tcPr>
            <w:tcW w:w="2225" w:type="dxa"/>
            <w:tcBorders/>
            <w:vAlign w:val="center"/>
          </w:tcPr>
          <w:p>
            <w:pPr>
              <w:pStyle w:val="TableContents"/>
              <w:bidi w:val="0"/>
              <w:spacing w:before="0" w:after="0"/>
              <w:jc w:val="left"/>
              <w:rPr/>
            </w:pPr>
            <w:r>
              <w:rPr/>
              <w:t>CMA CGM Sambhar</w:t>
            </w:r>
          </w:p>
        </w:tc>
        <w:tc>
          <w:tcPr>
            <w:tcW w:w="560" w:type="dxa"/>
            <w:tcBorders/>
            <w:vAlign w:val="center"/>
          </w:tcPr>
          <w:p>
            <w:pPr>
              <w:pStyle w:val="TableContents"/>
              <w:bidi w:val="0"/>
              <w:spacing w:before="0" w:after="0"/>
              <w:ind w:left="370" w:right="0" w:hanging="0"/>
              <w:jc w:val="center"/>
              <w:rPr/>
            </w:pPr>
            <w:r>
              <w:rPr/>
              <w:t>4,045</w:t>
            </w:r>
          </w:p>
        </w:tc>
        <w:tc>
          <w:tcPr>
            <w:tcW w:w="680" w:type="dxa"/>
            <w:tcBorders/>
            <w:vAlign w:val="center"/>
          </w:tcPr>
          <w:p>
            <w:pPr>
              <w:pStyle w:val="TableContents"/>
              <w:bidi w:val="0"/>
              <w:spacing w:before="0" w:after="0"/>
              <w:jc w:val="center"/>
              <w:rPr/>
            </w:pPr>
            <w:r>
              <w:rPr/>
              <w:t>17,355</w:t>
            </w:r>
          </w:p>
        </w:tc>
        <w:tc>
          <w:tcPr>
            <w:tcW w:w="500" w:type="dxa"/>
            <w:tcBorders/>
            <w:vAlign w:val="center"/>
          </w:tcPr>
          <w:p>
            <w:pPr>
              <w:pStyle w:val="TableContents"/>
              <w:bidi w:val="0"/>
              <w:spacing w:before="0" w:after="0"/>
              <w:ind w:left="100" w:right="0" w:hanging="0"/>
              <w:jc w:val="left"/>
              <w:rPr/>
            </w:pPr>
            <w:r>
              <w:rPr/>
              <w:t>2006</w:t>
            </w:r>
          </w:p>
        </w:tc>
        <w:tc>
          <w:tcPr>
            <w:tcW w:w="1310" w:type="dxa"/>
            <w:tcBorders/>
            <w:vAlign w:val="center"/>
          </w:tcPr>
          <w:p>
            <w:pPr>
              <w:pStyle w:val="TableContents"/>
              <w:bidi w:val="0"/>
              <w:spacing w:before="0" w:after="0"/>
              <w:jc w:val="center"/>
              <w:rPr/>
            </w:pPr>
            <w:r>
              <w:rPr/>
              <w:t>CMA CGM</w:t>
            </w:r>
          </w:p>
        </w:tc>
        <w:tc>
          <w:tcPr>
            <w:tcW w:w="560" w:type="dxa"/>
            <w:tcBorders/>
            <w:vAlign w:val="center"/>
          </w:tcPr>
          <w:p>
            <w:pPr>
              <w:pStyle w:val="TableContents"/>
              <w:bidi w:val="0"/>
              <w:spacing w:before="0" w:after="0"/>
              <w:jc w:val="center"/>
              <w:rPr/>
            </w:pPr>
            <w:r>
              <w:rPr/>
              <w:t>1Q28</w:t>
            </w:r>
          </w:p>
        </w:tc>
        <w:tc>
          <w:tcPr>
            <w:tcW w:w="560" w:type="dxa"/>
            <w:tcBorders/>
            <w:vAlign w:val="center"/>
          </w:tcPr>
          <w:p>
            <w:pPr>
              <w:pStyle w:val="TableContents"/>
              <w:bidi w:val="0"/>
              <w:spacing w:before="0" w:after="0"/>
              <w:jc w:val="center"/>
              <w:rPr/>
            </w:pPr>
            <w:r>
              <w:rPr/>
              <w:t>2Q28</w:t>
            </w:r>
          </w:p>
        </w:tc>
        <w:tc>
          <w:tcPr>
            <w:tcW w:w="1325" w:type="dxa"/>
            <w:tcBorders/>
            <w:vAlign w:val="center"/>
          </w:tcPr>
          <w:p>
            <w:pPr>
              <w:pStyle w:val="TableContents"/>
              <w:bidi w:val="0"/>
              <w:spacing w:lineRule="auto" w:line="240" w:before="0" w:after="0"/>
              <w:jc w:val="center"/>
              <w:rPr/>
            </w:pPr>
            <w:r>
              <w:rPr/>
              <w:t>Footnote (19)</w:t>
            </w:r>
          </w:p>
        </w:tc>
      </w:tr>
      <w:tr>
        <w:trPr/>
        <w:tc>
          <w:tcPr>
            <w:tcW w:w="2225" w:type="dxa"/>
            <w:tcBorders/>
            <w:shd w:fill="CCEEFF" w:val="clear"/>
            <w:vAlign w:val="center"/>
          </w:tcPr>
          <w:p>
            <w:pPr>
              <w:pStyle w:val="TableContents"/>
              <w:bidi w:val="0"/>
              <w:spacing w:before="0" w:after="0"/>
              <w:jc w:val="left"/>
              <w:rPr/>
            </w:pPr>
            <w:r>
              <w:rPr/>
              <w:t>CMA CGM America</w:t>
            </w:r>
          </w:p>
        </w:tc>
        <w:tc>
          <w:tcPr>
            <w:tcW w:w="560" w:type="dxa"/>
            <w:tcBorders/>
            <w:shd w:fill="CCEEFF" w:val="clear"/>
            <w:vAlign w:val="center"/>
          </w:tcPr>
          <w:p>
            <w:pPr>
              <w:pStyle w:val="TableContents"/>
              <w:bidi w:val="0"/>
              <w:spacing w:before="0" w:after="0"/>
              <w:ind w:left="370" w:right="0" w:hanging="0"/>
              <w:jc w:val="center"/>
              <w:rPr/>
            </w:pPr>
            <w:r>
              <w:rPr/>
              <w:t>4,045</w:t>
            </w:r>
          </w:p>
        </w:tc>
        <w:tc>
          <w:tcPr>
            <w:tcW w:w="680" w:type="dxa"/>
            <w:tcBorders/>
            <w:shd w:fill="CCEEFF" w:val="clear"/>
            <w:vAlign w:val="center"/>
          </w:tcPr>
          <w:p>
            <w:pPr>
              <w:pStyle w:val="TableContents"/>
              <w:bidi w:val="0"/>
              <w:spacing w:before="0" w:after="0"/>
              <w:jc w:val="center"/>
              <w:rPr/>
            </w:pPr>
            <w:r>
              <w:rPr/>
              <w:t>17,355</w:t>
            </w:r>
          </w:p>
        </w:tc>
        <w:tc>
          <w:tcPr>
            <w:tcW w:w="500" w:type="dxa"/>
            <w:tcBorders/>
            <w:shd w:fill="CCEEFF" w:val="clear"/>
            <w:vAlign w:val="center"/>
          </w:tcPr>
          <w:p>
            <w:pPr>
              <w:pStyle w:val="TableContents"/>
              <w:bidi w:val="0"/>
              <w:spacing w:before="0" w:after="0"/>
              <w:ind w:left="100" w:right="0" w:hanging="0"/>
              <w:jc w:val="left"/>
              <w:rPr/>
            </w:pPr>
            <w:r>
              <w:rPr/>
              <w:t>2006</w:t>
            </w:r>
          </w:p>
        </w:tc>
        <w:tc>
          <w:tcPr>
            <w:tcW w:w="1310" w:type="dxa"/>
            <w:tcBorders/>
            <w:shd w:fill="CCEEFF" w:val="clear"/>
            <w:vAlign w:val="center"/>
          </w:tcPr>
          <w:p>
            <w:pPr>
              <w:pStyle w:val="TableContents"/>
              <w:bidi w:val="0"/>
              <w:spacing w:before="0" w:after="0"/>
              <w:jc w:val="center"/>
              <w:rPr/>
            </w:pPr>
            <w:r>
              <w:rPr/>
              <w:t>CMA CGM</w:t>
            </w:r>
          </w:p>
        </w:tc>
        <w:tc>
          <w:tcPr>
            <w:tcW w:w="560" w:type="dxa"/>
            <w:tcBorders/>
            <w:shd w:fill="CCEEFF" w:val="clear"/>
            <w:vAlign w:val="center"/>
          </w:tcPr>
          <w:p>
            <w:pPr>
              <w:pStyle w:val="TableContents"/>
              <w:bidi w:val="0"/>
              <w:spacing w:before="0" w:after="0"/>
              <w:jc w:val="center"/>
              <w:rPr/>
            </w:pPr>
            <w:r>
              <w:rPr/>
              <w:t>1Q28</w:t>
            </w:r>
          </w:p>
        </w:tc>
        <w:tc>
          <w:tcPr>
            <w:tcW w:w="560" w:type="dxa"/>
            <w:tcBorders/>
            <w:shd w:fill="CCEEFF" w:val="clear"/>
            <w:vAlign w:val="center"/>
          </w:tcPr>
          <w:p>
            <w:pPr>
              <w:pStyle w:val="TableContents"/>
              <w:bidi w:val="0"/>
              <w:spacing w:before="0" w:after="0"/>
              <w:jc w:val="center"/>
              <w:rPr/>
            </w:pPr>
            <w:r>
              <w:rPr/>
              <w:t>2Q28</w:t>
            </w:r>
          </w:p>
        </w:tc>
        <w:tc>
          <w:tcPr>
            <w:tcW w:w="1325" w:type="dxa"/>
            <w:tcBorders/>
            <w:shd w:fill="CCEEFF" w:val="clear"/>
            <w:vAlign w:val="center"/>
          </w:tcPr>
          <w:p>
            <w:pPr>
              <w:pStyle w:val="TableContents"/>
              <w:bidi w:val="0"/>
              <w:spacing w:lineRule="auto" w:line="240" w:before="0" w:after="0"/>
              <w:jc w:val="center"/>
              <w:rPr/>
            </w:pPr>
            <w:r>
              <w:rPr/>
              <w:t>Footnote (19)</w:t>
            </w:r>
          </w:p>
        </w:tc>
      </w:tr>
      <w:tr>
        <w:trPr/>
        <w:tc>
          <w:tcPr>
            <w:tcW w:w="2225" w:type="dxa"/>
            <w:tcBorders/>
            <w:vAlign w:val="center"/>
          </w:tcPr>
          <w:p>
            <w:pPr>
              <w:pStyle w:val="TableContents"/>
              <w:bidi w:val="0"/>
              <w:spacing w:before="0" w:after="0"/>
              <w:jc w:val="left"/>
              <w:rPr/>
            </w:pPr>
            <w:r>
              <w:rPr/>
              <w:t>GSL Rossi</w:t>
            </w:r>
          </w:p>
        </w:tc>
        <w:tc>
          <w:tcPr>
            <w:tcW w:w="560" w:type="dxa"/>
            <w:tcBorders/>
            <w:vAlign w:val="center"/>
          </w:tcPr>
          <w:p>
            <w:pPr>
              <w:pStyle w:val="TableContents"/>
              <w:bidi w:val="0"/>
              <w:spacing w:before="0" w:after="0"/>
              <w:ind w:left="370" w:right="0" w:hanging="0"/>
              <w:jc w:val="center"/>
              <w:rPr/>
            </w:pPr>
            <w:r>
              <w:rPr/>
              <w:t>3,421</w:t>
            </w:r>
          </w:p>
        </w:tc>
        <w:tc>
          <w:tcPr>
            <w:tcW w:w="680" w:type="dxa"/>
            <w:tcBorders/>
            <w:vAlign w:val="center"/>
          </w:tcPr>
          <w:p>
            <w:pPr>
              <w:pStyle w:val="TableContents"/>
              <w:bidi w:val="0"/>
              <w:spacing w:before="0" w:after="0"/>
              <w:jc w:val="center"/>
              <w:rPr/>
            </w:pPr>
            <w:r>
              <w:rPr/>
              <w:t>16,309</w:t>
            </w:r>
          </w:p>
        </w:tc>
        <w:tc>
          <w:tcPr>
            <w:tcW w:w="500" w:type="dxa"/>
            <w:tcBorders/>
            <w:vAlign w:val="center"/>
          </w:tcPr>
          <w:p>
            <w:pPr>
              <w:pStyle w:val="TableContents"/>
              <w:bidi w:val="0"/>
              <w:spacing w:before="0" w:after="0"/>
              <w:ind w:left="100" w:right="0" w:hanging="0"/>
              <w:jc w:val="left"/>
              <w:rPr/>
            </w:pPr>
            <w:r>
              <w:rPr/>
              <w:t>2012</w:t>
            </w:r>
          </w:p>
        </w:tc>
        <w:tc>
          <w:tcPr>
            <w:tcW w:w="1310" w:type="dxa"/>
            <w:tcBorders/>
            <w:vAlign w:val="center"/>
          </w:tcPr>
          <w:p>
            <w:pPr>
              <w:pStyle w:val="TableContents"/>
              <w:bidi w:val="0"/>
              <w:spacing w:before="0" w:after="0"/>
              <w:jc w:val="center"/>
              <w:rPr/>
            </w:pPr>
            <w:r>
              <w:rPr/>
              <w:t>Maersk</w:t>
            </w:r>
          </w:p>
        </w:tc>
        <w:tc>
          <w:tcPr>
            <w:tcW w:w="560" w:type="dxa"/>
            <w:tcBorders/>
            <w:vAlign w:val="center"/>
          </w:tcPr>
          <w:p>
            <w:pPr>
              <w:pStyle w:val="TableContents"/>
              <w:bidi w:val="0"/>
              <w:spacing w:before="0" w:after="0"/>
              <w:jc w:val="center"/>
              <w:rPr/>
            </w:pPr>
            <w:r>
              <w:rPr/>
              <w:t>1Q29</w:t>
            </w:r>
          </w:p>
        </w:tc>
        <w:tc>
          <w:tcPr>
            <w:tcW w:w="560" w:type="dxa"/>
            <w:tcBorders/>
            <w:vAlign w:val="center"/>
          </w:tcPr>
          <w:p>
            <w:pPr>
              <w:pStyle w:val="TableContents"/>
              <w:bidi w:val="0"/>
              <w:spacing w:before="0" w:after="0"/>
              <w:jc w:val="center"/>
              <w:rPr/>
            </w:pPr>
            <w:r>
              <w:rPr/>
              <w:t>2Q29</w:t>
            </w:r>
          </w:p>
        </w:tc>
        <w:tc>
          <w:tcPr>
            <w:tcW w:w="1325" w:type="dxa"/>
            <w:tcBorders/>
            <w:vAlign w:val="center"/>
          </w:tcPr>
          <w:p>
            <w:pPr>
              <w:pStyle w:val="TableContents"/>
              <w:bidi w:val="0"/>
              <w:spacing w:lineRule="auto" w:line="240" w:before="0" w:after="0"/>
              <w:jc w:val="center"/>
              <w:rPr/>
            </w:pPr>
            <w:r>
              <w:rPr/>
              <w:t>Footnote (20)</w:t>
            </w:r>
          </w:p>
        </w:tc>
      </w:tr>
      <w:tr>
        <w:trPr/>
        <w:tc>
          <w:tcPr>
            <w:tcW w:w="2225" w:type="dxa"/>
            <w:tcBorders/>
            <w:shd w:fill="CCEEFF" w:val="clear"/>
            <w:vAlign w:val="center"/>
          </w:tcPr>
          <w:p>
            <w:pPr>
              <w:pStyle w:val="TableContents"/>
              <w:bidi w:val="0"/>
              <w:spacing w:before="0" w:after="0"/>
              <w:jc w:val="left"/>
              <w:rPr/>
            </w:pPr>
            <w:r>
              <w:rPr/>
              <w:t>GSL Alice</w:t>
            </w:r>
          </w:p>
        </w:tc>
        <w:tc>
          <w:tcPr>
            <w:tcW w:w="560" w:type="dxa"/>
            <w:tcBorders/>
            <w:shd w:fill="CCEEFF" w:val="clear"/>
            <w:vAlign w:val="center"/>
          </w:tcPr>
          <w:p>
            <w:pPr>
              <w:pStyle w:val="TableContents"/>
              <w:bidi w:val="0"/>
              <w:spacing w:before="0" w:after="0"/>
              <w:ind w:left="370" w:right="0" w:hanging="0"/>
              <w:jc w:val="center"/>
              <w:rPr/>
            </w:pPr>
            <w:r>
              <w:rPr/>
              <w:t>3,421</w:t>
            </w:r>
          </w:p>
        </w:tc>
        <w:tc>
          <w:tcPr>
            <w:tcW w:w="680" w:type="dxa"/>
            <w:tcBorders/>
            <w:shd w:fill="CCEEFF" w:val="clear"/>
            <w:vAlign w:val="center"/>
          </w:tcPr>
          <w:p>
            <w:pPr>
              <w:pStyle w:val="TableContents"/>
              <w:bidi w:val="0"/>
              <w:spacing w:before="0" w:after="0"/>
              <w:jc w:val="center"/>
              <w:rPr/>
            </w:pPr>
            <w:r>
              <w:rPr/>
              <w:t>16,543</w:t>
            </w:r>
          </w:p>
        </w:tc>
        <w:tc>
          <w:tcPr>
            <w:tcW w:w="500" w:type="dxa"/>
            <w:tcBorders/>
            <w:shd w:fill="CCEEFF" w:val="clear"/>
            <w:vAlign w:val="center"/>
          </w:tcPr>
          <w:p>
            <w:pPr>
              <w:pStyle w:val="TableContents"/>
              <w:bidi w:val="0"/>
              <w:spacing w:before="0" w:after="0"/>
              <w:ind w:left="100" w:right="0" w:hanging="0"/>
              <w:jc w:val="left"/>
              <w:rPr/>
            </w:pPr>
            <w:r>
              <w:rPr/>
              <w:t>2014</w:t>
            </w:r>
          </w:p>
        </w:tc>
        <w:tc>
          <w:tcPr>
            <w:tcW w:w="1310" w:type="dxa"/>
            <w:tcBorders/>
            <w:shd w:fill="CCEEFF" w:val="clear"/>
            <w:vAlign w:val="center"/>
          </w:tcPr>
          <w:p>
            <w:pPr>
              <w:pStyle w:val="TableContents"/>
              <w:bidi w:val="0"/>
              <w:spacing w:before="0" w:after="0"/>
              <w:jc w:val="center"/>
              <w:rPr/>
            </w:pPr>
            <w:r>
              <w:rPr/>
              <w:t>CMA CGM</w:t>
            </w:r>
          </w:p>
        </w:tc>
        <w:tc>
          <w:tcPr>
            <w:tcW w:w="560" w:type="dxa"/>
            <w:tcBorders/>
            <w:shd w:fill="CCEEFF" w:val="clear"/>
            <w:vAlign w:val="center"/>
          </w:tcPr>
          <w:p>
            <w:pPr>
              <w:pStyle w:val="TableContents"/>
              <w:bidi w:val="0"/>
              <w:spacing w:before="0" w:after="0"/>
              <w:jc w:val="center"/>
              <w:rPr/>
            </w:pPr>
            <w:r>
              <w:rPr/>
              <w:t>2Q28</w:t>
            </w:r>
          </w:p>
        </w:tc>
        <w:tc>
          <w:tcPr>
            <w:tcW w:w="560" w:type="dxa"/>
            <w:tcBorders/>
            <w:shd w:fill="CCEEFF" w:val="clear"/>
            <w:vAlign w:val="center"/>
          </w:tcPr>
          <w:p>
            <w:pPr>
              <w:pStyle w:val="TableContents"/>
              <w:bidi w:val="0"/>
              <w:spacing w:before="0" w:after="0"/>
              <w:jc w:val="center"/>
              <w:rPr/>
            </w:pPr>
            <w:r>
              <w:rPr/>
              <w:t>3Q28</w:t>
            </w:r>
          </w:p>
        </w:tc>
        <w:tc>
          <w:tcPr>
            <w:tcW w:w="1325" w:type="dxa"/>
            <w:tcBorders/>
            <w:shd w:fill="CCEEFF" w:val="clear"/>
            <w:vAlign w:val="center"/>
          </w:tcPr>
          <w:p>
            <w:pPr>
              <w:pStyle w:val="TableContents"/>
              <w:bidi w:val="0"/>
              <w:spacing w:before="0" w:after="0"/>
              <w:jc w:val="center"/>
              <w:rPr/>
            </w:pPr>
            <w:r>
              <w:rPr/>
              <w:t>31,000</w:t>
            </w:r>
          </w:p>
        </w:tc>
      </w:tr>
      <w:tr>
        <w:trPr/>
        <w:tc>
          <w:tcPr>
            <w:tcW w:w="2225" w:type="dxa"/>
            <w:tcBorders/>
            <w:vAlign w:val="center"/>
          </w:tcPr>
          <w:p>
            <w:pPr>
              <w:pStyle w:val="TableContents"/>
              <w:bidi w:val="0"/>
              <w:spacing w:before="0" w:after="0"/>
              <w:jc w:val="left"/>
              <w:rPr/>
            </w:pPr>
            <w:r>
              <w:rPr/>
              <w:t>GSL Eleftheria</w:t>
            </w:r>
          </w:p>
        </w:tc>
        <w:tc>
          <w:tcPr>
            <w:tcW w:w="560" w:type="dxa"/>
            <w:tcBorders/>
            <w:vAlign w:val="center"/>
          </w:tcPr>
          <w:p>
            <w:pPr>
              <w:pStyle w:val="TableContents"/>
              <w:bidi w:val="0"/>
              <w:spacing w:before="0" w:after="0"/>
              <w:ind w:left="370" w:right="0" w:hanging="0"/>
              <w:jc w:val="center"/>
              <w:rPr/>
            </w:pPr>
            <w:r>
              <w:rPr/>
              <w:t>3,421</w:t>
            </w:r>
          </w:p>
        </w:tc>
        <w:tc>
          <w:tcPr>
            <w:tcW w:w="680" w:type="dxa"/>
            <w:tcBorders/>
            <w:vAlign w:val="center"/>
          </w:tcPr>
          <w:p>
            <w:pPr>
              <w:pStyle w:val="TableContents"/>
              <w:bidi w:val="0"/>
              <w:spacing w:before="0" w:after="0"/>
              <w:jc w:val="center"/>
              <w:rPr/>
            </w:pPr>
            <w:r>
              <w:rPr/>
              <w:t>16,642</w:t>
            </w:r>
          </w:p>
        </w:tc>
        <w:tc>
          <w:tcPr>
            <w:tcW w:w="500" w:type="dxa"/>
            <w:tcBorders/>
            <w:vAlign w:val="center"/>
          </w:tcPr>
          <w:p>
            <w:pPr>
              <w:pStyle w:val="TableContents"/>
              <w:bidi w:val="0"/>
              <w:spacing w:before="0" w:after="0"/>
              <w:ind w:left="100" w:right="0" w:hanging="0"/>
              <w:jc w:val="left"/>
              <w:rPr/>
            </w:pPr>
            <w:r>
              <w:rPr/>
              <w:t>2013</w:t>
            </w:r>
          </w:p>
        </w:tc>
        <w:tc>
          <w:tcPr>
            <w:tcW w:w="1310" w:type="dxa"/>
            <w:tcBorders/>
            <w:vAlign w:val="center"/>
          </w:tcPr>
          <w:p>
            <w:pPr>
              <w:pStyle w:val="TableContents"/>
              <w:bidi w:val="0"/>
              <w:spacing w:before="0" w:after="0"/>
              <w:jc w:val="center"/>
              <w:rPr/>
            </w:pPr>
            <w:r>
              <w:rPr/>
              <w:t>Maersk</w:t>
            </w:r>
          </w:p>
        </w:tc>
        <w:tc>
          <w:tcPr>
            <w:tcW w:w="560" w:type="dxa"/>
            <w:tcBorders/>
            <w:vAlign w:val="center"/>
          </w:tcPr>
          <w:p>
            <w:pPr>
              <w:pStyle w:val="TableContents"/>
              <w:bidi w:val="0"/>
              <w:spacing w:before="0" w:after="0"/>
              <w:jc w:val="center"/>
              <w:rPr/>
            </w:pPr>
            <w:r>
              <w:rPr/>
              <w:t>3Q28</w:t>
            </w:r>
          </w:p>
        </w:tc>
        <w:tc>
          <w:tcPr>
            <w:tcW w:w="560" w:type="dxa"/>
            <w:tcBorders/>
            <w:vAlign w:val="center"/>
          </w:tcPr>
          <w:p>
            <w:pPr>
              <w:pStyle w:val="TableContents"/>
              <w:bidi w:val="0"/>
              <w:spacing w:before="0" w:after="0"/>
              <w:jc w:val="center"/>
              <w:rPr/>
            </w:pPr>
            <w:r>
              <w:rPr/>
              <w:t>4Q28</w:t>
            </w:r>
          </w:p>
        </w:tc>
        <w:tc>
          <w:tcPr>
            <w:tcW w:w="1325" w:type="dxa"/>
            <w:tcBorders/>
            <w:vAlign w:val="center"/>
          </w:tcPr>
          <w:p>
            <w:pPr>
              <w:pStyle w:val="TableContents"/>
              <w:bidi w:val="0"/>
              <w:spacing w:before="0" w:after="0"/>
              <w:jc w:val="center"/>
              <w:rPr/>
            </w:pPr>
            <w:r>
              <w:rPr/>
              <w:t>33,000</w:t>
            </w:r>
          </w:p>
        </w:tc>
      </w:tr>
      <w:tr>
        <w:trPr/>
        <w:tc>
          <w:tcPr>
            <w:tcW w:w="2225" w:type="dxa"/>
            <w:tcBorders/>
            <w:shd w:fill="CCECFF" w:val="clear"/>
            <w:vAlign w:val="center"/>
          </w:tcPr>
          <w:p>
            <w:pPr>
              <w:pStyle w:val="TableContents"/>
              <w:bidi w:val="0"/>
              <w:spacing w:before="0" w:after="0"/>
              <w:jc w:val="left"/>
              <w:rPr/>
            </w:pPr>
            <w:r>
              <w:rPr/>
              <w:t>GSL Melina</w:t>
            </w:r>
          </w:p>
        </w:tc>
        <w:tc>
          <w:tcPr>
            <w:tcW w:w="560" w:type="dxa"/>
            <w:tcBorders/>
            <w:shd w:fill="CCECFF" w:val="clear"/>
            <w:vAlign w:val="center"/>
          </w:tcPr>
          <w:p>
            <w:pPr>
              <w:pStyle w:val="TableContents"/>
              <w:bidi w:val="0"/>
              <w:spacing w:before="0" w:after="0"/>
              <w:ind w:left="370" w:right="0" w:hanging="0"/>
              <w:jc w:val="center"/>
              <w:rPr/>
            </w:pPr>
            <w:r>
              <w:rPr/>
              <w:t>3,421</w:t>
            </w:r>
          </w:p>
        </w:tc>
        <w:tc>
          <w:tcPr>
            <w:tcW w:w="680" w:type="dxa"/>
            <w:tcBorders/>
            <w:shd w:fill="CCECFF" w:val="clear"/>
            <w:vAlign w:val="center"/>
          </w:tcPr>
          <w:p>
            <w:pPr>
              <w:pStyle w:val="TableContents"/>
              <w:bidi w:val="0"/>
              <w:spacing w:before="0" w:after="0"/>
              <w:jc w:val="center"/>
              <w:rPr/>
            </w:pPr>
            <w:r>
              <w:rPr/>
              <w:t>16,703</w:t>
            </w:r>
          </w:p>
        </w:tc>
        <w:tc>
          <w:tcPr>
            <w:tcW w:w="500" w:type="dxa"/>
            <w:tcBorders/>
            <w:shd w:fill="CCECFF" w:val="clear"/>
            <w:vAlign w:val="center"/>
          </w:tcPr>
          <w:p>
            <w:pPr>
              <w:pStyle w:val="TableContents"/>
              <w:bidi w:val="0"/>
              <w:spacing w:before="0" w:after="0"/>
              <w:ind w:left="100" w:right="0" w:hanging="0"/>
              <w:jc w:val="left"/>
              <w:rPr/>
            </w:pPr>
            <w:r>
              <w:rPr/>
              <w:t>2013</w:t>
            </w:r>
          </w:p>
        </w:tc>
        <w:tc>
          <w:tcPr>
            <w:tcW w:w="1310" w:type="dxa"/>
            <w:tcBorders/>
            <w:shd w:fill="CCECFF" w:val="clear"/>
            <w:vAlign w:val="center"/>
          </w:tcPr>
          <w:p>
            <w:pPr>
              <w:pStyle w:val="TableContents"/>
              <w:bidi w:val="0"/>
              <w:spacing w:before="0" w:after="0"/>
              <w:jc w:val="center"/>
              <w:rPr/>
            </w:pPr>
            <w:r>
              <w:rPr/>
              <w:t>Maersk</w:t>
            </w:r>
          </w:p>
        </w:tc>
        <w:tc>
          <w:tcPr>
            <w:tcW w:w="560" w:type="dxa"/>
            <w:tcBorders/>
            <w:shd w:fill="CCECFF" w:val="clear"/>
            <w:vAlign w:val="center"/>
          </w:tcPr>
          <w:p>
            <w:pPr>
              <w:pStyle w:val="TableContents"/>
              <w:bidi w:val="0"/>
              <w:spacing w:before="0" w:after="0"/>
              <w:jc w:val="center"/>
              <w:rPr/>
            </w:pPr>
            <w:r>
              <w:rPr/>
              <w:t>4Q29</w:t>
            </w:r>
          </w:p>
        </w:tc>
        <w:tc>
          <w:tcPr>
            <w:tcW w:w="560" w:type="dxa"/>
            <w:tcBorders/>
            <w:shd w:fill="CCECFF" w:val="clear"/>
            <w:vAlign w:val="center"/>
          </w:tcPr>
          <w:p>
            <w:pPr>
              <w:pStyle w:val="TableContents"/>
              <w:bidi w:val="0"/>
              <w:spacing w:before="0" w:after="0"/>
              <w:jc w:val="center"/>
              <w:rPr/>
            </w:pPr>
            <w:r>
              <w:rPr/>
              <w:t>1Q30</w:t>
            </w:r>
          </w:p>
        </w:tc>
        <w:tc>
          <w:tcPr>
            <w:tcW w:w="1325" w:type="dxa"/>
            <w:tcBorders/>
            <w:shd w:fill="CCECFF" w:val="clear"/>
            <w:vAlign w:val="center"/>
          </w:tcPr>
          <w:p>
            <w:pPr>
              <w:pStyle w:val="TableContents"/>
              <w:bidi w:val="0"/>
              <w:spacing w:lineRule="auto" w:line="240" w:before="0" w:after="0"/>
              <w:jc w:val="center"/>
              <w:rPr/>
            </w:pPr>
            <w:r>
              <w:rPr/>
              <w:t>29,900 (21)</w:t>
            </w:r>
          </w:p>
        </w:tc>
      </w:tr>
      <w:tr>
        <w:trPr/>
        <w:tc>
          <w:tcPr>
            <w:tcW w:w="2225" w:type="dxa"/>
            <w:tcBorders/>
            <w:vAlign w:val="center"/>
          </w:tcPr>
          <w:p>
            <w:pPr>
              <w:pStyle w:val="TableContents"/>
              <w:bidi w:val="0"/>
              <w:spacing w:before="0" w:after="0"/>
              <w:jc w:val="left"/>
              <w:rPr/>
            </w:pPr>
            <w:r>
              <w:rPr/>
              <w:t>Athena I</w:t>
            </w:r>
          </w:p>
        </w:tc>
        <w:tc>
          <w:tcPr>
            <w:tcW w:w="560" w:type="dxa"/>
            <w:tcBorders/>
            <w:vAlign w:val="center"/>
          </w:tcPr>
          <w:p>
            <w:pPr>
              <w:pStyle w:val="TableContents"/>
              <w:bidi w:val="0"/>
              <w:spacing w:before="0" w:after="0"/>
              <w:ind w:left="370" w:right="0" w:hanging="0"/>
              <w:jc w:val="center"/>
              <w:rPr/>
            </w:pPr>
            <w:r>
              <w:rPr/>
              <w:t>2,980</w:t>
            </w:r>
          </w:p>
        </w:tc>
        <w:tc>
          <w:tcPr>
            <w:tcW w:w="680" w:type="dxa"/>
            <w:tcBorders/>
            <w:vAlign w:val="center"/>
          </w:tcPr>
          <w:p>
            <w:pPr>
              <w:pStyle w:val="TableContents"/>
              <w:bidi w:val="0"/>
              <w:spacing w:before="0" w:after="0"/>
              <w:jc w:val="center"/>
              <w:rPr/>
            </w:pPr>
            <w:r>
              <w:rPr/>
              <w:t>13,538</w:t>
            </w:r>
          </w:p>
        </w:tc>
        <w:tc>
          <w:tcPr>
            <w:tcW w:w="500" w:type="dxa"/>
            <w:tcBorders/>
            <w:vAlign w:val="center"/>
          </w:tcPr>
          <w:p>
            <w:pPr>
              <w:pStyle w:val="TableContents"/>
              <w:bidi w:val="0"/>
              <w:spacing w:before="0" w:after="0"/>
              <w:ind w:left="100" w:right="0" w:hanging="0"/>
              <w:jc w:val="left"/>
              <w:rPr/>
            </w:pPr>
            <w:r>
              <w:rPr/>
              <w:t>2003</w:t>
            </w:r>
          </w:p>
        </w:tc>
        <w:tc>
          <w:tcPr>
            <w:tcW w:w="1310" w:type="dxa"/>
            <w:tcBorders/>
            <w:vAlign w:val="center"/>
          </w:tcPr>
          <w:p>
            <w:pPr>
              <w:pStyle w:val="TableContents"/>
              <w:bidi w:val="0"/>
              <w:spacing w:before="0" w:after="0"/>
              <w:jc w:val="center"/>
              <w:rPr/>
            </w:pPr>
            <w:r>
              <w:rPr/>
              <w:t>MSC</w:t>
            </w:r>
          </w:p>
        </w:tc>
        <w:tc>
          <w:tcPr>
            <w:tcW w:w="560" w:type="dxa"/>
            <w:tcBorders/>
            <w:vAlign w:val="center"/>
          </w:tcPr>
          <w:p>
            <w:pPr>
              <w:pStyle w:val="TableContents"/>
              <w:bidi w:val="0"/>
              <w:spacing w:before="0" w:after="0"/>
              <w:jc w:val="center"/>
              <w:rPr/>
            </w:pPr>
            <w:r>
              <w:rPr/>
              <w:t>2Q27</w:t>
            </w:r>
          </w:p>
        </w:tc>
        <w:tc>
          <w:tcPr>
            <w:tcW w:w="560" w:type="dxa"/>
            <w:tcBorders/>
            <w:vAlign w:val="center"/>
          </w:tcPr>
          <w:p>
            <w:pPr>
              <w:pStyle w:val="TableContents"/>
              <w:bidi w:val="0"/>
              <w:spacing w:before="0" w:after="0"/>
              <w:jc w:val="center"/>
              <w:rPr/>
            </w:pPr>
            <w:r>
              <w:rPr/>
              <w:t>3Q27</w:t>
            </w:r>
          </w:p>
        </w:tc>
        <w:tc>
          <w:tcPr>
            <w:tcW w:w="1325" w:type="dxa"/>
            <w:tcBorders/>
            <w:vAlign w:val="center"/>
          </w:tcPr>
          <w:p>
            <w:pPr>
              <w:pStyle w:val="TableContents"/>
              <w:bidi w:val="0"/>
              <w:spacing w:lineRule="auto" w:line="240" w:before="0" w:after="0"/>
              <w:jc w:val="center"/>
              <w:rPr/>
            </w:pPr>
            <w:r>
              <w:rPr/>
              <w:t>Footnote (22)</w:t>
            </w:r>
          </w:p>
        </w:tc>
      </w:tr>
      <w:tr>
        <w:trPr/>
        <w:tc>
          <w:tcPr>
            <w:tcW w:w="2225" w:type="dxa"/>
            <w:tcBorders/>
            <w:shd w:fill="CCECFF" w:val="clear"/>
            <w:vAlign w:val="center"/>
          </w:tcPr>
          <w:p>
            <w:pPr>
              <w:pStyle w:val="TableContents"/>
              <w:bidi w:val="0"/>
              <w:spacing w:before="0" w:after="0"/>
              <w:jc w:val="left"/>
              <w:rPr/>
            </w:pPr>
            <w:r>
              <w:rPr/>
              <w:t>GSL Valerie</w:t>
            </w:r>
          </w:p>
        </w:tc>
        <w:tc>
          <w:tcPr>
            <w:tcW w:w="560" w:type="dxa"/>
            <w:tcBorders/>
            <w:shd w:fill="CCECFF" w:val="clear"/>
            <w:vAlign w:val="center"/>
          </w:tcPr>
          <w:p>
            <w:pPr>
              <w:pStyle w:val="TableContents"/>
              <w:bidi w:val="0"/>
              <w:spacing w:before="0" w:after="0"/>
              <w:ind w:left="370" w:right="0" w:hanging="0"/>
              <w:jc w:val="center"/>
              <w:rPr/>
            </w:pPr>
            <w:r>
              <w:rPr/>
              <w:t>2,824</w:t>
            </w:r>
          </w:p>
        </w:tc>
        <w:tc>
          <w:tcPr>
            <w:tcW w:w="680" w:type="dxa"/>
            <w:tcBorders/>
            <w:shd w:fill="CCECFF" w:val="clear"/>
            <w:vAlign w:val="center"/>
          </w:tcPr>
          <w:p>
            <w:pPr>
              <w:pStyle w:val="TableContents"/>
              <w:bidi w:val="0"/>
              <w:spacing w:before="0" w:after="0"/>
              <w:jc w:val="center"/>
              <w:rPr/>
            </w:pPr>
            <w:r>
              <w:rPr/>
              <w:t>11,971</w:t>
            </w:r>
          </w:p>
        </w:tc>
        <w:tc>
          <w:tcPr>
            <w:tcW w:w="500" w:type="dxa"/>
            <w:tcBorders/>
            <w:shd w:fill="CCECFF" w:val="clear"/>
            <w:vAlign w:val="center"/>
          </w:tcPr>
          <w:p>
            <w:pPr>
              <w:pStyle w:val="TableContents"/>
              <w:bidi w:val="0"/>
              <w:spacing w:before="0" w:after="0"/>
              <w:ind w:left="100" w:right="0" w:hanging="0"/>
              <w:jc w:val="left"/>
              <w:rPr/>
            </w:pPr>
            <w:r>
              <w:rPr/>
              <w:t>2005</w:t>
            </w:r>
          </w:p>
        </w:tc>
        <w:tc>
          <w:tcPr>
            <w:tcW w:w="1310" w:type="dxa"/>
            <w:tcBorders/>
            <w:shd w:fill="CCECFF" w:val="clear"/>
            <w:vAlign w:val="center"/>
          </w:tcPr>
          <w:p>
            <w:pPr>
              <w:pStyle w:val="TableContents"/>
              <w:bidi w:val="0"/>
              <w:spacing w:before="0" w:after="0"/>
              <w:jc w:val="center"/>
              <w:rPr/>
            </w:pPr>
            <w:r>
              <w:rPr/>
              <w:t>ZIM</w:t>
            </w:r>
          </w:p>
        </w:tc>
        <w:tc>
          <w:tcPr>
            <w:tcW w:w="560" w:type="dxa"/>
            <w:tcBorders/>
            <w:shd w:fill="CCECFF" w:val="clear"/>
            <w:vAlign w:val="center"/>
          </w:tcPr>
          <w:p>
            <w:pPr>
              <w:pStyle w:val="TableContents"/>
              <w:bidi w:val="0"/>
              <w:spacing w:before="0" w:after="0"/>
              <w:jc w:val="center"/>
              <w:rPr/>
            </w:pPr>
            <w:r>
              <w:rPr/>
              <w:t>2Q27</w:t>
            </w:r>
          </w:p>
        </w:tc>
        <w:tc>
          <w:tcPr>
            <w:tcW w:w="560" w:type="dxa"/>
            <w:tcBorders/>
            <w:shd w:fill="CCECFF" w:val="clear"/>
            <w:vAlign w:val="center"/>
          </w:tcPr>
          <w:p>
            <w:pPr>
              <w:pStyle w:val="TableContents"/>
              <w:bidi w:val="0"/>
              <w:spacing w:before="0" w:after="0"/>
              <w:jc w:val="center"/>
              <w:rPr/>
            </w:pPr>
            <w:r>
              <w:rPr/>
              <w:t>3Q27</w:t>
            </w:r>
          </w:p>
        </w:tc>
        <w:tc>
          <w:tcPr>
            <w:tcW w:w="1325" w:type="dxa"/>
            <w:tcBorders/>
            <w:shd w:fill="CCECFF" w:val="clear"/>
            <w:vAlign w:val="center"/>
          </w:tcPr>
          <w:p>
            <w:pPr>
              <w:pStyle w:val="TableContents"/>
              <w:bidi w:val="0"/>
              <w:spacing w:before="0" w:after="0"/>
              <w:jc w:val="center"/>
              <w:rPr/>
            </w:pPr>
            <w:r>
              <w:rPr/>
              <w:t>27,000</w:t>
            </w:r>
          </w:p>
        </w:tc>
      </w:tr>
      <w:tr>
        <w:trPr/>
        <w:tc>
          <w:tcPr>
            <w:tcW w:w="2225" w:type="dxa"/>
            <w:tcBorders/>
            <w:vAlign w:val="center"/>
          </w:tcPr>
          <w:p>
            <w:pPr>
              <w:pStyle w:val="TableContents"/>
              <w:bidi w:val="0"/>
              <w:spacing w:before="0" w:after="0"/>
              <w:jc w:val="left"/>
              <w:rPr/>
            </w:pPr>
            <w:r>
              <w:rPr/>
              <w:t>GSL Mamitsa</w:t>
            </w:r>
          </w:p>
        </w:tc>
        <w:tc>
          <w:tcPr>
            <w:tcW w:w="560" w:type="dxa"/>
            <w:tcBorders/>
            <w:vAlign w:val="center"/>
          </w:tcPr>
          <w:p>
            <w:pPr>
              <w:pStyle w:val="TableContents"/>
              <w:bidi w:val="0"/>
              <w:spacing w:before="0" w:after="0"/>
              <w:ind w:left="370" w:right="0" w:hanging="0"/>
              <w:jc w:val="center"/>
              <w:rPr/>
            </w:pPr>
            <w:r>
              <w:rPr/>
              <w:t>2,824</w:t>
            </w:r>
          </w:p>
        </w:tc>
        <w:tc>
          <w:tcPr>
            <w:tcW w:w="680" w:type="dxa"/>
            <w:tcBorders/>
            <w:vAlign w:val="center"/>
          </w:tcPr>
          <w:p>
            <w:pPr>
              <w:pStyle w:val="TableContents"/>
              <w:bidi w:val="0"/>
              <w:spacing w:before="0" w:after="0"/>
              <w:jc w:val="center"/>
              <w:rPr/>
            </w:pPr>
            <w:r>
              <w:rPr/>
              <w:t>11,949</w:t>
            </w:r>
          </w:p>
        </w:tc>
        <w:tc>
          <w:tcPr>
            <w:tcW w:w="500" w:type="dxa"/>
            <w:tcBorders/>
            <w:vAlign w:val="center"/>
          </w:tcPr>
          <w:p>
            <w:pPr>
              <w:pStyle w:val="TableContents"/>
              <w:bidi w:val="0"/>
              <w:spacing w:before="0" w:after="0"/>
              <w:ind w:left="100" w:right="0" w:hanging="0"/>
              <w:jc w:val="left"/>
              <w:rPr/>
            </w:pPr>
            <w:r>
              <w:rPr/>
              <w:t>2007</w:t>
            </w:r>
          </w:p>
        </w:tc>
        <w:tc>
          <w:tcPr>
            <w:tcW w:w="1310" w:type="dxa"/>
            <w:tcBorders/>
            <w:vAlign w:val="center"/>
          </w:tcPr>
          <w:p>
            <w:pPr>
              <w:pStyle w:val="TableContents"/>
              <w:bidi w:val="0"/>
              <w:spacing w:before="0" w:after="0"/>
              <w:jc w:val="center"/>
              <w:rPr/>
            </w:pPr>
            <w:r>
              <w:rPr/>
              <w:t>RCL</w:t>
            </w:r>
          </w:p>
        </w:tc>
        <w:tc>
          <w:tcPr>
            <w:tcW w:w="560" w:type="dxa"/>
            <w:tcBorders/>
            <w:vAlign w:val="center"/>
          </w:tcPr>
          <w:p>
            <w:pPr>
              <w:pStyle w:val="TableContents"/>
              <w:bidi w:val="0"/>
              <w:spacing w:before="0" w:after="0"/>
              <w:jc w:val="center"/>
              <w:rPr/>
            </w:pPr>
            <w:r>
              <w:rPr/>
              <w:t>1Q28</w:t>
            </w:r>
          </w:p>
        </w:tc>
        <w:tc>
          <w:tcPr>
            <w:tcW w:w="560" w:type="dxa"/>
            <w:tcBorders/>
            <w:vAlign w:val="center"/>
          </w:tcPr>
          <w:p>
            <w:pPr>
              <w:pStyle w:val="TableContents"/>
              <w:bidi w:val="0"/>
              <w:spacing w:before="0" w:after="0"/>
              <w:jc w:val="center"/>
              <w:rPr/>
            </w:pPr>
            <w:r>
              <w:rPr/>
              <w:t>2Q28</w:t>
            </w:r>
          </w:p>
        </w:tc>
        <w:tc>
          <w:tcPr>
            <w:tcW w:w="1325" w:type="dxa"/>
            <w:tcBorders/>
            <w:vAlign w:val="center"/>
          </w:tcPr>
          <w:p>
            <w:pPr>
              <w:pStyle w:val="TableContents"/>
              <w:bidi w:val="0"/>
              <w:spacing w:before="0" w:after="0"/>
              <w:jc w:val="center"/>
              <w:rPr/>
            </w:pPr>
            <w:r>
              <w:rPr/>
              <w:t>28,000</w:t>
            </w:r>
          </w:p>
        </w:tc>
      </w:tr>
      <w:tr>
        <w:trPr/>
        <w:tc>
          <w:tcPr>
            <w:tcW w:w="2225" w:type="dxa"/>
            <w:tcBorders/>
            <w:shd w:fill="CCECFF" w:val="clear"/>
            <w:vAlign w:val="center"/>
          </w:tcPr>
          <w:p>
            <w:pPr>
              <w:pStyle w:val="TableContents"/>
              <w:bidi w:val="0"/>
              <w:spacing w:before="0" w:after="0"/>
              <w:jc w:val="left"/>
              <w:rPr/>
            </w:pPr>
            <w:r>
              <w:rPr/>
              <w:t>GSL Lalo</w:t>
            </w:r>
          </w:p>
        </w:tc>
        <w:tc>
          <w:tcPr>
            <w:tcW w:w="560" w:type="dxa"/>
            <w:tcBorders/>
            <w:shd w:fill="CCECFF" w:val="clear"/>
            <w:vAlign w:val="center"/>
          </w:tcPr>
          <w:p>
            <w:pPr>
              <w:pStyle w:val="TableContents"/>
              <w:bidi w:val="0"/>
              <w:spacing w:before="0" w:after="0"/>
              <w:ind w:left="370" w:right="0" w:hanging="0"/>
              <w:jc w:val="center"/>
              <w:rPr/>
            </w:pPr>
            <w:r>
              <w:rPr/>
              <w:t>2,824</w:t>
            </w:r>
          </w:p>
        </w:tc>
        <w:tc>
          <w:tcPr>
            <w:tcW w:w="680" w:type="dxa"/>
            <w:tcBorders/>
            <w:shd w:fill="CCECFF" w:val="clear"/>
            <w:vAlign w:val="center"/>
          </w:tcPr>
          <w:p>
            <w:pPr>
              <w:pStyle w:val="TableContents"/>
              <w:bidi w:val="0"/>
              <w:spacing w:before="0" w:after="0"/>
              <w:jc w:val="center"/>
              <w:rPr/>
            </w:pPr>
            <w:r>
              <w:rPr/>
              <w:t>11,950</w:t>
            </w:r>
          </w:p>
        </w:tc>
        <w:tc>
          <w:tcPr>
            <w:tcW w:w="500" w:type="dxa"/>
            <w:tcBorders/>
            <w:shd w:fill="CCECFF" w:val="clear"/>
            <w:vAlign w:val="center"/>
          </w:tcPr>
          <w:p>
            <w:pPr>
              <w:pStyle w:val="TableContents"/>
              <w:bidi w:val="0"/>
              <w:spacing w:before="0" w:after="0"/>
              <w:ind w:left="100" w:right="0" w:hanging="0"/>
              <w:jc w:val="left"/>
              <w:rPr/>
            </w:pPr>
            <w:r>
              <w:rPr/>
              <w:t>2006</w:t>
            </w:r>
          </w:p>
        </w:tc>
        <w:tc>
          <w:tcPr>
            <w:tcW w:w="1310" w:type="dxa"/>
            <w:tcBorders/>
            <w:shd w:fill="CCECFF" w:val="clear"/>
            <w:vAlign w:val="center"/>
          </w:tcPr>
          <w:p>
            <w:pPr>
              <w:pStyle w:val="TableContents"/>
              <w:bidi w:val="0"/>
              <w:spacing w:before="0" w:after="0"/>
              <w:jc w:val="center"/>
              <w:rPr/>
            </w:pPr>
            <w:r>
              <w:rPr/>
              <w:t>MSC</w:t>
            </w:r>
          </w:p>
        </w:tc>
        <w:tc>
          <w:tcPr>
            <w:tcW w:w="560" w:type="dxa"/>
            <w:tcBorders/>
            <w:shd w:fill="CCECFF" w:val="clear"/>
            <w:vAlign w:val="center"/>
          </w:tcPr>
          <w:p>
            <w:pPr>
              <w:pStyle w:val="TableContents"/>
              <w:bidi w:val="0"/>
              <w:spacing w:before="0" w:after="0"/>
              <w:jc w:val="center"/>
              <w:rPr/>
            </w:pPr>
            <w:r>
              <w:rPr/>
              <w:t>2Q27</w:t>
            </w:r>
          </w:p>
        </w:tc>
        <w:tc>
          <w:tcPr>
            <w:tcW w:w="560" w:type="dxa"/>
            <w:tcBorders/>
            <w:shd w:fill="CCECFF" w:val="clear"/>
            <w:vAlign w:val="center"/>
          </w:tcPr>
          <w:p>
            <w:pPr>
              <w:pStyle w:val="TableContents"/>
              <w:bidi w:val="0"/>
              <w:spacing w:before="0" w:after="0"/>
              <w:jc w:val="center"/>
              <w:rPr/>
            </w:pPr>
            <w:r>
              <w:rPr/>
              <w:t>3Q27</w:t>
            </w:r>
          </w:p>
        </w:tc>
        <w:tc>
          <w:tcPr>
            <w:tcW w:w="1325" w:type="dxa"/>
            <w:tcBorders/>
            <w:shd w:fill="CCECFF" w:val="clear"/>
            <w:vAlign w:val="center"/>
          </w:tcPr>
          <w:p>
            <w:pPr>
              <w:pStyle w:val="TableContents"/>
              <w:bidi w:val="0"/>
              <w:spacing w:lineRule="auto" w:line="240" w:before="0" w:after="0"/>
              <w:jc w:val="center"/>
              <w:rPr/>
            </w:pPr>
            <w:r>
              <w:rPr/>
              <w:t>Footnote (23)</w:t>
            </w:r>
          </w:p>
        </w:tc>
      </w:tr>
      <w:tr>
        <w:trPr/>
        <w:tc>
          <w:tcPr>
            <w:tcW w:w="2225" w:type="dxa"/>
            <w:tcBorders/>
            <w:vAlign w:val="center"/>
          </w:tcPr>
          <w:p>
            <w:pPr>
              <w:pStyle w:val="TableContents"/>
              <w:bidi w:val="0"/>
              <w:spacing w:before="0" w:after="0"/>
              <w:jc w:val="left"/>
              <w:rPr/>
            </w:pPr>
            <w:r>
              <w:rPr/>
              <w:t>GSL Mercer</w:t>
            </w:r>
          </w:p>
        </w:tc>
        <w:tc>
          <w:tcPr>
            <w:tcW w:w="560" w:type="dxa"/>
            <w:tcBorders/>
            <w:vAlign w:val="center"/>
          </w:tcPr>
          <w:p>
            <w:pPr>
              <w:pStyle w:val="TableContents"/>
              <w:bidi w:val="0"/>
              <w:spacing w:before="0" w:after="0"/>
              <w:ind w:left="370" w:right="0" w:hanging="0"/>
              <w:jc w:val="center"/>
              <w:rPr/>
            </w:pPr>
            <w:r>
              <w:rPr/>
              <w:t>2,824</w:t>
            </w:r>
          </w:p>
        </w:tc>
        <w:tc>
          <w:tcPr>
            <w:tcW w:w="680" w:type="dxa"/>
            <w:tcBorders/>
            <w:vAlign w:val="center"/>
          </w:tcPr>
          <w:p>
            <w:pPr>
              <w:pStyle w:val="TableContents"/>
              <w:bidi w:val="0"/>
              <w:spacing w:before="0" w:after="0"/>
              <w:jc w:val="center"/>
              <w:rPr/>
            </w:pPr>
            <w:r>
              <w:rPr/>
              <w:t>11,970</w:t>
            </w:r>
          </w:p>
        </w:tc>
        <w:tc>
          <w:tcPr>
            <w:tcW w:w="500" w:type="dxa"/>
            <w:tcBorders/>
            <w:vAlign w:val="center"/>
          </w:tcPr>
          <w:p>
            <w:pPr>
              <w:pStyle w:val="TableContents"/>
              <w:bidi w:val="0"/>
              <w:spacing w:before="0" w:after="0"/>
              <w:ind w:left="100" w:right="0" w:hanging="0"/>
              <w:jc w:val="left"/>
              <w:rPr/>
            </w:pPr>
            <w:r>
              <w:rPr/>
              <w:t>2007</w:t>
            </w:r>
          </w:p>
        </w:tc>
        <w:tc>
          <w:tcPr>
            <w:tcW w:w="1310" w:type="dxa"/>
            <w:tcBorders/>
            <w:vAlign w:val="center"/>
          </w:tcPr>
          <w:p>
            <w:pPr>
              <w:pStyle w:val="TableContents"/>
              <w:bidi w:val="0"/>
              <w:spacing w:before="0" w:after="0"/>
              <w:jc w:val="center"/>
              <w:rPr/>
            </w:pPr>
            <w:r>
              <w:rPr/>
              <w:t>ONE</w:t>
            </w:r>
          </w:p>
        </w:tc>
        <w:tc>
          <w:tcPr>
            <w:tcW w:w="560" w:type="dxa"/>
            <w:tcBorders/>
            <w:vAlign w:val="center"/>
          </w:tcPr>
          <w:p>
            <w:pPr>
              <w:pStyle w:val="TableContents"/>
              <w:bidi w:val="0"/>
              <w:spacing w:before="0" w:after="0"/>
              <w:jc w:val="center"/>
              <w:rPr/>
            </w:pPr>
            <w:r>
              <w:rPr/>
              <w:t>1Q27</w:t>
            </w:r>
          </w:p>
        </w:tc>
        <w:tc>
          <w:tcPr>
            <w:tcW w:w="560" w:type="dxa"/>
            <w:tcBorders/>
            <w:vAlign w:val="center"/>
          </w:tcPr>
          <w:p>
            <w:pPr>
              <w:pStyle w:val="TableContents"/>
              <w:bidi w:val="0"/>
              <w:spacing w:before="0" w:after="0"/>
              <w:jc w:val="center"/>
              <w:rPr/>
            </w:pPr>
            <w:r>
              <w:rPr/>
              <w:t>2Q27</w:t>
            </w:r>
          </w:p>
        </w:tc>
        <w:tc>
          <w:tcPr>
            <w:tcW w:w="1325" w:type="dxa"/>
            <w:tcBorders/>
            <w:vAlign w:val="center"/>
          </w:tcPr>
          <w:p>
            <w:pPr>
              <w:pStyle w:val="TableContents"/>
              <w:bidi w:val="0"/>
              <w:spacing w:before="0" w:after="0"/>
              <w:jc w:val="center"/>
              <w:rPr/>
            </w:pPr>
            <w:r>
              <w:rPr/>
              <w:t>24,500</w:t>
            </w:r>
          </w:p>
        </w:tc>
      </w:tr>
      <w:tr>
        <w:trPr/>
        <w:tc>
          <w:tcPr>
            <w:tcW w:w="2225" w:type="dxa"/>
            <w:tcBorders/>
            <w:shd w:fill="CCECFF" w:val="clear"/>
            <w:vAlign w:val="center"/>
          </w:tcPr>
          <w:p>
            <w:pPr>
              <w:pStyle w:val="TableContents"/>
              <w:bidi w:val="0"/>
              <w:spacing w:before="0" w:after="0"/>
              <w:jc w:val="left"/>
              <w:rPr/>
            </w:pPr>
            <w:r>
              <w:rPr/>
              <w:t>GSL Elizabeth</w:t>
            </w:r>
          </w:p>
        </w:tc>
        <w:tc>
          <w:tcPr>
            <w:tcW w:w="560" w:type="dxa"/>
            <w:tcBorders/>
            <w:shd w:fill="CCECFF" w:val="clear"/>
            <w:vAlign w:val="center"/>
          </w:tcPr>
          <w:p>
            <w:pPr>
              <w:pStyle w:val="TableContents"/>
              <w:bidi w:val="0"/>
              <w:spacing w:before="0" w:after="0"/>
              <w:ind w:left="370" w:right="0" w:hanging="0"/>
              <w:jc w:val="center"/>
              <w:rPr/>
            </w:pPr>
            <w:r>
              <w:rPr/>
              <w:t>2,741</w:t>
            </w:r>
          </w:p>
        </w:tc>
        <w:tc>
          <w:tcPr>
            <w:tcW w:w="680" w:type="dxa"/>
            <w:tcBorders/>
            <w:shd w:fill="CCECFF" w:val="clear"/>
            <w:vAlign w:val="center"/>
          </w:tcPr>
          <w:p>
            <w:pPr>
              <w:pStyle w:val="TableContents"/>
              <w:bidi w:val="0"/>
              <w:spacing w:before="0" w:after="0"/>
              <w:jc w:val="center"/>
              <w:rPr/>
            </w:pPr>
            <w:r>
              <w:rPr/>
              <w:t>11,530</w:t>
            </w:r>
          </w:p>
        </w:tc>
        <w:tc>
          <w:tcPr>
            <w:tcW w:w="500" w:type="dxa"/>
            <w:tcBorders/>
            <w:shd w:fill="CCECFF" w:val="clear"/>
            <w:vAlign w:val="center"/>
          </w:tcPr>
          <w:p>
            <w:pPr>
              <w:pStyle w:val="TableContents"/>
              <w:bidi w:val="0"/>
              <w:spacing w:before="0" w:after="0"/>
              <w:ind w:left="100" w:right="0" w:hanging="0"/>
              <w:jc w:val="left"/>
              <w:rPr/>
            </w:pPr>
            <w:r>
              <w:rPr/>
              <w:t>2006</w:t>
            </w:r>
          </w:p>
        </w:tc>
        <w:tc>
          <w:tcPr>
            <w:tcW w:w="1310" w:type="dxa"/>
            <w:tcBorders/>
            <w:shd w:fill="CCECFF" w:val="clear"/>
            <w:vAlign w:val="center"/>
          </w:tcPr>
          <w:p>
            <w:pPr>
              <w:pStyle w:val="TableContents"/>
              <w:bidi w:val="0"/>
              <w:spacing w:before="0" w:after="0"/>
              <w:jc w:val="center"/>
              <w:rPr/>
            </w:pPr>
            <w:r>
              <w:rPr/>
              <w:t>Maersk</w:t>
            </w:r>
          </w:p>
        </w:tc>
        <w:tc>
          <w:tcPr>
            <w:tcW w:w="560" w:type="dxa"/>
            <w:tcBorders/>
            <w:shd w:fill="CCECFF" w:val="clear"/>
            <w:vAlign w:val="center"/>
          </w:tcPr>
          <w:p>
            <w:pPr>
              <w:pStyle w:val="TableContents"/>
              <w:bidi w:val="0"/>
              <w:spacing w:before="0" w:after="0"/>
              <w:jc w:val="center"/>
              <w:rPr/>
            </w:pPr>
            <w:r>
              <w:rPr/>
              <w:t>3Q28</w:t>
            </w:r>
          </w:p>
        </w:tc>
        <w:tc>
          <w:tcPr>
            <w:tcW w:w="560" w:type="dxa"/>
            <w:tcBorders/>
            <w:shd w:fill="CCECFF" w:val="clear"/>
            <w:vAlign w:val="center"/>
          </w:tcPr>
          <w:p>
            <w:pPr>
              <w:pStyle w:val="TableContents"/>
              <w:bidi w:val="0"/>
              <w:spacing w:before="0" w:after="0"/>
              <w:jc w:val="center"/>
              <w:rPr/>
            </w:pPr>
            <w:r>
              <w:rPr/>
              <w:t>4Q28</w:t>
            </w:r>
          </w:p>
        </w:tc>
        <w:tc>
          <w:tcPr>
            <w:tcW w:w="1325" w:type="dxa"/>
            <w:tcBorders/>
            <w:shd w:fill="CCECFF" w:val="clear"/>
            <w:vAlign w:val="center"/>
          </w:tcPr>
          <w:p>
            <w:pPr>
              <w:pStyle w:val="TableContents"/>
              <w:bidi w:val="0"/>
              <w:spacing w:lineRule="auto" w:line="240" w:before="0" w:after="0"/>
              <w:jc w:val="center"/>
              <w:rPr/>
            </w:pPr>
            <w:r>
              <w:rPr/>
              <w:t>20,360 (24)</w:t>
            </w:r>
          </w:p>
        </w:tc>
      </w:tr>
      <w:tr>
        <w:trPr/>
        <w:tc>
          <w:tcPr>
            <w:tcW w:w="2225" w:type="dxa"/>
            <w:tcBorders/>
            <w:vAlign w:val="center"/>
          </w:tcPr>
          <w:p>
            <w:pPr>
              <w:pStyle w:val="TableContents"/>
              <w:bidi w:val="0"/>
              <w:spacing w:before="0" w:after="0"/>
              <w:jc w:val="left"/>
              <w:rPr/>
            </w:pPr>
            <w:r>
              <w:rPr/>
              <w:t>Newyorker</w:t>
            </w:r>
          </w:p>
        </w:tc>
        <w:tc>
          <w:tcPr>
            <w:tcW w:w="560" w:type="dxa"/>
            <w:tcBorders/>
            <w:vAlign w:val="center"/>
          </w:tcPr>
          <w:p>
            <w:pPr>
              <w:pStyle w:val="TableContents"/>
              <w:bidi w:val="0"/>
              <w:spacing w:before="0" w:after="0"/>
              <w:ind w:left="370" w:right="0" w:hanging="0"/>
              <w:jc w:val="center"/>
              <w:rPr/>
            </w:pPr>
            <w:r>
              <w:rPr/>
              <w:t>2,635</w:t>
            </w:r>
          </w:p>
        </w:tc>
        <w:tc>
          <w:tcPr>
            <w:tcW w:w="680" w:type="dxa"/>
            <w:tcBorders/>
            <w:vAlign w:val="center"/>
          </w:tcPr>
          <w:p>
            <w:pPr>
              <w:pStyle w:val="TableContents"/>
              <w:bidi w:val="0"/>
              <w:spacing w:before="0" w:after="0"/>
              <w:jc w:val="center"/>
              <w:rPr/>
            </w:pPr>
            <w:r>
              <w:rPr/>
              <w:t>11,463</w:t>
            </w:r>
          </w:p>
        </w:tc>
        <w:tc>
          <w:tcPr>
            <w:tcW w:w="500" w:type="dxa"/>
            <w:tcBorders/>
            <w:vAlign w:val="center"/>
          </w:tcPr>
          <w:p>
            <w:pPr>
              <w:pStyle w:val="TableContents"/>
              <w:bidi w:val="0"/>
              <w:spacing w:before="0" w:after="0"/>
              <w:ind w:left="100" w:right="0" w:hanging="0"/>
              <w:jc w:val="left"/>
              <w:rPr/>
            </w:pPr>
            <w:r>
              <w:rPr/>
              <w:t>2001</w:t>
            </w:r>
          </w:p>
        </w:tc>
        <w:tc>
          <w:tcPr>
            <w:tcW w:w="1310" w:type="dxa"/>
            <w:tcBorders/>
            <w:vAlign w:val="center"/>
          </w:tcPr>
          <w:p>
            <w:pPr>
              <w:pStyle w:val="TableContents"/>
              <w:bidi w:val="0"/>
              <w:spacing w:before="0" w:after="0"/>
              <w:jc w:val="center"/>
              <w:rPr/>
            </w:pPr>
            <w:r>
              <w:rPr/>
              <w:t>Maersk</w:t>
            </w:r>
          </w:p>
        </w:tc>
        <w:tc>
          <w:tcPr>
            <w:tcW w:w="560" w:type="dxa"/>
            <w:tcBorders/>
            <w:vAlign w:val="center"/>
          </w:tcPr>
          <w:p>
            <w:pPr>
              <w:pStyle w:val="TableContents"/>
              <w:bidi w:val="0"/>
              <w:spacing w:before="0" w:after="0"/>
              <w:jc w:val="center"/>
              <w:rPr/>
            </w:pPr>
            <w:r>
              <w:rPr/>
              <w:t>2Q27</w:t>
            </w:r>
          </w:p>
        </w:tc>
        <w:tc>
          <w:tcPr>
            <w:tcW w:w="560" w:type="dxa"/>
            <w:tcBorders/>
            <w:vAlign w:val="center"/>
          </w:tcPr>
          <w:p>
            <w:pPr>
              <w:pStyle w:val="TableContents"/>
              <w:bidi w:val="0"/>
              <w:spacing w:before="0" w:after="0"/>
              <w:jc w:val="center"/>
              <w:rPr/>
            </w:pPr>
            <w:r>
              <w:rPr/>
              <w:t>3Q27</w:t>
            </w:r>
          </w:p>
        </w:tc>
        <w:tc>
          <w:tcPr>
            <w:tcW w:w="1325" w:type="dxa"/>
            <w:tcBorders/>
            <w:vAlign w:val="center"/>
          </w:tcPr>
          <w:p>
            <w:pPr>
              <w:pStyle w:val="TableContents"/>
              <w:bidi w:val="0"/>
              <w:spacing w:before="0" w:after="0"/>
              <w:jc w:val="center"/>
              <w:rPr/>
            </w:pPr>
            <w:r>
              <w:rPr/>
              <w:t>26,000</w:t>
            </w:r>
          </w:p>
        </w:tc>
      </w:tr>
      <w:tr>
        <w:trPr/>
        <w:tc>
          <w:tcPr>
            <w:tcW w:w="2225" w:type="dxa"/>
            <w:tcBorders/>
            <w:shd w:fill="CCECFF" w:val="clear"/>
            <w:vAlign w:val="center"/>
          </w:tcPr>
          <w:p>
            <w:pPr>
              <w:pStyle w:val="TableContents"/>
              <w:bidi w:val="0"/>
              <w:spacing w:before="0" w:after="0"/>
              <w:jc w:val="left"/>
              <w:rPr/>
            </w:pPr>
            <w:r>
              <w:rPr/>
              <w:t>Nikolas</w:t>
            </w:r>
          </w:p>
        </w:tc>
        <w:tc>
          <w:tcPr>
            <w:tcW w:w="560" w:type="dxa"/>
            <w:tcBorders/>
            <w:shd w:fill="CCECFF" w:val="clear"/>
            <w:vAlign w:val="center"/>
          </w:tcPr>
          <w:p>
            <w:pPr>
              <w:pStyle w:val="TableContents"/>
              <w:bidi w:val="0"/>
              <w:spacing w:before="0" w:after="0"/>
              <w:ind w:left="370" w:right="0" w:hanging="0"/>
              <w:jc w:val="center"/>
              <w:rPr/>
            </w:pPr>
            <w:r>
              <w:rPr/>
              <w:t>2,635</w:t>
            </w:r>
          </w:p>
        </w:tc>
        <w:tc>
          <w:tcPr>
            <w:tcW w:w="680" w:type="dxa"/>
            <w:tcBorders/>
            <w:shd w:fill="CCECFF" w:val="clear"/>
            <w:vAlign w:val="center"/>
          </w:tcPr>
          <w:p>
            <w:pPr>
              <w:pStyle w:val="TableContents"/>
              <w:bidi w:val="0"/>
              <w:spacing w:before="0" w:after="0"/>
              <w:jc w:val="center"/>
              <w:rPr/>
            </w:pPr>
            <w:r>
              <w:rPr/>
              <w:t>11,370</w:t>
            </w:r>
          </w:p>
        </w:tc>
        <w:tc>
          <w:tcPr>
            <w:tcW w:w="500" w:type="dxa"/>
            <w:tcBorders/>
            <w:shd w:fill="CCECFF" w:val="clear"/>
            <w:vAlign w:val="center"/>
          </w:tcPr>
          <w:p>
            <w:pPr>
              <w:pStyle w:val="TableContents"/>
              <w:bidi w:val="0"/>
              <w:spacing w:before="0" w:after="0"/>
              <w:ind w:left="100" w:right="0" w:hanging="0"/>
              <w:jc w:val="left"/>
              <w:rPr/>
            </w:pPr>
            <w:r>
              <w:rPr/>
              <w:t>2000</w:t>
            </w:r>
          </w:p>
        </w:tc>
        <w:tc>
          <w:tcPr>
            <w:tcW w:w="1310" w:type="dxa"/>
            <w:tcBorders/>
            <w:shd w:fill="CCECFF" w:val="clear"/>
            <w:vAlign w:val="center"/>
          </w:tcPr>
          <w:p>
            <w:pPr>
              <w:pStyle w:val="TableContents"/>
              <w:bidi w:val="0"/>
              <w:spacing w:before="0" w:after="0"/>
              <w:jc w:val="center"/>
              <w:rPr/>
            </w:pPr>
            <w:r>
              <w:rPr/>
              <w:t>CMA CGM</w:t>
            </w:r>
          </w:p>
        </w:tc>
        <w:tc>
          <w:tcPr>
            <w:tcW w:w="560" w:type="dxa"/>
            <w:tcBorders/>
            <w:shd w:fill="CCECFF" w:val="clear"/>
            <w:vAlign w:val="center"/>
          </w:tcPr>
          <w:p>
            <w:pPr>
              <w:pStyle w:val="TableContents"/>
              <w:bidi w:val="0"/>
              <w:spacing w:before="0" w:after="0"/>
              <w:jc w:val="center"/>
              <w:rPr/>
            </w:pPr>
            <w:r>
              <w:rPr/>
              <w:t>1Q27</w:t>
            </w:r>
          </w:p>
        </w:tc>
        <w:tc>
          <w:tcPr>
            <w:tcW w:w="560" w:type="dxa"/>
            <w:tcBorders/>
            <w:shd w:fill="CCECFF" w:val="clear"/>
            <w:vAlign w:val="center"/>
          </w:tcPr>
          <w:p>
            <w:pPr>
              <w:pStyle w:val="TableContents"/>
              <w:bidi w:val="0"/>
              <w:spacing w:before="0" w:after="0"/>
              <w:jc w:val="center"/>
              <w:rPr/>
            </w:pPr>
            <w:r>
              <w:rPr/>
              <w:t>2Q27</w:t>
            </w:r>
          </w:p>
        </w:tc>
        <w:tc>
          <w:tcPr>
            <w:tcW w:w="1325" w:type="dxa"/>
            <w:tcBorders/>
            <w:shd w:fill="CCECFF" w:val="clear"/>
            <w:vAlign w:val="center"/>
          </w:tcPr>
          <w:p>
            <w:pPr>
              <w:pStyle w:val="TableContents"/>
              <w:bidi w:val="0"/>
              <w:spacing w:before="0" w:after="0"/>
              <w:jc w:val="center"/>
              <w:rPr/>
            </w:pPr>
            <w:r>
              <w:rPr/>
              <w:t>26,000</w:t>
            </w:r>
          </w:p>
        </w:tc>
      </w:tr>
      <w:tr>
        <w:trPr/>
        <w:tc>
          <w:tcPr>
            <w:tcW w:w="2225" w:type="dxa"/>
            <w:tcBorders/>
            <w:vAlign w:val="center"/>
          </w:tcPr>
          <w:p>
            <w:pPr>
              <w:pStyle w:val="TableContents"/>
              <w:bidi w:val="0"/>
              <w:spacing w:before="0" w:after="0"/>
              <w:jc w:val="left"/>
              <w:rPr/>
            </w:pPr>
            <w:r>
              <w:rPr/>
              <w:t>GSL Chloe</w:t>
            </w:r>
          </w:p>
        </w:tc>
        <w:tc>
          <w:tcPr>
            <w:tcW w:w="560" w:type="dxa"/>
            <w:tcBorders/>
            <w:vAlign w:val="center"/>
          </w:tcPr>
          <w:p>
            <w:pPr>
              <w:pStyle w:val="TableContents"/>
              <w:bidi w:val="0"/>
              <w:spacing w:before="0" w:after="0"/>
              <w:ind w:left="370" w:right="0" w:hanging="0"/>
              <w:jc w:val="center"/>
              <w:rPr/>
            </w:pPr>
            <w:r>
              <w:rPr/>
              <w:t>2,546</w:t>
            </w:r>
          </w:p>
        </w:tc>
        <w:tc>
          <w:tcPr>
            <w:tcW w:w="680" w:type="dxa"/>
            <w:tcBorders/>
            <w:vAlign w:val="center"/>
          </w:tcPr>
          <w:p>
            <w:pPr>
              <w:pStyle w:val="TableContents"/>
              <w:bidi w:val="0"/>
              <w:spacing w:before="0" w:after="0"/>
              <w:jc w:val="center"/>
              <w:rPr/>
            </w:pPr>
            <w:r>
              <w:rPr/>
              <w:t>12,212</w:t>
            </w:r>
          </w:p>
        </w:tc>
        <w:tc>
          <w:tcPr>
            <w:tcW w:w="500" w:type="dxa"/>
            <w:tcBorders/>
            <w:vAlign w:val="center"/>
          </w:tcPr>
          <w:p>
            <w:pPr>
              <w:pStyle w:val="TableContents"/>
              <w:bidi w:val="0"/>
              <w:spacing w:before="0" w:after="0"/>
              <w:ind w:left="100" w:right="0" w:hanging="0"/>
              <w:jc w:val="left"/>
              <w:rPr/>
            </w:pPr>
            <w:r>
              <w:rPr/>
              <w:t>2012</w:t>
            </w:r>
          </w:p>
        </w:tc>
        <w:tc>
          <w:tcPr>
            <w:tcW w:w="1310" w:type="dxa"/>
            <w:tcBorders/>
            <w:vAlign w:val="center"/>
          </w:tcPr>
          <w:p>
            <w:pPr>
              <w:pStyle w:val="TableContents"/>
              <w:bidi w:val="0"/>
              <w:spacing w:before="0" w:after="0"/>
              <w:jc w:val="center"/>
              <w:rPr/>
            </w:pPr>
            <w:r>
              <w:rPr/>
              <w:t>ONE</w:t>
            </w:r>
          </w:p>
        </w:tc>
        <w:tc>
          <w:tcPr>
            <w:tcW w:w="560" w:type="dxa"/>
            <w:tcBorders/>
            <w:vAlign w:val="center"/>
          </w:tcPr>
          <w:p>
            <w:pPr>
              <w:pStyle w:val="TableContents"/>
              <w:bidi w:val="0"/>
              <w:spacing w:before="0" w:after="0"/>
              <w:jc w:val="center"/>
              <w:rPr/>
            </w:pPr>
            <w:r>
              <w:rPr/>
              <w:t>1Q27</w:t>
            </w:r>
          </w:p>
        </w:tc>
        <w:tc>
          <w:tcPr>
            <w:tcW w:w="560" w:type="dxa"/>
            <w:tcBorders/>
            <w:vAlign w:val="center"/>
          </w:tcPr>
          <w:p>
            <w:pPr>
              <w:pStyle w:val="TableContents"/>
              <w:bidi w:val="0"/>
              <w:spacing w:before="0" w:after="0"/>
              <w:jc w:val="center"/>
              <w:rPr/>
            </w:pPr>
            <w:r>
              <w:rPr/>
              <w:t>2Q27</w:t>
            </w:r>
          </w:p>
        </w:tc>
        <w:tc>
          <w:tcPr>
            <w:tcW w:w="1325" w:type="dxa"/>
            <w:tcBorders/>
            <w:vAlign w:val="center"/>
          </w:tcPr>
          <w:p>
            <w:pPr>
              <w:pStyle w:val="TableContents"/>
              <w:bidi w:val="0"/>
              <w:spacing w:before="0" w:after="0"/>
              <w:jc w:val="center"/>
              <w:rPr/>
            </w:pPr>
            <w:r>
              <w:rPr/>
              <w:t>24,500</w:t>
            </w:r>
          </w:p>
        </w:tc>
      </w:tr>
      <w:tr>
        <w:trPr/>
        <w:tc>
          <w:tcPr>
            <w:tcW w:w="2225" w:type="dxa"/>
            <w:tcBorders/>
            <w:shd w:fill="CCECFF" w:val="clear"/>
            <w:vAlign w:val="center"/>
          </w:tcPr>
          <w:p>
            <w:pPr>
              <w:pStyle w:val="TableContents"/>
              <w:bidi w:val="0"/>
              <w:spacing w:before="0" w:after="0"/>
              <w:jc w:val="left"/>
              <w:rPr/>
            </w:pPr>
            <w:r>
              <w:rPr/>
              <w:t>GSL Maren</w:t>
            </w:r>
          </w:p>
        </w:tc>
        <w:tc>
          <w:tcPr>
            <w:tcW w:w="560" w:type="dxa"/>
            <w:tcBorders/>
            <w:shd w:fill="CCECFF" w:val="clear"/>
            <w:vAlign w:val="center"/>
          </w:tcPr>
          <w:p>
            <w:pPr>
              <w:pStyle w:val="TableContents"/>
              <w:bidi w:val="0"/>
              <w:spacing w:before="0" w:after="0"/>
              <w:ind w:left="370" w:right="0" w:hanging="0"/>
              <w:jc w:val="center"/>
              <w:rPr/>
            </w:pPr>
            <w:r>
              <w:rPr/>
              <w:t>2,546</w:t>
            </w:r>
          </w:p>
        </w:tc>
        <w:tc>
          <w:tcPr>
            <w:tcW w:w="680" w:type="dxa"/>
            <w:tcBorders/>
            <w:shd w:fill="CCECFF" w:val="clear"/>
            <w:vAlign w:val="center"/>
          </w:tcPr>
          <w:p>
            <w:pPr>
              <w:pStyle w:val="TableContents"/>
              <w:bidi w:val="0"/>
              <w:spacing w:before="0" w:after="0"/>
              <w:jc w:val="center"/>
              <w:rPr/>
            </w:pPr>
            <w:r>
              <w:rPr/>
              <w:t>12,243</w:t>
            </w:r>
          </w:p>
        </w:tc>
        <w:tc>
          <w:tcPr>
            <w:tcW w:w="500" w:type="dxa"/>
            <w:tcBorders/>
            <w:shd w:fill="CCECFF" w:val="clear"/>
            <w:vAlign w:val="center"/>
          </w:tcPr>
          <w:p>
            <w:pPr>
              <w:pStyle w:val="TableContents"/>
              <w:bidi w:val="0"/>
              <w:spacing w:before="0" w:after="0"/>
              <w:ind w:left="100" w:right="0" w:hanging="0"/>
              <w:jc w:val="left"/>
              <w:rPr/>
            </w:pPr>
            <w:r>
              <w:rPr/>
              <w:t>2014</w:t>
            </w:r>
          </w:p>
        </w:tc>
        <w:tc>
          <w:tcPr>
            <w:tcW w:w="1310" w:type="dxa"/>
            <w:tcBorders/>
            <w:shd w:fill="CCECFF" w:val="clear"/>
            <w:vAlign w:val="center"/>
          </w:tcPr>
          <w:p>
            <w:pPr>
              <w:pStyle w:val="TableContents"/>
              <w:bidi w:val="0"/>
              <w:spacing w:before="0" w:after="0"/>
              <w:jc w:val="center"/>
              <w:rPr/>
            </w:pPr>
            <w:r>
              <w:rPr/>
              <w:t>OOCL</w:t>
            </w:r>
          </w:p>
        </w:tc>
        <w:tc>
          <w:tcPr>
            <w:tcW w:w="560" w:type="dxa"/>
            <w:tcBorders/>
            <w:shd w:fill="CCECFF" w:val="clear"/>
            <w:vAlign w:val="center"/>
          </w:tcPr>
          <w:p>
            <w:pPr>
              <w:pStyle w:val="TableContents"/>
              <w:bidi w:val="0"/>
              <w:spacing w:before="0" w:after="0"/>
              <w:jc w:val="center"/>
              <w:rPr/>
            </w:pPr>
            <w:r>
              <w:rPr/>
              <w:t>2Q28</w:t>
            </w:r>
          </w:p>
        </w:tc>
        <w:tc>
          <w:tcPr>
            <w:tcW w:w="560" w:type="dxa"/>
            <w:tcBorders/>
            <w:shd w:fill="CCECFF" w:val="clear"/>
            <w:vAlign w:val="center"/>
          </w:tcPr>
          <w:p>
            <w:pPr>
              <w:pStyle w:val="TableContents"/>
              <w:bidi w:val="0"/>
              <w:spacing w:before="0" w:after="0"/>
              <w:jc w:val="center"/>
              <w:rPr/>
            </w:pPr>
            <w:r>
              <w:rPr/>
              <w:t>3Q28</w:t>
            </w:r>
          </w:p>
        </w:tc>
        <w:tc>
          <w:tcPr>
            <w:tcW w:w="1325" w:type="dxa"/>
            <w:tcBorders/>
            <w:shd w:fill="CCECFF" w:val="clear"/>
            <w:vAlign w:val="center"/>
          </w:tcPr>
          <w:p>
            <w:pPr>
              <w:pStyle w:val="TableContents"/>
              <w:bidi w:val="0"/>
              <w:spacing w:lineRule="auto" w:line="240" w:before="0" w:after="0"/>
              <w:jc w:val="center"/>
              <w:rPr/>
            </w:pPr>
            <w:r>
              <w:rPr/>
              <w:t>Footnote (25)</w:t>
            </w:r>
          </w:p>
        </w:tc>
      </w:tr>
      <w:tr>
        <w:trPr/>
        <w:tc>
          <w:tcPr>
            <w:tcW w:w="2225" w:type="dxa"/>
            <w:tcBorders/>
            <w:vAlign w:val="center"/>
          </w:tcPr>
          <w:p>
            <w:pPr>
              <w:pStyle w:val="TableContents"/>
              <w:bidi w:val="0"/>
              <w:spacing w:before="0" w:after="0"/>
              <w:jc w:val="left"/>
              <w:rPr/>
            </w:pPr>
            <w:r>
              <w:rPr/>
              <w:t>Maira</w:t>
            </w:r>
          </w:p>
        </w:tc>
        <w:tc>
          <w:tcPr>
            <w:tcW w:w="560" w:type="dxa"/>
            <w:tcBorders/>
            <w:vAlign w:val="center"/>
          </w:tcPr>
          <w:p>
            <w:pPr>
              <w:pStyle w:val="TableContents"/>
              <w:bidi w:val="0"/>
              <w:spacing w:before="0" w:after="0"/>
              <w:ind w:left="370" w:right="0" w:hanging="0"/>
              <w:jc w:val="center"/>
              <w:rPr/>
            </w:pPr>
            <w:r>
              <w:rPr/>
              <w:t>2,506</w:t>
            </w:r>
          </w:p>
        </w:tc>
        <w:tc>
          <w:tcPr>
            <w:tcW w:w="680" w:type="dxa"/>
            <w:tcBorders/>
            <w:vAlign w:val="center"/>
          </w:tcPr>
          <w:p>
            <w:pPr>
              <w:pStyle w:val="TableContents"/>
              <w:bidi w:val="0"/>
              <w:spacing w:before="0" w:after="0"/>
              <w:jc w:val="center"/>
              <w:rPr/>
            </w:pPr>
            <w:r>
              <w:rPr/>
              <w:t>11,453</w:t>
            </w:r>
          </w:p>
        </w:tc>
        <w:tc>
          <w:tcPr>
            <w:tcW w:w="500" w:type="dxa"/>
            <w:tcBorders/>
            <w:vAlign w:val="center"/>
          </w:tcPr>
          <w:p>
            <w:pPr>
              <w:pStyle w:val="TableContents"/>
              <w:bidi w:val="0"/>
              <w:spacing w:before="0" w:after="0"/>
              <w:ind w:left="100" w:right="0" w:hanging="0"/>
              <w:jc w:val="left"/>
              <w:rPr/>
            </w:pPr>
            <w:r>
              <w:rPr/>
              <w:t>2000</w:t>
            </w:r>
          </w:p>
        </w:tc>
        <w:tc>
          <w:tcPr>
            <w:tcW w:w="1310" w:type="dxa"/>
            <w:tcBorders/>
            <w:vAlign w:val="center"/>
          </w:tcPr>
          <w:p>
            <w:pPr>
              <w:pStyle w:val="TableContents"/>
              <w:bidi w:val="0"/>
              <w:spacing w:before="0" w:after="0"/>
              <w:jc w:val="center"/>
              <w:rPr/>
            </w:pPr>
            <w:r>
              <w:rPr/>
              <w:t>CMA CGM</w:t>
            </w:r>
          </w:p>
        </w:tc>
        <w:tc>
          <w:tcPr>
            <w:tcW w:w="560" w:type="dxa"/>
            <w:tcBorders/>
            <w:vAlign w:val="center"/>
          </w:tcPr>
          <w:p>
            <w:pPr>
              <w:pStyle w:val="TableContents"/>
              <w:bidi w:val="0"/>
              <w:spacing w:before="0" w:after="0"/>
              <w:jc w:val="center"/>
              <w:rPr/>
            </w:pPr>
            <w:r>
              <w:rPr/>
              <w:t>1Q27</w:t>
            </w:r>
          </w:p>
        </w:tc>
        <w:tc>
          <w:tcPr>
            <w:tcW w:w="560" w:type="dxa"/>
            <w:tcBorders/>
            <w:vAlign w:val="center"/>
          </w:tcPr>
          <w:p>
            <w:pPr>
              <w:pStyle w:val="TableContents"/>
              <w:bidi w:val="0"/>
              <w:spacing w:before="0" w:after="0"/>
              <w:jc w:val="center"/>
              <w:rPr/>
            </w:pPr>
            <w:r>
              <w:rPr/>
              <w:t>2Q27</w:t>
            </w:r>
          </w:p>
        </w:tc>
        <w:tc>
          <w:tcPr>
            <w:tcW w:w="1325" w:type="dxa"/>
            <w:tcBorders/>
            <w:vAlign w:val="center"/>
          </w:tcPr>
          <w:p>
            <w:pPr>
              <w:pStyle w:val="TableContents"/>
              <w:bidi w:val="0"/>
              <w:spacing w:before="0" w:after="0"/>
              <w:jc w:val="center"/>
              <w:rPr/>
            </w:pPr>
            <w:r>
              <w:rPr/>
              <w:t>26,000</w:t>
            </w:r>
          </w:p>
        </w:tc>
      </w:tr>
      <w:tr>
        <w:trPr/>
        <w:tc>
          <w:tcPr>
            <w:tcW w:w="2225" w:type="dxa"/>
            <w:tcBorders/>
            <w:shd w:fill="CCECFF" w:val="clear"/>
            <w:vAlign w:val="center"/>
          </w:tcPr>
          <w:p>
            <w:pPr>
              <w:pStyle w:val="TableContents"/>
              <w:bidi w:val="0"/>
              <w:spacing w:lineRule="auto" w:line="240" w:before="0" w:after="0"/>
              <w:jc w:val="left"/>
              <w:rPr/>
            </w:pPr>
            <w:r>
              <w:rPr/>
              <w:t>Manet (28)</w:t>
            </w:r>
          </w:p>
        </w:tc>
        <w:tc>
          <w:tcPr>
            <w:tcW w:w="560" w:type="dxa"/>
            <w:tcBorders/>
            <w:shd w:fill="CCECFF" w:val="clear"/>
            <w:vAlign w:val="center"/>
          </w:tcPr>
          <w:p>
            <w:pPr>
              <w:pStyle w:val="TableContents"/>
              <w:bidi w:val="0"/>
              <w:spacing w:before="0" w:after="0"/>
              <w:ind w:left="370" w:right="0" w:hanging="0"/>
              <w:jc w:val="center"/>
              <w:rPr/>
            </w:pPr>
            <w:r>
              <w:rPr/>
              <w:t>2,288</w:t>
            </w:r>
          </w:p>
        </w:tc>
        <w:tc>
          <w:tcPr>
            <w:tcW w:w="680" w:type="dxa"/>
            <w:tcBorders/>
            <w:shd w:fill="CCECFF" w:val="clear"/>
            <w:vAlign w:val="center"/>
          </w:tcPr>
          <w:p>
            <w:pPr>
              <w:pStyle w:val="TableContents"/>
              <w:bidi w:val="0"/>
              <w:spacing w:before="0" w:after="0"/>
              <w:jc w:val="center"/>
              <w:rPr/>
            </w:pPr>
            <w:r>
              <w:rPr/>
              <w:t>11,534</w:t>
            </w:r>
          </w:p>
        </w:tc>
        <w:tc>
          <w:tcPr>
            <w:tcW w:w="500" w:type="dxa"/>
            <w:tcBorders/>
            <w:shd w:fill="CCECFF" w:val="clear"/>
            <w:vAlign w:val="center"/>
          </w:tcPr>
          <w:p>
            <w:pPr>
              <w:pStyle w:val="TableContents"/>
              <w:bidi w:val="0"/>
              <w:spacing w:before="0" w:after="0"/>
              <w:ind w:left="100" w:right="0" w:hanging="0"/>
              <w:jc w:val="left"/>
              <w:rPr/>
            </w:pPr>
            <w:r>
              <w:rPr/>
              <w:t>2001</w:t>
            </w:r>
          </w:p>
        </w:tc>
        <w:tc>
          <w:tcPr>
            <w:tcW w:w="1310" w:type="dxa"/>
            <w:tcBorders/>
            <w:shd w:fill="CCECFF" w:val="clear"/>
            <w:vAlign w:val="center"/>
          </w:tcPr>
          <w:p>
            <w:pPr>
              <w:pStyle w:val="TableContents"/>
              <w:bidi w:val="0"/>
              <w:spacing w:before="0" w:after="0"/>
              <w:jc w:val="center"/>
              <w:rPr/>
            </w:pPr>
            <w:r>
              <w:rPr/>
              <w:t>OOCL</w:t>
            </w:r>
          </w:p>
        </w:tc>
        <w:tc>
          <w:tcPr>
            <w:tcW w:w="560" w:type="dxa"/>
            <w:tcBorders/>
            <w:shd w:fill="CCECFF" w:val="clear"/>
            <w:vAlign w:val="center"/>
          </w:tcPr>
          <w:p>
            <w:pPr>
              <w:pStyle w:val="TableContents"/>
              <w:bidi w:val="0"/>
              <w:spacing w:before="0" w:after="0"/>
              <w:jc w:val="center"/>
              <w:rPr/>
            </w:pPr>
            <w:r>
              <w:rPr/>
              <w:t>3Q26</w:t>
            </w:r>
          </w:p>
        </w:tc>
        <w:tc>
          <w:tcPr>
            <w:tcW w:w="560" w:type="dxa"/>
            <w:tcBorders/>
            <w:shd w:fill="CCECFF" w:val="clear"/>
            <w:vAlign w:val="center"/>
          </w:tcPr>
          <w:p>
            <w:pPr>
              <w:pStyle w:val="TableContents"/>
              <w:bidi w:val="0"/>
              <w:spacing w:before="0" w:after="0"/>
              <w:jc w:val="center"/>
              <w:rPr/>
            </w:pPr>
            <w:r>
              <w:rPr/>
              <w:t>4Q26</w:t>
            </w:r>
          </w:p>
        </w:tc>
        <w:tc>
          <w:tcPr>
            <w:tcW w:w="1325" w:type="dxa"/>
            <w:tcBorders/>
            <w:shd w:fill="CCECFF" w:val="clear"/>
            <w:vAlign w:val="center"/>
          </w:tcPr>
          <w:p>
            <w:pPr>
              <w:pStyle w:val="TableContents"/>
              <w:bidi w:val="0"/>
              <w:spacing w:before="0" w:after="0"/>
              <w:jc w:val="center"/>
              <w:rPr/>
            </w:pPr>
            <w:r>
              <w:rPr/>
              <w:t>24,000</w:t>
            </w:r>
          </w:p>
        </w:tc>
      </w:tr>
      <w:tr>
        <w:trPr/>
        <w:tc>
          <w:tcPr>
            <w:tcW w:w="2225" w:type="dxa"/>
            <w:tcBorders/>
            <w:vAlign w:val="center"/>
          </w:tcPr>
          <w:p>
            <w:pPr>
              <w:pStyle w:val="TableContents"/>
              <w:bidi w:val="0"/>
              <w:spacing w:lineRule="auto" w:line="240" w:before="0" w:after="0"/>
              <w:jc w:val="left"/>
              <w:rPr/>
            </w:pPr>
            <w:r>
              <w:rPr/>
              <w:t>Kumasi (28)</w:t>
            </w:r>
          </w:p>
        </w:tc>
        <w:tc>
          <w:tcPr>
            <w:tcW w:w="560" w:type="dxa"/>
            <w:tcBorders/>
            <w:vAlign w:val="center"/>
          </w:tcPr>
          <w:p>
            <w:pPr>
              <w:pStyle w:val="TableContents"/>
              <w:bidi w:val="0"/>
              <w:spacing w:before="0" w:after="0"/>
              <w:ind w:left="370" w:right="0" w:hanging="0"/>
              <w:jc w:val="center"/>
              <w:rPr/>
            </w:pPr>
            <w:r>
              <w:rPr/>
              <w:t>2,220</w:t>
            </w:r>
          </w:p>
        </w:tc>
        <w:tc>
          <w:tcPr>
            <w:tcW w:w="680" w:type="dxa"/>
            <w:tcBorders/>
            <w:vAlign w:val="center"/>
          </w:tcPr>
          <w:p>
            <w:pPr>
              <w:pStyle w:val="TableContents"/>
              <w:bidi w:val="0"/>
              <w:spacing w:before="0" w:after="0"/>
              <w:jc w:val="center"/>
              <w:rPr/>
            </w:pPr>
            <w:r>
              <w:rPr/>
              <w:t>11,652</w:t>
            </w:r>
          </w:p>
        </w:tc>
        <w:tc>
          <w:tcPr>
            <w:tcW w:w="500" w:type="dxa"/>
            <w:tcBorders/>
            <w:vAlign w:val="center"/>
          </w:tcPr>
          <w:p>
            <w:pPr>
              <w:pStyle w:val="TableContents"/>
              <w:bidi w:val="0"/>
              <w:spacing w:before="0" w:after="0"/>
              <w:ind w:left="100" w:right="0" w:hanging="0"/>
              <w:jc w:val="left"/>
              <w:rPr/>
            </w:pPr>
            <w:r>
              <w:rPr/>
              <w:t>2002</w:t>
            </w:r>
          </w:p>
        </w:tc>
        <w:tc>
          <w:tcPr>
            <w:tcW w:w="1310" w:type="dxa"/>
            <w:tcBorders/>
            <w:vAlign w:val="center"/>
          </w:tcPr>
          <w:p>
            <w:pPr>
              <w:pStyle w:val="TableContents"/>
              <w:bidi w:val="0"/>
              <w:spacing w:before="0" w:after="0"/>
              <w:jc w:val="center"/>
              <w:rPr/>
            </w:pPr>
            <w:r>
              <w:rPr/>
              <w:t>MSC</w:t>
            </w:r>
          </w:p>
        </w:tc>
        <w:tc>
          <w:tcPr>
            <w:tcW w:w="560" w:type="dxa"/>
            <w:tcBorders/>
            <w:vAlign w:val="center"/>
          </w:tcPr>
          <w:p>
            <w:pPr>
              <w:pStyle w:val="TableContents"/>
              <w:bidi w:val="0"/>
              <w:spacing w:before="0" w:after="0"/>
              <w:jc w:val="center"/>
              <w:rPr/>
            </w:pPr>
            <w:r>
              <w:rPr/>
              <w:t>4Q26</w:t>
            </w:r>
          </w:p>
        </w:tc>
        <w:tc>
          <w:tcPr>
            <w:tcW w:w="560" w:type="dxa"/>
            <w:tcBorders/>
            <w:vAlign w:val="center"/>
          </w:tcPr>
          <w:p>
            <w:pPr>
              <w:pStyle w:val="TableContents"/>
              <w:bidi w:val="0"/>
              <w:spacing w:before="0" w:after="0"/>
              <w:jc w:val="center"/>
              <w:rPr/>
            </w:pPr>
            <w:r>
              <w:rPr/>
              <w:t>1Q27</w:t>
            </w:r>
          </w:p>
        </w:tc>
        <w:tc>
          <w:tcPr>
            <w:tcW w:w="1325" w:type="dxa"/>
            <w:tcBorders/>
            <w:vAlign w:val="center"/>
          </w:tcPr>
          <w:p>
            <w:pPr>
              <w:pStyle w:val="TableContents"/>
              <w:bidi w:val="0"/>
              <w:spacing w:lineRule="auto" w:line="240" w:before="0" w:after="0"/>
              <w:jc w:val="center"/>
              <w:rPr/>
            </w:pPr>
            <w:r>
              <w:rPr/>
              <w:t>Footnote (26)</w:t>
            </w:r>
          </w:p>
        </w:tc>
      </w:tr>
      <w:tr>
        <w:trPr/>
        <w:tc>
          <w:tcPr>
            <w:tcW w:w="2225" w:type="dxa"/>
            <w:tcBorders/>
            <w:shd w:fill="CCECFF" w:val="clear"/>
            <w:vAlign w:val="center"/>
          </w:tcPr>
          <w:p>
            <w:pPr>
              <w:pStyle w:val="TableContents"/>
              <w:bidi w:val="0"/>
              <w:spacing w:lineRule="auto" w:line="240" w:before="0" w:after="0"/>
              <w:jc w:val="left"/>
              <w:rPr/>
            </w:pPr>
            <w:r>
              <w:rPr/>
              <w:t>Julie (28)</w:t>
            </w:r>
          </w:p>
        </w:tc>
        <w:tc>
          <w:tcPr>
            <w:tcW w:w="560" w:type="dxa"/>
            <w:tcBorders/>
            <w:shd w:fill="CCECFF" w:val="clear"/>
            <w:vAlign w:val="center"/>
          </w:tcPr>
          <w:p>
            <w:pPr>
              <w:pStyle w:val="TableContents"/>
              <w:bidi w:val="0"/>
              <w:spacing w:before="0" w:after="0"/>
              <w:ind w:left="370" w:right="0" w:hanging="0"/>
              <w:jc w:val="center"/>
              <w:rPr/>
            </w:pPr>
            <w:r>
              <w:rPr/>
              <w:t>2,207</w:t>
            </w:r>
          </w:p>
        </w:tc>
        <w:tc>
          <w:tcPr>
            <w:tcW w:w="680" w:type="dxa"/>
            <w:tcBorders/>
            <w:shd w:fill="CCECFF" w:val="clear"/>
            <w:vAlign w:val="center"/>
          </w:tcPr>
          <w:p>
            <w:pPr>
              <w:pStyle w:val="TableContents"/>
              <w:bidi w:val="0"/>
              <w:spacing w:before="0" w:after="0"/>
              <w:jc w:val="center"/>
              <w:rPr/>
            </w:pPr>
            <w:r>
              <w:rPr/>
              <w:t>11,731</w:t>
            </w:r>
          </w:p>
        </w:tc>
        <w:tc>
          <w:tcPr>
            <w:tcW w:w="500" w:type="dxa"/>
            <w:tcBorders/>
            <w:shd w:fill="CCECFF" w:val="clear"/>
            <w:vAlign w:val="center"/>
          </w:tcPr>
          <w:p>
            <w:pPr>
              <w:pStyle w:val="TableContents"/>
              <w:bidi w:val="0"/>
              <w:spacing w:before="0" w:after="0"/>
              <w:ind w:left="100" w:right="0" w:hanging="0"/>
              <w:jc w:val="left"/>
              <w:rPr/>
            </w:pPr>
            <w:r>
              <w:rPr/>
              <w:t>2002</w:t>
            </w:r>
          </w:p>
        </w:tc>
        <w:tc>
          <w:tcPr>
            <w:tcW w:w="1310" w:type="dxa"/>
            <w:tcBorders/>
            <w:shd w:fill="CCECFF" w:val="clear"/>
            <w:vAlign w:val="center"/>
          </w:tcPr>
          <w:p>
            <w:pPr>
              <w:pStyle w:val="TableContents"/>
              <w:bidi w:val="0"/>
              <w:spacing w:before="0" w:after="0"/>
              <w:jc w:val="center"/>
              <w:rPr/>
            </w:pPr>
            <w:r>
              <w:rPr/>
              <w:t>MSC</w:t>
            </w:r>
          </w:p>
        </w:tc>
        <w:tc>
          <w:tcPr>
            <w:tcW w:w="560" w:type="dxa"/>
            <w:tcBorders/>
            <w:shd w:fill="CCECFF" w:val="clear"/>
            <w:vAlign w:val="center"/>
          </w:tcPr>
          <w:p>
            <w:pPr>
              <w:pStyle w:val="TableContents"/>
              <w:bidi w:val="0"/>
              <w:spacing w:before="0" w:after="0"/>
              <w:jc w:val="center"/>
              <w:rPr/>
            </w:pPr>
            <w:r>
              <w:rPr/>
              <w:t>3Q27</w:t>
            </w:r>
          </w:p>
        </w:tc>
        <w:tc>
          <w:tcPr>
            <w:tcW w:w="560" w:type="dxa"/>
            <w:tcBorders/>
            <w:shd w:fill="CCECFF" w:val="clear"/>
            <w:vAlign w:val="center"/>
          </w:tcPr>
          <w:p>
            <w:pPr>
              <w:pStyle w:val="TableContents"/>
              <w:bidi w:val="0"/>
              <w:spacing w:before="0" w:after="0"/>
              <w:jc w:val="center"/>
              <w:rPr/>
            </w:pPr>
            <w:r>
              <w:rPr/>
              <w:t>3Q27</w:t>
            </w:r>
          </w:p>
        </w:tc>
        <w:tc>
          <w:tcPr>
            <w:tcW w:w="1325" w:type="dxa"/>
            <w:tcBorders/>
            <w:shd w:fill="CCECFF" w:val="clear"/>
            <w:vAlign w:val="center"/>
          </w:tcPr>
          <w:p>
            <w:pPr>
              <w:pStyle w:val="TableContents"/>
              <w:bidi w:val="0"/>
              <w:spacing w:lineRule="auto" w:line="240" w:before="0" w:after="0"/>
              <w:jc w:val="center"/>
              <w:rPr/>
            </w:pPr>
            <w:r>
              <w:rPr/>
              <w:t>Footnote (27)</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8" w:name="z0a3b6bff66c448ee9d782a71270904a1"/>
      <w:bookmarkStart w:id="29" w:name="z0a3b6bff66c448ee9d782a71270904a1"/>
      <w:bookmarkEnd w:id="29"/>
    </w:p>
    <w:tbl>
      <w:tblPr>
        <w:tblW w:w="6550" w:type="dxa"/>
        <w:jc w:val="left"/>
        <w:tblInd w:w="0" w:type="dxa"/>
        <w:tblLayout w:type="fixed"/>
        <w:tblCellMar>
          <w:top w:w="0" w:type="dxa"/>
          <w:left w:w="0" w:type="dxa"/>
          <w:bottom w:w="0" w:type="dxa"/>
          <w:right w:w="0" w:type="dxa"/>
        </w:tblCellMar>
      </w:tblPr>
      <w:tblGrid>
        <w:gridCol w:w="305"/>
        <w:gridCol w:w="6245"/>
      </w:tblGrid>
      <w:tr>
        <w:trPr/>
        <w:tc>
          <w:tcPr>
            <w:tcW w:w="305" w:type="dxa"/>
            <w:tcBorders/>
            <w:vAlign w:val="center"/>
          </w:tcPr>
          <w:p>
            <w:pPr>
              <w:pStyle w:val="TableContents"/>
              <w:bidi w:val="0"/>
              <w:spacing w:before="0" w:after="283"/>
              <w:jc w:val="left"/>
              <w:rPr>
                <w:i/>
              </w:rPr>
            </w:pPr>
            <w:r>
              <w:rPr>
                <w:i/>
              </w:rPr>
              <w:t>(1)</w:t>
            </w:r>
          </w:p>
        </w:tc>
        <w:tc>
          <w:tcPr>
            <w:tcW w:w="6245" w:type="dxa"/>
            <w:tcBorders/>
            <w:vAlign w:val="center"/>
          </w:tcPr>
          <w:p>
            <w:pPr>
              <w:pStyle w:val="TableContents"/>
              <w:bidi w:val="0"/>
              <w:spacing w:before="0" w:after="0"/>
              <w:jc w:val="both"/>
              <w:rPr>
                <w:i/>
              </w:rPr>
            </w:pPr>
            <w:r>
              <w:rPr>
                <w:i/>
              </w:rPr>
              <w:t>Modern design, high reefer capacity, fuel-efficient “ECO” vessel.</w:t>
            </w:r>
          </w:p>
        </w:tc>
      </w:tr>
    </w:tbl>
    <w:p>
      <w:pPr>
        <w:pStyle w:val="Normal"/>
        <w:bidi w:val="0"/>
        <w:spacing w:before="0" w:after="0"/>
        <w:jc w:val="left"/>
        <w:rPr>
          <w:sz w:val="4"/>
          <w:szCs w:val="4"/>
        </w:rPr>
      </w:pPr>
      <w:r>
        <w:rPr>
          <w:sz w:val="4"/>
          <w:szCs w:val="4"/>
        </w:rPr>
      </w:r>
      <w:bookmarkStart w:id="30" w:name="z8f4cc8aa84cf433b85b3807aeb369eef"/>
      <w:bookmarkStart w:id="31" w:name="z8f4cc8aa84cf433b85b3807aeb369eef"/>
      <w:bookmarkEnd w:id="31"/>
    </w:p>
    <w:tbl>
      <w:tblPr>
        <w:tblW w:w="10205" w:type="dxa"/>
        <w:jc w:val="left"/>
        <w:tblInd w:w="0" w:type="dxa"/>
        <w:tblLayout w:type="fixed"/>
        <w:tblCellMar>
          <w:top w:w="0" w:type="dxa"/>
          <w:left w:w="0" w:type="dxa"/>
          <w:bottom w:w="0" w:type="dxa"/>
          <w:right w:w="0" w:type="dxa"/>
        </w:tblCellMar>
      </w:tblPr>
      <w:tblGrid>
        <w:gridCol w:w="239"/>
        <w:gridCol w:w="9966"/>
      </w:tblGrid>
      <w:tr>
        <w:trPr/>
        <w:tc>
          <w:tcPr>
            <w:tcW w:w="239" w:type="dxa"/>
            <w:tcBorders/>
            <w:vAlign w:val="center"/>
          </w:tcPr>
          <w:p>
            <w:pPr>
              <w:pStyle w:val="TableContents"/>
              <w:bidi w:val="0"/>
              <w:spacing w:before="0" w:after="283"/>
              <w:jc w:val="left"/>
              <w:rPr>
                <w:i/>
              </w:rPr>
            </w:pPr>
            <w:r>
              <w:rPr>
                <w:i/>
              </w:rPr>
              <w:t>(2)</w:t>
            </w:r>
          </w:p>
        </w:tc>
        <w:tc>
          <w:tcPr>
            <w:tcW w:w="9966" w:type="dxa"/>
            <w:tcBorders/>
            <w:vAlign w:val="center"/>
          </w:tcPr>
          <w:p>
            <w:pPr>
              <w:pStyle w:val="TableContents"/>
              <w:bidi w:val="0"/>
              <w:spacing w:before="0" w:after="0"/>
              <w:jc w:val="both"/>
              <w:rPr>
                <w:i/>
              </w:rPr>
            </w:pPr>
            <w:r>
              <w:rPr>
                <w:i/>
              </w:rPr>
              <w:t>In many instances, charterers have the option to extend a charter beyond the nominal latest expiry date by the amount of time that the vessel was off hire during the course of that charter. This additional charter time (“Offhire Extension”) is computed at the end of the initially contracted charter period. The Latest Charter Expiry Dates shown in this table have been adjusted to reflect offhire accrued up to June 30, 2026, plus estimated offhire scheduled to occur during the remaining lifetimes of the respective charters. However, as actual offhire can only be calculated at the end of each charter, in some cases actual Offhire Extensions – if invoked by charterers – may exceed the Latest Charter Expiry Dates indicated.</w:t>
            </w:r>
          </w:p>
        </w:tc>
      </w:tr>
    </w:tbl>
    <w:p>
      <w:pPr>
        <w:pStyle w:val="Normal"/>
        <w:bidi w:val="0"/>
        <w:spacing w:before="0" w:after="0"/>
        <w:jc w:val="left"/>
        <w:rPr>
          <w:sz w:val="4"/>
          <w:szCs w:val="4"/>
        </w:rPr>
      </w:pPr>
      <w:r>
        <w:rPr>
          <w:sz w:val="4"/>
          <w:szCs w:val="4"/>
        </w:rPr>
      </w:r>
      <w:bookmarkStart w:id="32" w:name="z56855f8facf4444bb7da83ce0a820570"/>
      <w:bookmarkStart w:id="33" w:name="z56855f8facf4444bb7da83ce0a820570"/>
      <w:bookmarkEnd w:id="33"/>
    </w:p>
    <w:tbl>
      <w:tblPr>
        <w:tblW w:w="10205" w:type="dxa"/>
        <w:jc w:val="left"/>
        <w:tblInd w:w="0" w:type="dxa"/>
        <w:tblLayout w:type="fixed"/>
        <w:tblCellMar>
          <w:top w:w="0" w:type="dxa"/>
          <w:left w:w="0" w:type="dxa"/>
          <w:bottom w:w="0" w:type="dxa"/>
          <w:right w:w="0" w:type="dxa"/>
        </w:tblCellMar>
      </w:tblPr>
      <w:tblGrid>
        <w:gridCol w:w="258"/>
        <w:gridCol w:w="9947"/>
      </w:tblGrid>
      <w:tr>
        <w:trPr/>
        <w:tc>
          <w:tcPr>
            <w:tcW w:w="258" w:type="dxa"/>
            <w:tcBorders/>
            <w:vAlign w:val="center"/>
          </w:tcPr>
          <w:p>
            <w:pPr>
              <w:pStyle w:val="TableContents"/>
              <w:bidi w:val="0"/>
              <w:spacing w:before="0" w:after="283"/>
              <w:jc w:val="left"/>
              <w:rPr>
                <w:i/>
              </w:rPr>
            </w:pPr>
            <w:r>
              <w:rPr>
                <w:i/>
              </w:rPr>
              <w:t>(3)</w:t>
            </w:r>
          </w:p>
        </w:tc>
        <w:tc>
          <w:tcPr>
            <w:tcW w:w="9947" w:type="dxa"/>
            <w:tcBorders/>
            <w:vAlign w:val="center"/>
          </w:tcPr>
          <w:p>
            <w:pPr>
              <w:pStyle w:val="TableContents"/>
              <w:bidi w:val="0"/>
              <w:spacing w:before="0" w:after="0"/>
              <w:jc w:val="both"/>
              <w:rPr>
                <w:i/>
              </w:rPr>
            </w:pPr>
            <w:r>
              <w:rPr>
                <w:i/>
              </w:rPr>
              <w:t>Zim Norfolk and Zim Xiamen were forward extended for 60 – 63 months. The extensions are expected to commence between 2Q-3Q 2027 and are expected to generate average annualized Adjusted EBITDA of approximately $13.5 million per ship.</w:t>
            </w:r>
          </w:p>
        </w:tc>
      </w:tr>
    </w:tbl>
    <w:p>
      <w:pPr>
        <w:pStyle w:val="Normal"/>
        <w:bidi w:val="0"/>
        <w:spacing w:before="0" w:after="0"/>
        <w:jc w:val="left"/>
        <w:rPr>
          <w:sz w:val="4"/>
          <w:szCs w:val="4"/>
        </w:rPr>
      </w:pPr>
      <w:r>
        <w:rPr>
          <w:sz w:val="4"/>
          <w:szCs w:val="4"/>
        </w:rPr>
      </w:r>
      <w:bookmarkStart w:id="34" w:name="zcc98af44ae6f4a79a7d52fd7a74e00f3"/>
      <w:bookmarkStart w:id="35" w:name="zcc98af44ae6f4a79a7d52fd7a74e00f3"/>
      <w:bookmarkEnd w:id="35"/>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83"/>
              <w:jc w:val="left"/>
              <w:rPr>
                <w:i/>
              </w:rPr>
            </w:pPr>
            <w:r>
              <w:rPr>
                <w:i/>
              </w:rPr>
              <w:t>(4)</w:t>
            </w:r>
          </w:p>
        </w:tc>
        <w:tc>
          <w:tcPr>
            <w:tcW w:w="9930" w:type="dxa"/>
            <w:tcBorders/>
            <w:vAlign w:val="center"/>
          </w:tcPr>
          <w:p>
            <w:pPr>
              <w:pStyle w:val="TableContents"/>
              <w:bidi w:val="0"/>
              <w:spacing w:before="0" w:after="0"/>
              <w:jc w:val="both"/>
              <w:rPr>
                <w:i/>
              </w:rPr>
            </w:pPr>
            <w:r>
              <w:rPr>
                <w:i/>
              </w:rPr>
              <w:t>Anthea Y is fixed for 36 months +/- 30 days and is chartered at a rate expected to generate average annualized Adjusted EBITDA of approximately $12.6 million.</w:t>
            </w:r>
          </w:p>
        </w:tc>
      </w:tr>
    </w:tbl>
    <w:p>
      <w:pPr>
        <w:pStyle w:val="Normal"/>
        <w:bidi w:val="0"/>
        <w:spacing w:before="0" w:after="0"/>
        <w:jc w:val="left"/>
        <w:rPr>
          <w:sz w:val="4"/>
          <w:szCs w:val="4"/>
        </w:rPr>
      </w:pPr>
      <w:r>
        <w:rPr>
          <w:sz w:val="4"/>
          <w:szCs w:val="4"/>
        </w:rPr>
      </w:r>
      <w:bookmarkStart w:id="36" w:name="z98e7111fb3a241eea5faf1508b4218f6"/>
      <w:bookmarkStart w:id="37" w:name="z98e7111fb3a241eea5faf1508b4218f6"/>
      <w:bookmarkEnd w:id="37"/>
    </w:p>
    <w:tbl>
      <w:tblPr>
        <w:tblW w:w="10205" w:type="dxa"/>
        <w:jc w:val="left"/>
        <w:tblInd w:w="0" w:type="dxa"/>
        <w:tblLayout w:type="fixed"/>
        <w:tblCellMar>
          <w:top w:w="0" w:type="dxa"/>
          <w:left w:w="0" w:type="dxa"/>
          <w:bottom w:w="0" w:type="dxa"/>
          <w:right w:w="0" w:type="dxa"/>
        </w:tblCellMar>
      </w:tblPr>
      <w:tblGrid>
        <w:gridCol w:w="239"/>
        <w:gridCol w:w="9966"/>
      </w:tblGrid>
      <w:tr>
        <w:trPr/>
        <w:tc>
          <w:tcPr>
            <w:tcW w:w="239" w:type="dxa"/>
            <w:tcBorders/>
            <w:vAlign w:val="center"/>
          </w:tcPr>
          <w:p>
            <w:pPr>
              <w:pStyle w:val="TableContents"/>
              <w:bidi w:val="0"/>
              <w:spacing w:before="0" w:after="283"/>
              <w:jc w:val="left"/>
              <w:rPr>
                <w:i/>
              </w:rPr>
            </w:pPr>
            <w:r>
              <w:rPr>
                <w:i/>
              </w:rPr>
              <w:t>(5)</w:t>
            </w:r>
          </w:p>
        </w:tc>
        <w:tc>
          <w:tcPr>
            <w:tcW w:w="9966" w:type="dxa"/>
            <w:tcBorders/>
            <w:vAlign w:val="center"/>
          </w:tcPr>
          <w:p>
            <w:pPr>
              <w:pStyle w:val="TableContents"/>
              <w:bidi w:val="0"/>
              <w:spacing w:before="0" w:after="0"/>
              <w:jc w:val="both"/>
              <w:rPr>
                <w:i/>
              </w:rPr>
            </w:pPr>
            <w:r>
              <w:rPr>
                <w:i/>
              </w:rPr>
              <w:t>Sydney Express, Istanbul Express, Bremerhaven Express and Czech were contracted for purchase in 4Q 2024, with three vessels delivered in December 2024 and the fourth in January 2025. Contract cover for each vessel is for a varied median firm duration extending for an average of 1.7 years, or up to an average of 5.1 years if all charterers’ options are exercised. Sydney Express, Istanbul Express, Bremerhaven Express and Czech charters are expected to generate average annualized Adjusted EBITDA of approximately $9.5 million per ship. 12-month extension options were exercised in 3Q 2025 for Bremerhaven Express and Sydney Express. 12-month extension options were exercised in 2Q 2026 for Istanbul Express and Czech.</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Page 8</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38" w:name="z935ae783809c479babcfc98e3f529c1f"/>
      <w:bookmarkStart w:id="39" w:name="z935ae783809c479babcfc98e3f529c1f"/>
      <w:bookmarkEnd w:id="39"/>
    </w:p>
    <w:tbl>
      <w:tblPr>
        <w:tblW w:w="10205" w:type="dxa"/>
        <w:jc w:val="left"/>
        <w:tblInd w:w="0" w:type="dxa"/>
        <w:tblLayout w:type="fixed"/>
        <w:tblCellMar>
          <w:top w:w="0" w:type="dxa"/>
          <w:left w:w="0" w:type="dxa"/>
          <w:bottom w:w="0" w:type="dxa"/>
          <w:right w:w="0" w:type="dxa"/>
        </w:tblCellMar>
      </w:tblPr>
      <w:tblGrid>
        <w:gridCol w:w="240"/>
        <w:gridCol w:w="9965"/>
      </w:tblGrid>
      <w:tr>
        <w:trPr/>
        <w:tc>
          <w:tcPr>
            <w:tcW w:w="240" w:type="dxa"/>
            <w:tcBorders/>
            <w:vAlign w:val="center"/>
          </w:tcPr>
          <w:p>
            <w:pPr>
              <w:pStyle w:val="TableContents"/>
              <w:bidi w:val="0"/>
              <w:spacing w:before="0" w:after="283"/>
              <w:jc w:val="left"/>
              <w:rPr>
                <w:i/>
              </w:rPr>
            </w:pPr>
            <w:r>
              <w:rPr>
                <w:i/>
              </w:rPr>
              <w:t>(6)</w:t>
            </w:r>
          </w:p>
        </w:tc>
        <w:tc>
          <w:tcPr>
            <w:tcW w:w="9965" w:type="dxa"/>
            <w:tcBorders/>
            <w:vAlign w:val="center"/>
          </w:tcPr>
          <w:p>
            <w:pPr>
              <w:pStyle w:val="TableContents"/>
              <w:bidi w:val="0"/>
              <w:spacing w:before="0" w:after="0"/>
              <w:jc w:val="both"/>
              <w:rPr>
                <w:i/>
              </w:rPr>
            </w:pPr>
            <w:r>
              <w:rPr>
                <w:i/>
              </w:rPr>
              <w:t>MSC Tianjin, MSC Qingdao and Agios Dimitrios charters are expected to generate average annualized Adjusted EBITDA of approximately $6.9 million, $8.1 million, and $5.9 million, respectively. MSC Tianjin, MSC Qingdao and Agios Dimitrios were forward fixed for 36 – 38 months with the new charters expected to commence between 3Q-4Q 2027. MSC Tianjin, MSC Qingdao and Agios Dimitrios new charters are expected to generate average annualized Adjusted EBITDA of approximately $7.8 million, $7.8 million, and $7.1 million, respectively. MSC Qingdao &amp; Agios Dimitrios are fitted with Exhaust Gas Cleaning Systems (“scrubbers”).</w:t>
            </w:r>
          </w:p>
        </w:tc>
      </w:tr>
    </w:tbl>
    <w:p>
      <w:pPr>
        <w:pStyle w:val="Normal"/>
        <w:bidi w:val="0"/>
        <w:spacing w:before="0" w:after="0"/>
        <w:jc w:val="left"/>
        <w:rPr>
          <w:sz w:val="4"/>
          <w:szCs w:val="4"/>
        </w:rPr>
      </w:pPr>
      <w:r>
        <w:rPr>
          <w:sz w:val="4"/>
          <w:szCs w:val="4"/>
        </w:rPr>
      </w:r>
      <w:bookmarkStart w:id="40" w:name="zc64d099efd2c4b0184de8453092b7ee7"/>
      <w:bookmarkStart w:id="41" w:name="zc64d099efd2c4b0184de8453092b7ee7"/>
      <w:bookmarkEnd w:id="41"/>
    </w:p>
    <w:tbl>
      <w:tblPr>
        <w:tblW w:w="10205" w:type="dxa"/>
        <w:jc w:val="left"/>
        <w:tblInd w:w="0" w:type="dxa"/>
        <w:tblLayout w:type="fixed"/>
        <w:tblCellMar>
          <w:top w:w="0" w:type="dxa"/>
          <w:left w:w="0" w:type="dxa"/>
          <w:bottom w:w="0" w:type="dxa"/>
          <w:right w:w="0" w:type="dxa"/>
        </w:tblCellMar>
      </w:tblPr>
      <w:tblGrid>
        <w:gridCol w:w="251"/>
        <w:gridCol w:w="9954"/>
      </w:tblGrid>
      <w:tr>
        <w:trPr/>
        <w:tc>
          <w:tcPr>
            <w:tcW w:w="251" w:type="dxa"/>
            <w:tcBorders/>
            <w:vAlign w:val="center"/>
          </w:tcPr>
          <w:p>
            <w:pPr>
              <w:pStyle w:val="TableContents"/>
              <w:bidi w:val="0"/>
              <w:spacing w:before="0" w:after="283"/>
              <w:jc w:val="left"/>
              <w:rPr>
                <w:i/>
              </w:rPr>
            </w:pPr>
            <w:r>
              <w:rPr>
                <w:i/>
              </w:rPr>
              <w:t>(7)</w:t>
            </w:r>
          </w:p>
        </w:tc>
        <w:tc>
          <w:tcPr>
            <w:tcW w:w="9954" w:type="dxa"/>
            <w:tcBorders/>
            <w:vAlign w:val="center"/>
          </w:tcPr>
          <w:p>
            <w:pPr>
              <w:pStyle w:val="TableContents"/>
              <w:bidi w:val="0"/>
              <w:spacing w:before="0" w:after="0"/>
              <w:jc w:val="both"/>
              <w:rPr>
                <w:i/>
              </w:rPr>
            </w:pPr>
            <w:r>
              <w:rPr>
                <w:i/>
              </w:rPr>
              <w:t>GSL Ningbo is chartered at a rate expected to generate average annualized Adjusted EBITDA of approximately $16.5 million. GSL Ningbo is forward fixed for 36 – 38 months with the new charter expected to commence on 3Q 2027 and is expected to generate average annualized Adjusted EBITDA of approximately $7.8 million.</w:t>
            </w:r>
          </w:p>
        </w:tc>
      </w:tr>
    </w:tbl>
    <w:p>
      <w:pPr>
        <w:pStyle w:val="Normal"/>
        <w:bidi w:val="0"/>
        <w:spacing w:before="0" w:after="0"/>
        <w:jc w:val="left"/>
        <w:rPr>
          <w:sz w:val="4"/>
          <w:szCs w:val="4"/>
        </w:rPr>
      </w:pPr>
      <w:r>
        <w:rPr>
          <w:sz w:val="4"/>
          <w:szCs w:val="4"/>
        </w:rPr>
      </w:r>
      <w:bookmarkStart w:id="42" w:name="za872aa321fe64c8191f871de95f6fece"/>
      <w:bookmarkStart w:id="43" w:name="za872aa321fe64c8191f871de95f6fece"/>
      <w:bookmarkEnd w:id="43"/>
    </w:p>
    <w:tbl>
      <w:tblPr>
        <w:tblW w:w="10205" w:type="dxa"/>
        <w:jc w:val="left"/>
        <w:tblInd w:w="0" w:type="dxa"/>
        <w:tblLayout w:type="fixed"/>
        <w:tblCellMar>
          <w:top w:w="0" w:type="dxa"/>
          <w:left w:w="0" w:type="dxa"/>
          <w:bottom w:w="0" w:type="dxa"/>
          <w:right w:w="0" w:type="dxa"/>
        </w:tblCellMar>
      </w:tblPr>
      <w:tblGrid>
        <w:gridCol w:w="237"/>
        <w:gridCol w:w="9968"/>
      </w:tblGrid>
      <w:tr>
        <w:trPr/>
        <w:tc>
          <w:tcPr>
            <w:tcW w:w="237" w:type="dxa"/>
            <w:tcBorders/>
            <w:vAlign w:val="center"/>
          </w:tcPr>
          <w:p>
            <w:pPr>
              <w:pStyle w:val="TableContents"/>
              <w:bidi w:val="0"/>
              <w:spacing w:before="0" w:after="283"/>
              <w:jc w:val="left"/>
              <w:rPr>
                <w:i/>
              </w:rPr>
            </w:pPr>
            <w:r>
              <w:rPr>
                <w:i/>
              </w:rPr>
              <w:t>(8)</w:t>
            </w:r>
          </w:p>
        </w:tc>
        <w:tc>
          <w:tcPr>
            <w:tcW w:w="9968" w:type="dxa"/>
            <w:tcBorders/>
            <w:vAlign w:val="center"/>
          </w:tcPr>
          <w:p>
            <w:pPr>
              <w:pStyle w:val="TableContents"/>
              <w:bidi w:val="0"/>
              <w:spacing w:before="0" w:after="0"/>
              <w:jc w:val="both"/>
              <w:rPr>
                <w:i/>
              </w:rPr>
            </w:pPr>
            <w:r>
              <w:rPr>
                <w:i/>
              </w:rPr>
              <w:t>GSL Alexandra, GSL Sofia, GSL Effie and GSL Lydia. After the initial charter period, extension options were exercised by charterers at rates expected to generate average annualized Adjusted EBITDA of approximately $4.9 million per ship. Thereafter, the ships have been forward fixed for approximately 24 months, with the new charters expected to commence in 3Q 2026 and generate average annualized Adjusted EBITDA of approximately $8.1 million per ship. During 2Q 2026, GSL Alexandra, GSL Sofia, GSL Lydia and GSL Effie were further forward fixed for 36 – 38 months plus optional period of 24 – 26 months to commence after drydocking at rates expected to generate average annualized Adjusted EBITDA of approximately $5.6 million per ship. The new charters (firm period plus two-year option) may be cancelled by charterers at any time up to April 1, 2027.</w:t>
            </w:r>
          </w:p>
        </w:tc>
      </w:tr>
    </w:tbl>
    <w:p>
      <w:pPr>
        <w:pStyle w:val="Normal"/>
        <w:bidi w:val="0"/>
        <w:spacing w:before="0" w:after="0"/>
        <w:jc w:val="left"/>
        <w:rPr>
          <w:sz w:val="4"/>
          <w:szCs w:val="4"/>
        </w:rPr>
      </w:pPr>
      <w:r>
        <w:rPr>
          <w:sz w:val="4"/>
          <w:szCs w:val="4"/>
        </w:rPr>
      </w:r>
      <w:bookmarkStart w:id="44" w:name="z55964c87374d4de69f99a020f8d0e265"/>
      <w:bookmarkStart w:id="45" w:name="z55964c87374d4de69f99a020f8d0e265"/>
      <w:bookmarkEnd w:id="45"/>
    </w:p>
    <w:tbl>
      <w:tblPr>
        <w:tblW w:w="10205" w:type="dxa"/>
        <w:jc w:val="left"/>
        <w:tblInd w:w="0" w:type="dxa"/>
        <w:tblLayout w:type="fixed"/>
        <w:tblCellMar>
          <w:top w:w="0" w:type="dxa"/>
          <w:left w:w="0" w:type="dxa"/>
          <w:bottom w:w="0" w:type="dxa"/>
          <w:right w:w="0" w:type="dxa"/>
        </w:tblCellMar>
      </w:tblPr>
      <w:tblGrid>
        <w:gridCol w:w="248"/>
        <w:gridCol w:w="9957"/>
      </w:tblGrid>
      <w:tr>
        <w:trPr/>
        <w:tc>
          <w:tcPr>
            <w:tcW w:w="248" w:type="dxa"/>
            <w:tcBorders/>
            <w:vAlign w:val="center"/>
          </w:tcPr>
          <w:p>
            <w:pPr>
              <w:pStyle w:val="TableContents"/>
              <w:bidi w:val="0"/>
              <w:spacing w:before="0" w:after="283"/>
              <w:jc w:val="left"/>
              <w:rPr>
                <w:i/>
              </w:rPr>
            </w:pPr>
            <w:r>
              <w:rPr>
                <w:i/>
              </w:rPr>
              <w:t>(9)</w:t>
            </w:r>
          </w:p>
        </w:tc>
        <w:tc>
          <w:tcPr>
            <w:tcW w:w="9957" w:type="dxa"/>
            <w:tcBorders/>
            <w:vAlign w:val="center"/>
          </w:tcPr>
          <w:p>
            <w:pPr>
              <w:pStyle w:val="TableContents"/>
              <w:bidi w:val="0"/>
              <w:spacing w:before="0" w:after="0"/>
              <w:jc w:val="both"/>
              <w:rPr>
                <w:i/>
              </w:rPr>
            </w:pPr>
            <w:r>
              <w:rPr>
                <w:i/>
              </w:rPr>
              <w:t>Lotus A and Koi were delivered to our fleet on December 12, 2025, and December 29, 2025, respectively. Cypress was delivered on January 9, 2026. Lotus A, Koi and Cypress charters have flexible durations, with latest redeliveries in mid-2030, and are expected to generate average annualized Adjusted EBITDA of approximately $3.5 million, $3.1 million, and $3.1 million respectively.</w:t>
            </w:r>
          </w:p>
        </w:tc>
      </w:tr>
    </w:tbl>
    <w:p>
      <w:pPr>
        <w:pStyle w:val="Normal"/>
        <w:bidi w:val="0"/>
        <w:spacing w:before="0" w:after="0"/>
        <w:jc w:val="left"/>
        <w:rPr>
          <w:sz w:val="4"/>
          <w:szCs w:val="4"/>
        </w:rPr>
      </w:pPr>
      <w:r>
        <w:rPr>
          <w:sz w:val="4"/>
          <w:szCs w:val="4"/>
        </w:rPr>
      </w:r>
      <w:bookmarkStart w:id="46" w:name="z3aaf375dbaff4d4389fa2cf15513e8aa"/>
      <w:bookmarkStart w:id="47" w:name="z3aaf375dbaff4d4389fa2cf15513e8aa"/>
      <w:bookmarkEnd w:id="47"/>
    </w:p>
    <w:tbl>
      <w:tblPr>
        <w:tblW w:w="10205" w:type="dxa"/>
        <w:jc w:val="left"/>
        <w:tblInd w:w="0" w:type="dxa"/>
        <w:tblLayout w:type="fixed"/>
        <w:tblCellMar>
          <w:top w:w="0" w:type="dxa"/>
          <w:left w:w="0" w:type="dxa"/>
          <w:bottom w:w="0" w:type="dxa"/>
          <w:right w:w="0" w:type="dxa"/>
        </w:tblCellMar>
      </w:tblPr>
      <w:tblGrid>
        <w:gridCol w:w="373"/>
        <w:gridCol w:w="9832"/>
      </w:tblGrid>
      <w:tr>
        <w:trPr/>
        <w:tc>
          <w:tcPr>
            <w:tcW w:w="373" w:type="dxa"/>
            <w:tcBorders/>
            <w:vAlign w:val="center"/>
          </w:tcPr>
          <w:p>
            <w:pPr>
              <w:pStyle w:val="TableContents"/>
              <w:bidi w:val="0"/>
              <w:spacing w:before="0" w:after="283"/>
              <w:jc w:val="left"/>
              <w:rPr>
                <w:i/>
              </w:rPr>
            </w:pPr>
            <w:r>
              <w:rPr>
                <w:i/>
              </w:rPr>
              <w:t>(10)</w:t>
            </w:r>
          </w:p>
        </w:tc>
        <w:tc>
          <w:tcPr>
            <w:tcW w:w="9832" w:type="dxa"/>
            <w:tcBorders/>
            <w:vAlign w:val="center"/>
          </w:tcPr>
          <w:p>
            <w:pPr>
              <w:pStyle w:val="TableContents"/>
              <w:bidi w:val="0"/>
              <w:spacing w:before="0" w:after="0"/>
              <w:jc w:val="both"/>
              <w:rPr>
                <w:i/>
              </w:rPr>
            </w:pPr>
            <w:r>
              <w:rPr>
                <w:i/>
              </w:rPr>
              <w:t>GSL Eleni, GSL Kalliopi and GSL Grania, are chartered for 35 – 38 months, after which the charterer has the option to extend each charter for a further 12 – 16 months. Each charter is expected to generate average annualized Adjusted EBITDA of approximately $9.6 million for the firm period.</w:t>
            </w:r>
          </w:p>
        </w:tc>
      </w:tr>
    </w:tbl>
    <w:p>
      <w:pPr>
        <w:pStyle w:val="Normal"/>
        <w:bidi w:val="0"/>
        <w:spacing w:before="0" w:after="0"/>
        <w:jc w:val="left"/>
        <w:rPr>
          <w:sz w:val="4"/>
          <w:szCs w:val="4"/>
        </w:rPr>
      </w:pPr>
      <w:r>
        <w:rPr>
          <w:sz w:val="4"/>
          <w:szCs w:val="4"/>
        </w:rPr>
      </w:r>
      <w:bookmarkStart w:id="48" w:name="z676c65ad2a27466d859b79c514a98b82"/>
      <w:bookmarkStart w:id="49" w:name="z676c65ad2a27466d859b79c514a98b82"/>
      <w:bookmarkEnd w:id="49"/>
    </w:p>
    <w:tbl>
      <w:tblPr>
        <w:tblW w:w="10205" w:type="dxa"/>
        <w:jc w:val="left"/>
        <w:tblInd w:w="0" w:type="dxa"/>
        <w:tblLayout w:type="fixed"/>
        <w:tblCellMar>
          <w:top w:w="0" w:type="dxa"/>
          <w:left w:w="0" w:type="dxa"/>
          <w:bottom w:w="0" w:type="dxa"/>
          <w:right w:w="0" w:type="dxa"/>
        </w:tblCellMar>
      </w:tblPr>
      <w:tblGrid>
        <w:gridCol w:w="365"/>
        <w:gridCol w:w="9840"/>
      </w:tblGrid>
      <w:tr>
        <w:trPr/>
        <w:tc>
          <w:tcPr>
            <w:tcW w:w="365" w:type="dxa"/>
            <w:tcBorders/>
            <w:vAlign w:val="center"/>
          </w:tcPr>
          <w:p>
            <w:pPr>
              <w:pStyle w:val="TableContents"/>
              <w:bidi w:val="0"/>
              <w:spacing w:before="0" w:after="283"/>
              <w:jc w:val="left"/>
              <w:rPr>
                <w:i/>
              </w:rPr>
            </w:pPr>
            <w:r>
              <w:rPr>
                <w:i/>
              </w:rPr>
              <w:t>(11)</w:t>
            </w:r>
          </w:p>
        </w:tc>
        <w:tc>
          <w:tcPr>
            <w:tcW w:w="9840" w:type="dxa"/>
            <w:tcBorders/>
            <w:vAlign w:val="center"/>
          </w:tcPr>
          <w:p>
            <w:pPr>
              <w:pStyle w:val="TableContents"/>
              <w:bidi w:val="0"/>
              <w:spacing w:before="0" w:after="0"/>
              <w:jc w:val="both"/>
              <w:rPr>
                <w:i/>
              </w:rPr>
            </w:pPr>
            <w:r>
              <w:rPr>
                <w:i/>
              </w:rPr>
              <w:t>Colombia Express (ex Mary), Panama Express (ex Kristina), Costa Rica Express (ex Katherine), Nicaragua Express (ex Alexandra), Mexico Express (ex Alexis), Jamaica Express (ex Olivia I) are fixed to Hapag-Lloyd for 60 months +/- 45 days, followed by two periods of 12 months each at the option of the charterer. The charters are expected to generate average annualized Adjusted EBITDA of approximately $13.1 million per ship.</w:t>
            </w:r>
          </w:p>
        </w:tc>
      </w:tr>
    </w:tbl>
    <w:p>
      <w:pPr>
        <w:pStyle w:val="Normal"/>
        <w:bidi w:val="0"/>
        <w:spacing w:before="0" w:after="0"/>
        <w:jc w:val="left"/>
        <w:rPr>
          <w:sz w:val="4"/>
          <w:szCs w:val="4"/>
        </w:rPr>
      </w:pPr>
      <w:r>
        <w:rPr>
          <w:sz w:val="4"/>
          <w:szCs w:val="4"/>
        </w:rPr>
      </w:r>
      <w:bookmarkStart w:id="50" w:name="z8592b9b1526f4723933ea9db3dcc6659"/>
      <w:bookmarkStart w:id="51" w:name="z8592b9b1526f4723933ea9db3dcc6659"/>
      <w:bookmarkEnd w:id="51"/>
    </w:p>
    <w:tbl>
      <w:tblPr>
        <w:tblW w:w="10205" w:type="dxa"/>
        <w:jc w:val="left"/>
        <w:tblInd w:w="0" w:type="dxa"/>
        <w:tblLayout w:type="fixed"/>
        <w:tblCellMar>
          <w:top w:w="0" w:type="dxa"/>
          <w:left w:w="0" w:type="dxa"/>
          <w:bottom w:w="0" w:type="dxa"/>
          <w:right w:w="0" w:type="dxa"/>
        </w:tblCellMar>
      </w:tblPr>
      <w:tblGrid>
        <w:gridCol w:w="387"/>
        <w:gridCol w:w="9818"/>
      </w:tblGrid>
      <w:tr>
        <w:trPr/>
        <w:tc>
          <w:tcPr>
            <w:tcW w:w="387" w:type="dxa"/>
            <w:tcBorders/>
            <w:vAlign w:val="center"/>
          </w:tcPr>
          <w:p>
            <w:pPr>
              <w:pStyle w:val="TableContents"/>
              <w:bidi w:val="0"/>
              <w:spacing w:before="0" w:after="283"/>
              <w:jc w:val="left"/>
              <w:rPr>
                <w:i/>
              </w:rPr>
            </w:pPr>
            <w:r>
              <w:rPr>
                <w:i/>
              </w:rPr>
              <w:t>(12)</w:t>
            </w:r>
          </w:p>
        </w:tc>
        <w:tc>
          <w:tcPr>
            <w:tcW w:w="9818" w:type="dxa"/>
            <w:tcBorders/>
            <w:vAlign w:val="center"/>
          </w:tcPr>
          <w:p>
            <w:pPr>
              <w:pStyle w:val="TableContents"/>
              <w:bidi w:val="0"/>
              <w:spacing w:before="0" w:after="0"/>
              <w:jc w:val="both"/>
              <w:rPr>
                <w:i/>
              </w:rPr>
            </w:pPr>
            <w:r>
              <w:rPr>
                <w:i/>
              </w:rPr>
              <w:t>Ateti (ex CMA CGM Berlioz) is fixed for 36 – 38 months. The charter commenced in 2Q 2026 and is expected to generate average annualized Adjusted EBITDA of approximately $6.8 million.</w:t>
            </w:r>
          </w:p>
        </w:tc>
      </w:tr>
    </w:tbl>
    <w:p>
      <w:pPr>
        <w:pStyle w:val="Normal"/>
        <w:bidi w:val="0"/>
        <w:spacing w:before="0" w:after="0"/>
        <w:jc w:val="left"/>
        <w:rPr>
          <w:sz w:val="4"/>
          <w:szCs w:val="4"/>
        </w:rPr>
      </w:pPr>
      <w:r>
        <w:rPr>
          <w:sz w:val="4"/>
          <w:szCs w:val="4"/>
        </w:rPr>
      </w:r>
      <w:bookmarkStart w:id="52" w:name="z6ae22cbf6e0249aea87cac409a36ea9c"/>
      <w:bookmarkStart w:id="53" w:name="z6ae22cbf6e0249aea87cac409a36ea9c"/>
      <w:bookmarkEnd w:id="53"/>
    </w:p>
    <w:tbl>
      <w:tblPr>
        <w:tblW w:w="10205" w:type="dxa"/>
        <w:jc w:val="left"/>
        <w:tblInd w:w="0" w:type="dxa"/>
        <w:tblLayout w:type="fixed"/>
        <w:tblCellMar>
          <w:top w:w="0" w:type="dxa"/>
          <w:left w:w="0" w:type="dxa"/>
          <w:bottom w:w="0" w:type="dxa"/>
          <w:right w:w="0" w:type="dxa"/>
        </w:tblCellMar>
      </w:tblPr>
      <w:tblGrid>
        <w:gridCol w:w="400"/>
        <w:gridCol w:w="9805"/>
      </w:tblGrid>
      <w:tr>
        <w:trPr/>
        <w:tc>
          <w:tcPr>
            <w:tcW w:w="400" w:type="dxa"/>
            <w:tcBorders/>
            <w:vAlign w:val="center"/>
          </w:tcPr>
          <w:p>
            <w:pPr>
              <w:pStyle w:val="TableContents"/>
              <w:bidi w:val="0"/>
              <w:spacing w:before="0" w:after="283"/>
              <w:jc w:val="left"/>
              <w:rPr>
                <w:i/>
              </w:rPr>
            </w:pPr>
            <w:r>
              <w:rPr>
                <w:i/>
              </w:rPr>
              <w:t>(13)</w:t>
            </w:r>
          </w:p>
        </w:tc>
        <w:tc>
          <w:tcPr>
            <w:tcW w:w="9805" w:type="dxa"/>
            <w:tcBorders/>
            <w:vAlign w:val="center"/>
          </w:tcPr>
          <w:p>
            <w:pPr>
              <w:pStyle w:val="TableContents"/>
              <w:bidi w:val="0"/>
              <w:spacing w:before="0" w:after="0"/>
              <w:jc w:val="both"/>
              <w:rPr>
                <w:i/>
              </w:rPr>
            </w:pPr>
            <w:r>
              <w:rPr>
                <w:i/>
              </w:rPr>
              <w:t>GSL Nicoletta and GSL Christen charters are expected to generate average annualized Adjusted EBITDA of approximately $11.3 million per ship.</w:t>
            </w:r>
          </w:p>
        </w:tc>
      </w:tr>
    </w:tbl>
    <w:p>
      <w:pPr>
        <w:pStyle w:val="Normal"/>
        <w:bidi w:val="0"/>
        <w:spacing w:before="0" w:after="0"/>
        <w:jc w:val="left"/>
        <w:rPr>
          <w:sz w:val="4"/>
          <w:szCs w:val="4"/>
        </w:rPr>
      </w:pPr>
      <w:r>
        <w:rPr>
          <w:sz w:val="4"/>
          <w:szCs w:val="4"/>
        </w:rPr>
      </w:r>
      <w:bookmarkStart w:id="54" w:name="z92bdfe87cfad4680938b5f051abab799"/>
      <w:bookmarkStart w:id="55" w:name="z92bdfe87cfad4680938b5f051abab799"/>
      <w:bookmarkEnd w:id="55"/>
    </w:p>
    <w:tbl>
      <w:tblPr>
        <w:tblW w:w="10205" w:type="dxa"/>
        <w:jc w:val="left"/>
        <w:tblInd w:w="0" w:type="dxa"/>
        <w:tblLayout w:type="fixed"/>
        <w:tblCellMar>
          <w:top w:w="0" w:type="dxa"/>
          <w:left w:w="0" w:type="dxa"/>
          <w:bottom w:w="0" w:type="dxa"/>
          <w:right w:w="0" w:type="dxa"/>
        </w:tblCellMar>
      </w:tblPr>
      <w:tblGrid>
        <w:gridCol w:w="369"/>
        <w:gridCol w:w="9836"/>
      </w:tblGrid>
      <w:tr>
        <w:trPr/>
        <w:tc>
          <w:tcPr>
            <w:tcW w:w="369" w:type="dxa"/>
            <w:tcBorders/>
            <w:vAlign w:val="center"/>
          </w:tcPr>
          <w:p>
            <w:pPr>
              <w:pStyle w:val="TableContents"/>
              <w:bidi w:val="0"/>
              <w:spacing w:before="0" w:after="283"/>
              <w:jc w:val="left"/>
              <w:rPr>
                <w:i/>
              </w:rPr>
            </w:pPr>
            <w:r>
              <w:rPr>
                <w:i/>
              </w:rPr>
              <w:t>(14)</w:t>
            </w:r>
          </w:p>
        </w:tc>
        <w:tc>
          <w:tcPr>
            <w:tcW w:w="9836" w:type="dxa"/>
            <w:tcBorders/>
            <w:vAlign w:val="center"/>
          </w:tcPr>
          <w:p>
            <w:pPr>
              <w:pStyle w:val="TableContents"/>
              <w:bidi w:val="0"/>
              <w:spacing w:before="0" w:after="0"/>
              <w:jc w:val="both"/>
              <w:rPr>
                <w:i/>
              </w:rPr>
            </w:pPr>
            <w:r>
              <w:rPr>
                <w:i/>
              </w:rPr>
              <w:t>GSL Vinia and GSL Christel Elizabeth are chartered for 36 – 40 months, after which the charterer has the option to extend each charter for a further 12 – 15 months. The charters are expected to generate average annualized Adjusted EBITDA of approximately $11.2 million per ship for the firm period and $5.8 million per ship for the option period.</w:t>
            </w:r>
          </w:p>
        </w:tc>
      </w:tr>
    </w:tbl>
    <w:p>
      <w:pPr>
        <w:pStyle w:val="Normal"/>
        <w:bidi w:val="0"/>
        <w:spacing w:before="0" w:after="0"/>
        <w:jc w:val="left"/>
        <w:rPr>
          <w:sz w:val="4"/>
          <w:szCs w:val="4"/>
        </w:rPr>
      </w:pPr>
      <w:r>
        <w:rPr>
          <w:sz w:val="4"/>
          <w:szCs w:val="4"/>
        </w:rPr>
      </w:r>
      <w:bookmarkStart w:id="56" w:name="z1f031c6fd1a94ef696be872b14769fa6"/>
      <w:bookmarkStart w:id="57" w:name="z1f031c6fd1a94ef696be872b14769fa6"/>
      <w:bookmarkEnd w:id="57"/>
    </w:p>
    <w:tbl>
      <w:tblPr>
        <w:tblW w:w="10205" w:type="dxa"/>
        <w:jc w:val="left"/>
        <w:tblInd w:w="0" w:type="dxa"/>
        <w:tblLayout w:type="fixed"/>
        <w:tblCellMar>
          <w:top w:w="0" w:type="dxa"/>
          <w:left w:w="0" w:type="dxa"/>
          <w:bottom w:w="0" w:type="dxa"/>
          <w:right w:w="0" w:type="dxa"/>
        </w:tblCellMar>
      </w:tblPr>
      <w:tblGrid>
        <w:gridCol w:w="356"/>
        <w:gridCol w:w="9849"/>
      </w:tblGrid>
      <w:tr>
        <w:trPr/>
        <w:tc>
          <w:tcPr>
            <w:tcW w:w="356" w:type="dxa"/>
            <w:tcBorders/>
            <w:vAlign w:val="center"/>
          </w:tcPr>
          <w:p>
            <w:pPr>
              <w:pStyle w:val="TableContents"/>
              <w:bidi w:val="0"/>
              <w:spacing w:before="0" w:after="283"/>
              <w:jc w:val="left"/>
              <w:rPr>
                <w:i/>
              </w:rPr>
            </w:pPr>
            <w:r>
              <w:rPr>
                <w:i/>
              </w:rPr>
              <w:t>(15)</w:t>
            </w:r>
          </w:p>
        </w:tc>
        <w:tc>
          <w:tcPr>
            <w:tcW w:w="9849" w:type="dxa"/>
            <w:tcBorders/>
            <w:vAlign w:val="center"/>
          </w:tcPr>
          <w:p>
            <w:pPr>
              <w:pStyle w:val="TableContents"/>
              <w:bidi w:val="0"/>
              <w:spacing w:before="0" w:after="0"/>
              <w:jc w:val="both"/>
              <w:rPr>
                <w:i/>
              </w:rPr>
            </w:pPr>
            <w:r>
              <w:rPr>
                <w:i/>
              </w:rPr>
              <w:t>GSL Maria, GSL Violetta, GSL Arcadia, GSL MYNY, GSL Melita, GSL Tegea and GSL Dorothea. Contract cover for each ship is for a firm period of at least three years from the date each vessel was delivered in 2021, with charterers holding a one-year extension option on each charter (at a rate of $12,900 per day), followed by a second option (at a rate of $12,700 per day) with the period determined by – and terminating prior to – each vessel’s 25th year drydocking &amp; special survey. The first extension options have been exercised for all seven ships. Second extension options were exercised in January 2025 for GSL Dorothea, GSL Arcadia, GSL Melita and GSL Tegea, in April 2025 for GSL MYNY and in September 2025 for GSL Maria. The vessels were forward fixed for 36 – 38 months to a leading liner company. GSL Arcadia, GSL Violetta and GSL MYNY new charters commenced in 1Q 2026. The remaining new charters are expected to commence between 4Q 2026 and 1Q 2027. The new charters are expected to generate average annualized Adjusted EBITDA of approximately $5.6 million per ship.</w:t>
            </w:r>
          </w:p>
        </w:tc>
      </w:tr>
    </w:tbl>
    <w:p>
      <w:pPr>
        <w:pStyle w:val="Normal"/>
        <w:bidi w:val="0"/>
        <w:spacing w:before="0" w:after="0"/>
        <w:jc w:val="left"/>
        <w:rPr>
          <w:sz w:val="4"/>
          <w:szCs w:val="4"/>
        </w:rPr>
      </w:pPr>
      <w:r>
        <w:rPr>
          <w:sz w:val="4"/>
          <w:szCs w:val="4"/>
        </w:rPr>
      </w:r>
      <w:bookmarkStart w:id="58" w:name="z9e8c86f2c5f540ef9c4252074d9a0804"/>
      <w:bookmarkStart w:id="59" w:name="z9e8c86f2c5f540ef9c4252074d9a0804"/>
      <w:bookmarkEnd w:id="59"/>
    </w:p>
    <w:tbl>
      <w:tblPr>
        <w:tblW w:w="10205" w:type="dxa"/>
        <w:jc w:val="left"/>
        <w:tblInd w:w="0" w:type="dxa"/>
        <w:tblLayout w:type="fixed"/>
        <w:tblCellMar>
          <w:top w:w="0" w:type="dxa"/>
          <w:left w:w="0" w:type="dxa"/>
          <w:bottom w:w="0" w:type="dxa"/>
          <w:right w:w="0" w:type="dxa"/>
        </w:tblCellMar>
      </w:tblPr>
      <w:tblGrid>
        <w:gridCol w:w="420"/>
        <w:gridCol w:w="9785"/>
      </w:tblGrid>
      <w:tr>
        <w:trPr/>
        <w:tc>
          <w:tcPr>
            <w:tcW w:w="420" w:type="dxa"/>
            <w:tcBorders/>
            <w:vAlign w:val="center"/>
          </w:tcPr>
          <w:p>
            <w:pPr>
              <w:pStyle w:val="TableContents"/>
              <w:bidi w:val="0"/>
              <w:spacing w:before="0" w:after="283"/>
              <w:jc w:val="left"/>
              <w:rPr>
                <w:i/>
              </w:rPr>
            </w:pPr>
            <w:r>
              <w:rPr>
                <w:i/>
              </w:rPr>
              <w:t>(16)</w:t>
            </w:r>
          </w:p>
        </w:tc>
        <w:tc>
          <w:tcPr>
            <w:tcW w:w="9785" w:type="dxa"/>
            <w:tcBorders/>
            <w:vAlign w:val="center"/>
          </w:tcPr>
          <w:p>
            <w:pPr>
              <w:pStyle w:val="TableContents"/>
              <w:bidi w:val="0"/>
              <w:spacing w:before="0" w:after="0"/>
              <w:jc w:val="both"/>
              <w:rPr>
                <w:i/>
              </w:rPr>
            </w:pPr>
            <w:r>
              <w:rPr>
                <w:i/>
              </w:rPr>
              <w:t>Ian H charter is expected to generate average annualized Adjusted EBITDA of approximately $10.3 million.</w:t>
            </w:r>
          </w:p>
        </w:tc>
      </w:tr>
    </w:tbl>
    <w:p>
      <w:pPr>
        <w:pStyle w:val="Normal"/>
        <w:bidi w:val="0"/>
        <w:spacing w:before="0" w:after="0"/>
        <w:jc w:val="left"/>
        <w:rPr>
          <w:sz w:val="4"/>
          <w:szCs w:val="4"/>
        </w:rPr>
      </w:pPr>
      <w:r>
        <w:rPr>
          <w:sz w:val="4"/>
          <w:szCs w:val="4"/>
        </w:rPr>
      </w:r>
      <w:bookmarkStart w:id="60" w:name="z2e1f33cf81424450b296a145826d7f9c"/>
      <w:bookmarkStart w:id="61" w:name="z2e1f33cf81424450b296a145826d7f9c"/>
      <w:bookmarkEnd w:id="61"/>
    </w:p>
    <w:tbl>
      <w:tblPr>
        <w:tblW w:w="10205" w:type="dxa"/>
        <w:jc w:val="left"/>
        <w:tblInd w:w="0" w:type="dxa"/>
        <w:tblLayout w:type="fixed"/>
        <w:tblCellMar>
          <w:top w:w="0" w:type="dxa"/>
          <w:left w:w="0" w:type="dxa"/>
          <w:bottom w:w="0" w:type="dxa"/>
          <w:right w:w="0" w:type="dxa"/>
        </w:tblCellMar>
      </w:tblPr>
      <w:tblGrid>
        <w:gridCol w:w="391"/>
        <w:gridCol w:w="9814"/>
      </w:tblGrid>
      <w:tr>
        <w:trPr/>
        <w:tc>
          <w:tcPr>
            <w:tcW w:w="391" w:type="dxa"/>
            <w:tcBorders/>
            <w:vAlign w:val="center"/>
          </w:tcPr>
          <w:p>
            <w:pPr>
              <w:pStyle w:val="TableContents"/>
              <w:bidi w:val="0"/>
              <w:spacing w:before="0" w:after="283"/>
              <w:jc w:val="left"/>
              <w:rPr>
                <w:i/>
              </w:rPr>
            </w:pPr>
            <w:r>
              <w:rPr>
                <w:i/>
              </w:rPr>
              <w:t>(17)</w:t>
            </w:r>
          </w:p>
        </w:tc>
        <w:tc>
          <w:tcPr>
            <w:tcW w:w="9814" w:type="dxa"/>
            <w:tcBorders/>
            <w:vAlign w:val="center"/>
          </w:tcPr>
          <w:p>
            <w:pPr>
              <w:pStyle w:val="TableContents"/>
              <w:bidi w:val="0"/>
              <w:spacing w:before="0" w:after="0"/>
              <w:jc w:val="both"/>
              <w:rPr>
                <w:i/>
              </w:rPr>
            </w:pPr>
            <w:r>
              <w:rPr>
                <w:i/>
              </w:rPr>
              <w:t>Dolphin II and Orca I are fixed to a leading liner company. Each charter is expected to generate average annualized Adjusted EBITDA of approximately $10.0 million per ship.</w:t>
            </w:r>
          </w:p>
        </w:tc>
      </w:tr>
    </w:tbl>
    <w:p>
      <w:pPr>
        <w:pStyle w:val="Normal"/>
        <w:bidi w:val="0"/>
        <w:spacing w:before="0" w:after="0"/>
        <w:jc w:val="left"/>
        <w:rPr>
          <w:sz w:val="4"/>
          <w:szCs w:val="4"/>
        </w:rPr>
      </w:pPr>
      <w:r>
        <w:rPr>
          <w:sz w:val="4"/>
          <w:szCs w:val="4"/>
        </w:rPr>
      </w:r>
      <w:bookmarkStart w:id="62" w:name="z6a766047e3424a65a0fcad7e55b77ffc"/>
      <w:bookmarkStart w:id="63" w:name="z6a766047e3424a65a0fcad7e55b77ffc"/>
      <w:bookmarkEnd w:id="63"/>
    </w:p>
    <w:tbl>
      <w:tblPr>
        <w:tblW w:w="10205" w:type="dxa"/>
        <w:jc w:val="left"/>
        <w:tblInd w:w="0" w:type="dxa"/>
        <w:tblLayout w:type="fixed"/>
        <w:tblCellMar>
          <w:top w:w="0" w:type="dxa"/>
          <w:left w:w="0" w:type="dxa"/>
          <w:bottom w:w="0" w:type="dxa"/>
          <w:right w:w="0" w:type="dxa"/>
        </w:tblCellMar>
      </w:tblPr>
      <w:tblGrid>
        <w:gridCol w:w="377"/>
        <w:gridCol w:w="9828"/>
      </w:tblGrid>
      <w:tr>
        <w:trPr/>
        <w:tc>
          <w:tcPr>
            <w:tcW w:w="377" w:type="dxa"/>
            <w:tcBorders/>
            <w:vAlign w:val="center"/>
          </w:tcPr>
          <w:p>
            <w:pPr>
              <w:pStyle w:val="TableContents"/>
              <w:bidi w:val="0"/>
              <w:spacing w:before="0" w:after="283"/>
              <w:jc w:val="left"/>
              <w:rPr>
                <w:i/>
              </w:rPr>
            </w:pPr>
            <w:r>
              <w:rPr>
                <w:i/>
              </w:rPr>
              <w:t>(18)</w:t>
            </w:r>
          </w:p>
        </w:tc>
        <w:tc>
          <w:tcPr>
            <w:tcW w:w="9828" w:type="dxa"/>
            <w:tcBorders/>
            <w:vAlign w:val="center"/>
          </w:tcPr>
          <w:p>
            <w:pPr>
              <w:pStyle w:val="TableContents"/>
              <w:bidi w:val="0"/>
              <w:spacing w:before="0" w:after="0"/>
              <w:jc w:val="both"/>
              <w:rPr>
                <w:i/>
              </w:rPr>
            </w:pPr>
            <w:r>
              <w:rPr>
                <w:i/>
              </w:rPr>
              <w:t>GSL Château d’If and CMA CGM Alcazar were forward fixed for 36 – 38 months. The new charters are expected to commence between 3Q-4Q 2026 and are expected to generate average annualized Adjusted EBITDA of approximately $9.2 million per ship.</w:t>
            </w:r>
          </w:p>
        </w:tc>
      </w:tr>
    </w:tbl>
    <w:p>
      <w:pPr>
        <w:pStyle w:val="Normal"/>
        <w:bidi w:val="0"/>
        <w:spacing w:before="0" w:after="0"/>
        <w:jc w:val="left"/>
        <w:rPr>
          <w:sz w:val="4"/>
          <w:szCs w:val="4"/>
        </w:rPr>
      </w:pPr>
      <w:r>
        <w:rPr>
          <w:sz w:val="4"/>
          <w:szCs w:val="4"/>
        </w:rPr>
      </w:r>
      <w:bookmarkStart w:id="64" w:name="zc1f356f9717641a3a5016ae7c85368c0"/>
      <w:bookmarkStart w:id="65" w:name="zc1f356f9717641a3a5016ae7c85368c0"/>
      <w:bookmarkEnd w:id="65"/>
    </w:p>
    <w:tbl>
      <w:tblPr>
        <w:tblW w:w="10205" w:type="dxa"/>
        <w:jc w:val="left"/>
        <w:tblInd w:w="0" w:type="dxa"/>
        <w:tblLayout w:type="fixed"/>
        <w:tblCellMar>
          <w:top w:w="0" w:type="dxa"/>
          <w:left w:w="0" w:type="dxa"/>
          <w:bottom w:w="0" w:type="dxa"/>
          <w:right w:w="0" w:type="dxa"/>
        </w:tblCellMar>
      </w:tblPr>
      <w:tblGrid>
        <w:gridCol w:w="384"/>
        <w:gridCol w:w="9821"/>
      </w:tblGrid>
      <w:tr>
        <w:trPr/>
        <w:tc>
          <w:tcPr>
            <w:tcW w:w="384" w:type="dxa"/>
            <w:tcBorders/>
            <w:vAlign w:val="center"/>
          </w:tcPr>
          <w:p>
            <w:pPr>
              <w:pStyle w:val="TableContents"/>
              <w:bidi w:val="0"/>
              <w:spacing w:before="0" w:after="283"/>
              <w:jc w:val="left"/>
              <w:rPr>
                <w:i/>
              </w:rPr>
            </w:pPr>
            <w:r>
              <w:rPr>
                <w:i/>
              </w:rPr>
              <w:t>(19)</w:t>
            </w:r>
          </w:p>
        </w:tc>
        <w:tc>
          <w:tcPr>
            <w:tcW w:w="9821" w:type="dxa"/>
            <w:tcBorders/>
            <w:vAlign w:val="center"/>
          </w:tcPr>
          <w:p>
            <w:pPr>
              <w:pStyle w:val="TableContents"/>
              <w:bidi w:val="0"/>
              <w:spacing w:before="0" w:after="0"/>
              <w:jc w:val="both"/>
              <w:rPr>
                <w:i/>
              </w:rPr>
            </w:pPr>
            <w:r>
              <w:rPr>
                <w:i/>
              </w:rPr>
              <w:t>GSL Susan, CMA CGM Jamaica, CMA CGM Sambhar and CMA CGM America are chartered at rates expected to generate average annualized Adjusted EBITDA of approximately $11.2 million per ship.</w:t>
            </w:r>
          </w:p>
        </w:tc>
      </w:tr>
    </w:tbl>
    <w:p>
      <w:pPr>
        <w:pStyle w:val="Normal"/>
        <w:bidi w:val="0"/>
        <w:spacing w:before="0" w:after="0"/>
        <w:jc w:val="left"/>
        <w:rPr>
          <w:sz w:val="4"/>
          <w:szCs w:val="4"/>
        </w:rPr>
      </w:pPr>
      <w:r>
        <w:rPr>
          <w:sz w:val="4"/>
          <w:szCs w:val="4"/>
        </w:rPr>
      </w:r>
      <w:bookmarkStart w:id="66" w:name="z9a2a1d4d2c344cf9b4fe073425ccd23e"/>
      <w:bookmarkStart w:id="67" w:name="z9a2a1d4d2c344cf9b4fe073425ccd23e"/>
      <w:bookmarkEnd w:id="67"/>
    </w:p>
    <w:tbl>
      <w:tblPr>
        <w:tblW w:w="10205" w:type="dxa"/>
        <w:jc w:val="left"/>
        <w:tblInd w:w="0" w:type="dxa"/>
        <w:tblLayout w:type="fixed"/>
        <w:tblCellMar>
          <w:top w:w="0" w:type="dxa"/>
          <w:left w:w="0" w:type="dxa"/>
          <w:bottom w:w="0" w:type="dxa"/>
          <w:right w:w="0" w:type="dxa"/>
        </w:tblCellMar>
      </w:tblPr>
      <w:tblGrid>
        <w:gridCol w:w="390"/>
        <w:gridCol w:w="9815"/>
      </w:tblGrid>
      <w:tr>
        <w:trPr/>
        <w:tc>
          <w:tcPr>
            <w:tcW w:w="390" w:type="dxa"/>
            <w:tcBorders/>
            <w:vAlign w:val="center"/>
          </w:tcPr>
          <w:p>
            <w:pPr>
              <w:pStyle w:val="TableContents"/>
              <w:bidi w:val="0"/>
              <w:spacing w:before="0" w:after="283"/>
              <w:jc w:val="left"/>
              <w:rPr>
                <w:i/>
              </w:rPr>
            </w:pPr>
            <w:r>
              <w:rPr>
                <w:i/>
              </w:rPr>
              <w:t>(20)</w:t>
            </w:r>
          </w:p>
        </w:tc>
        <w:tc>
          <w:tcPr>
            <w:tcW w:w="9815" w:type="dxa"/>
            <w:tcBorders/>
            <w:vAlign w:val="center"/>
          </w:tcPr>
          <w:p>
            <w:pPr>
              <w:pStyle w:val="TableContents"/>
              <w:bidi w:val="0"/>
              <w:spacing w:before="0" w:after="0"/>
              <w:jc w:val="both"/>
              <w:rPr>
                <w:i/>
              </w:rPr>
            </w:pPr>
            <w:r>
              <w:rPr>
                <w:i/>
              </w:rPr>
              <w:t>GSL Rossi is fixed for 35 – 37 months. The new charter commenced in 1Q 2026 and is expected to generate average annualized Adjusted EBITDA of approximately $7.5 million.</w:t>
            </w:r>
          </w:p>
        </w:tc>
      </w:tr>
    </w:tbl>
    <w:p>
      <w:pPr>
        <w:pStyle w:val="Normal"/>
        <w:bidi w:val="0"/>
        <w:spacing w:before="0" w:after="0"/>
        <w:jc w:val="left"/>
        <w:rPr>
          <w:sz w:val="4"/>
          <w:szCs w:val="4"/>
        </w:rPr>
      </w:pPr>
      <w:r>
        <w:rPr>
          <w:sz w:val="4"/>
          <w:szCs w:val="4"/>
        </w:rPr>
      </w:r>
      <w:bookmarkStart w:id="68" w:name="z7543f622c5684c3aa3e352b4c807de9a"/>
      <w:bookmarkStart w:id="69" w:name="z7543f622c5684c3aa3e352b4c807de9a"/>
      <w:bookmarkEnd w:id="69"/>
    </w:p>
    <w:tbl>
      <w:tblPr>
        <w:tblW w:w="10205" w:type="dxa"/>
        <w:jc w:val="left"/>
        <w:tblInd w:w="0" w:type="dxa"/>
        <w:tblLayout w:type="fixed"/>
        <w:tblCellMar>
          <w:top w:w="0" w:type="dxa"/>
          <w:left w:w="0" w:type="dxa"/>
          <w:bottom w:w="0" w:type="dxa"/>
          <w:right w:w="0" w:type="dxa"/>
        </w:tblCellMar>
      </w:tblPr>
      <w:tblGrid>
        <w:gridCol w:w="387"/>
        <w:gridCol w:w="9818"/>
      </w:tblGrid>
      <w:tr>
        <w:trPr/>
        <w:tc>
          <w:tcPr>
            <w:tcW w:w="387" w:type="dxa"/>
            <w:tcBorders/>
            <w:vAlign w:val="center"/>
          </w:tcPr>
          <w:p>
            <w:pPr>
              <w:pStyle w:val="TableContents"/>
              <w:bidi w:val="0"/>
              <w:spacing w:before="0" w:after="283"/>
              <w:jc w:val="left"/>
              <w:rPr>
                <w:i/>
              </w:rPr>
            </w:pPr>
            <w:r>
              <w:rPr>
                <w:i/>
              </w:rPr>
              <w:t>(21)</w:t>
            </w:r>
          </w:p>
        </w:tc>
        <w:tc>
          <w:tcPr>
            <w:tcW w:w="9818" w:type="dxa"/>
            <w:tcBorders/>
            <w:vAlign w:val="center"/>
          </w:tcPr>
          <w:p>
            <w:pPr>
              <w:pStyle w:val="TableContents"/>
              <w:bidi w:val="0"/>
              <w:spacing w:before="0" w:after="0"/>
              <w:jc w:val="both"/>
              <w:rPr>
                <w:i/>
              </w:rPr>
            </w:pPr>
            <w:r>
              <w:rPr>
                <w:i/>
              </w:rPr>
              <w:t>GSL Melina was forward fixed for 35 – 37 months. The new charter is expected to commence in 4Q 2026 and to generate average annualized Adjusted EBITDA of approximately $7.5 million.</w:t>
            </w:r>
          </w:p>
        </w:tc>
      </w:tr>
    </w:tbl>
    <w:p>
      <w:pPr>
        <w:pStyle w:val="Normal"/>
        <w:bidi w:val="0"/>
        <w:spacing w:before="0" w:after="0"/>
        <w:jc w:val="left"/>
        <w:rPr>
          <w:sz w:val="4"/>
          <w:szCs w:val="4"/>
        </w:rPr>
      </w:pPr>
      <w:r>
        <w:rPr>
          <w:sz w:val="4"/>
          <w:szCs w:val="4"/>
        </w:rPr>
      </w:r>
      <w:bookmarkStart w:id="70" w:name="zcea62077427c49b080e3091950ccc361"/>
      <w:bookmarkStart w:id="71" w:name="zcea62077427c49b080e3091950ccc361"/>
      <w:bookmarkEnd w:id="71"/>
    </w:p>
    <w:tbl>
      <w:tblPr>
        <w:tblW w:w="10205" w:type="dxa"/>
        <w:jc w:val="left"/>
        <w:tblInd w:w="0" w:type="dxa"/>
        <w:tblLayout w:type="fixed"/>
        <w:tblCellMar>
          <w:top w:w="0" w:type="dxa"/>
          <w:left w:w="0" w:type="dxa"/>
          <w:bottom w:w="0" w:type="dxa"/>
          <w:right w:w="0" w:type="dxa"/>
        </w:tblCellMar>
      </w:tblPr>
      <w:tblGrid>
        <w:gridCol w:w="384"/>
        <w:gridCol w:w="9821"/>
      </w:tblGrid>
      <w:tr>
        <w:trPr/>
        <w:tc>
          <w:tcPr>
            <w:tcW w:w="384" w:type="dxa"/>
            <w:tcBorders/>
            <w:vAlign w:val="center"/>
          </w:tcPr>
          <w:p>
            <w:pPr>
              <w:pStyle w:val="TableContents"/>
              <w:bidi w:val="0"/>
              <w:spacing w:before="0" w:after="283"/>
              <w:jc w:val="left"/>
              <w:rPr>
                <w:i/>
              </w:rPr>
            </w:pPr>
            <w:r>
              <w:rPr>
                <w:i/>
              </w:rPr>
              <w:t>(22)</w:t>
            </w:r>
          </w:p>
        </w:tc>
        <w:tc>
          <w:tcPr>
            <w:tcW w:w="9821" w:type="dxa"/>
            <w:tcBorders/>
            <w:vAlign w:val="center"/>
          </w:tcPr>
          <w:p>
            <w:pPr>
              <w:pStyle w:val="TableContents"/>
              <w:bidi w:val="0"/>
              <w:spacing w:before="0" w:after="0"/>
              <w:jc w:val="both"/>
              <w:rPr>
                <w:i/>
              </w:rPr>
            </w:pPr>
            <w:r>
              <w:rPr>
                <w:i/>
              </w:rPr>
              <w:t>Athena I (ex Athena) is fixed for 24 – 30 months. The charter is expected to generate average annualized Adjusted EBITDA of approximately $5.7 million. On June 14, 2026, Athena was renamed to Athena I.</w:t>
            </w:r>
          </w:p>
        </w:tc>
      </w:tr>
    </w:tbl>
    <w:p>
      <w:pPr>
        <w:pStyle w:val="Normal"/>
        <w:bidi w:val="0"/>
        <w:spacing w:before="0" w:after="0"/>
        <w:jc w:val="left"/>
        <w:rPr>
          <w:sz w:val="4"/>
          <w:szCs w:val="4"/>
        </w:rPr>
      </w:pPr>
      <w:r>
        <w:rPr>
          <w:sz w:val="4"/>
          <w:szCs w:val="4"/>
        </w:rPr>
      </w:r>
      <w:bookmarkStart w:id="72" w:name="z133c67542c564ed3923cf08e4b6e3dc4"/>
      <w:bookmarkStart w:id="73" w:name="z133c67542c564ed3923cf08e4b6e3dc4"/>
      <w:bookmarkEnd w:id="73"/>
    </w:p>
    <w:tbl>
      <w:tblPr>
        <w:tblW w:w="10205" w:type="dxa"/>
        <w:jc w:val="left"/>
        <w:tblInd w:w="0" w:type="dxa"/>
        <w:tblLayout w:type="fixed"/>
        <w:tblCellMar>
          <w:top w:w="0" w:type="dxa"/>
          <w:left w:w="0" w:type="dxa"/>
          <w:bottom w:w="0" w:type="dxa"/>
          <w:right w:w="0" w:type="dxa"/>
        </w:tblCellMar>
      </w:tblPr>
      <w:tblGrid>
        <w:gridCol w:w="415"/>
        <w:gridCol w:w="9790"/>
      </w:tblGrid>
      <w:tr>
        <w:trPr/>
        <w:tc>
          <w:tcPr>
            <w:tcW w:w="415" w:type="dxa"/>
            <w:tcBorders/>
            <w:vAlign w:val="center"/>
          </w:tcPr>
          <w:p>
            <w:pPr>
              <w:pStyle w:val="TableContents"/>
              <w:bidi w:val="0"/>
              <w:spacing w:before="0" w:after="283"/>
              <w:jc w:val="left"/>
              <w:rPr>
                <w:i/>
              </w:rPr>
            </w:pPr>
            <w:r>
              <w:rPr>
                <w:i/>
              </w:rPr>
              <w:t>(23)</w:t>
            </w:r>
          </w:p>
        </w:tc>
        <w:tc>
          <w:tcPr>
            <w:tcW w:w="9790" w:type="dxa"/>
            <w:tcBorders/>
            <w:vAlign w:val="center"/>
          </w:tcPr>
          <w:p>
            <w:pPr>
              <w:pStyle w:val="TableContents"/>
              <w:bidi w:val="0"/>
              <w:spacing w:before="0" w:after="0"/>
              <w:jc w:val="both"/>
              <w:rPr>
                <w:i/>
              </w:rPr>
            </w:pPr>
            <w:r>
              <w:rPr>
                <w:i/>
              </w:rPr>
              <w:t>GSL Lalo. The charter is expected to generate average annualized Adjusted EBITDA of approximately $5.5 million.</w:t>
            </w:r>
          </w:p>
        </w:tc>
      </w:tr>
    </w:tbl>
    <w:p>
      <w:pPr>
        <w:pStyle w:val="Normal"/>
        <w:bidi w:val="0"/>
        <w:spacing w:before="0" w:after="0"/>
        <w:jc w:val="left"/>
        <w:rPr>
          <w:sz w:val="4"/>
          <w:szCs w:val="4"/>
        </w:rPr>
      </w:pPr>
      <w:r>
        <w:rPr>
          <w:sz w:val="4"/>
          <w:szCs w:val="4"/>
        </w:rPr>
      </w:r>
      <w:bookmarkStart w:id="74" w:name="z33990e3c396c484daaadff27c4f773c8"/>
      <w:bookmarkStart w:id="75" w:name="z33990e3c396c484daaadff27c4f773c8"/>
      <w:bookmarkEnd w:id="75"/>
    </w:p>
    <w:tbl>
      <w:tblPr>
        <w:tblW w:w="10205" w:type="dxa"/>
        <w:jc w:val="left"/>
        <w:tblInd w:w="0" w:type="dxa"/>
        <w:tblLayout w:type="fixed"/>
        <w:tblCellMar>
          <w:top w:w="0" w:type="dxa"/>
          <w:left w:w="0" w:type="dxa"/>
          <w:bottom w:w="0" w:type="dxa"/>
          <w:right w:w="0" w:type="dxa"/>
        </w:tblCellMar>
      </w:tblPr>
      <w:tblGrid>
        <w:gridCol w:w="384"/>
        <w:gridCol w:w="9821"/>
      </w:tblGrid>
      <w:tr>
        <w:trPr/>
        <w:tc>
          <w:tcPr>
            <w:tcW w:w="384" w:type="dxa"/>
            <w:tcBorders/>
            <w:vAlign w:val="center"/>
          </w:tcPr>
          <w:p>
            <w:pPr>
              <w:pStyle w:val="TableContents"/>
              <w:bidi w:val="0"/>
              <w:spacing w:before="0" w:after="283"/>
              <w:jc w:val="left"/>
              <w:rPr>
                <w:i/>
              </w:rPr>
            </w:pPr>
            <w:r>
              <w:rPr>
                <w:i/>
              </w:rPr>
              <w:t>(24)</w:t>
            </w:r>
          </w:p>
        </w:tc>
        <w:tc>
          <w:tcPr>
            <w:tcW w:w="9821" w:type="dxa"/>
            <w:tcBorders/>
            <w:vAlign w:val="center"/>
          </w:tcPr>
          <w:p>
            <w:pPr>
              <w:pStyle w:val="TableContents"/>
              <w:bidi w:val="0"/>
              <w:spacing w:before="0" w:after="0"/>
              <w:jc w:val="both"/>
              <w:rPr>
                <w:i/>
              </w:rPr>
            </w:pPr>
            <w:r>
              <w:rPr>
                <w:i/>
              </w:rPr>
              <w:t>GSL Elizabeth was forward fixed for 24 – 27 months. The new charter is expected to commence in 3Q 2026 and is expected to generate average annualized Adjusted EBITDA of approximately $7.3 million.</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Page 9</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76" w:name="zf7f66121e472400eb3cc291efa6ed1ca"/>
      <w:bookmarkStart w:id="77" w:name="zf7f66121e472400eb3cc291efa6ed1ca"/>
      <w:bookmarkEnd w:id="77"/>
    </w:p>
    <w:tbl>
      <w:tblPr>
        <w:tblW w:w="10205" w:type="dxa"/>
        <w:jc w:val="left"/>
        <w:tblInd w:w="0" w:type="dxa"/>
        <w:tblLayout w:type="fixed"/>
        <w:tblCellMar>
          <w:top w:w="0" w:type="dxa"/>
          <w:left w:w="0" w:type="dxa"/>
          <w:bottom w:w="0" w:type="dxa"/>
          <w:right w:w="0" w:type="dxa"/>
        </w:tblCellMar>
      </w:tblPr>
      <w:tblGrid>
        <w:gridCol w:w="386"/>
        <w:gridCol w:w="9819"/>
      </w:tblGrid>
      <w:tr>
        <w:trPr/>
        <w:tc>
          <w:tcPr>
            <w:tcW w:w="386" w:type="dxa"/>
            <w:tcBorders/>
            <w:vAlign w:val="center"/>
          </w:tcPr>
          <w:p>
            <w:pPr>
              <w:pStyle w:val="TableContents"/>
              <w:bidi w:val="0"/>
              <w:spacing w:before="0" w:after="283"/>
              <w:jc w:val="left"/>
              <w:rPr>
                <w:i/>
              </w:rPr>
            </w:pPr>
            <w:r>
              <w:rPr>
                <w:i/>
              </w:rPr>
              <w:t>(25)</w:t>
            </w:r>
          </w:p>
        </w:tc>
        <w:tc>
          <w:tcPr>
            <w:tcW w:w="9819" w:type="dxa"/>
            <w:tcBorders/>
            <w:vAlign w:val="center"/>
          </w:tcPr>
          <w:p>
            <w:pPr>
              <w:pStyle w:val="TableContents"/>
              <w:bidi w:val="0"/>
              <w:spacing w:before="0" w:after="0"/>
              <w:jc w:val="both"/>
              <w:rPr>
                <w:i/>
              </w:rPr>
            </w:pPr>
            <w:r>
              <w:rPr>
                <w:i/>
              </w:rPr>
              <w:t>GSL Maren is fixed in direct continuation for 24 – 26 months. The charter commenced in 2Q 2026 and is expected to generate average annualized Adjusted EBITDA of approximately $7.3 million.</w:t>
            </w:r>
          </w:p>
        </w:tc>
      </w:tr>
    </w:tbl>
    <w:p>
      <w:pPr>
        <w:pStyle w:val="Normal"/>
        <w:bidi w:val="0"/>
        <w:spacing w:before="0" w:after="0"/>
        <w:jc w:val="left"/>
        <w:rPr>
          <w:sz w:val="4"/>
          <w:szCs w:val="4"/>
        </w:rPr>
      </w:pPr>
      <w:r>
        <w:rPr>
          <w:sz w:val="4"/>
          <w:szCs w:val="4"/>
        </w:rPr>
      </w:r>
      <w:bookmarkStart w:id="78" w:name="zfdb9f3092a364bcc87b7db0a48e184ce"/>
      <w:bookmarkStart w:id="79" w:name="zfdb9f3092a364bcc87b7db0a48e184ce"/>
      <w:bookmarkEnd w:id="79"/>
    </w:p>
    <w:tbl>
      <w:tblPr>
        <w:tblW w:w="10205" w:type="dxa"/>
        <w:jc w:val="left"/>
        <w:tblInd w:w="0" w:type="dxa"/>
        <w:tblLayout w:type="fixed"/>
        <w:tblCellMar>
          <w:top w:w="0" w:type="dxa"/>
          <w:left w:w="0" w:type="dxa"/>
          <w:bottom w:w="0" w:type="dxa"/>
          <w:right w:w="0" w:type="dxa"/>
        </w:tblCellMar>
      </w:tblPr>
      <w:tblGrid>
        <w:gridCol w:w="412"/>
        <w:gridCol w:w="9793"/>
      </w:tblGrid>
      <w:tr>
        <w:trPr/>
        <w:tc>
          <w:tcPr>
            <w:tcW w:w="412" w:type="dxa"/>
            <w:tcBorders/>
            <w:vAlign w:val="center"/>
          </w:tcPr>
          <w:p>
            <w:pPr>
              <w:pStyle w:val="TableContents"/>
              <w:bidi w:val="0"/>
              <w:spacing w:before="0" w:after="283"/>
              <w:jc w:val="left"/>
              <w:rPr>
                <w:i/>
              </w:rPr>
            </w:pPr>
            <w:r>
              <w:rPr>
                <w:i/>
              </w:rPr>
              <w:t>(26)</w:t>
            </w:r>
          </w:p>
        </w:tc>
        <w:tc>
          <w:tcPr>
            <w:tcW w:w="9793" w:type="dxa"/>
            <w:tcBorders/>
            <w:vAlign w:val="center"/>
          </w:tcPr>
          <w:p>
            <w:pPr>
              <w:pStyle w:val="TableContents"/>
              <w:bidi w:val="0"/>
              <w:spacing w:before="0" w:after="0"/>
              <w:jc w:val="both"/>
              <w:rPr>
                <w:i/>
              </w:rPr>
            </w:pPr>
            <w:r>
              <w:rPr>
                <w:i/>
              </w:rPr>
              <w:t>Kumasi is chartered at a rate expected to generate average annualized Adjusted EBITDA of approximately $4.4 million.</w:t>
            </w:r>
          </w:p>
        </w:tc>
      </w:tr>
    </w:tbl>
    <w:p>
      <w:pPr>
        <w:pStyle w:val="Normal"/>
        <w:bidi w:val="0"/>
        <w:spacing w:before="0" w:after="0"/>
        <w:jc w:val="left"/>
        <w:rPr>
          <w:sz w:val="4"/>
          <w:szCs w:val="4"/>
        </w:rPr>
      </w:pPr>
      <w:r>
        <w:rPr>
          <w:sz w:val="4"/>
          <w:szCs w:val="4"/>
        </w:rPr>
      </w:r>
      <w:bookmarkStart w:id="80" w:name="zcefec6b5a8c84e4788826a668af0aea6"/>
      <w:bookmarkStart w:id="81" w:name="zcefec6b5a8c84e4788826a668af0aea6"/>
      <w:bookmarkEnd w:id="81"/>
    </w:p>
    <w:tbl>
      <w:tblPr>
        <w:tblW w:w="10205" w:type="dxa"/>
        <w:jc w:val="left"/>
        <w:tblInd w:w="0" w:type="dxa"/>
        <w:tblLayout w:type="fixed"/>
        <w:tblCellMar>
          <w:top w:w="0" w:type="dxa"/>
          <w:left w:w="0" w:type="dxa"/>
          <w:bottom w:w="0" w:type="dxa"/>
          <w:right w:w="0" w:type="dxa"/>
        </w:tblCellMar>
      </w:tblPr>
      <w:tblGrid>
        <w:gridCol w:w="418"/>
        <w:gridCol w:w="9787"/>
      </w:tblGrid>
      <w:tr>
        <w:trPr/>
        <w:tc>
          <w:tcPr>
            <w:tcW w:w="418" w:type="dxa"/>
            <w:tcBorders/>
            <w:vAlign w:val="center"/>
          </w:tcPr>
          <w:p>
            <w:pPr>
              <w:pStyle w:val="TableContents"/>
              <w:bidi w:val="0"/>
              <w:spacing w:before="0" w:after="283"/>
              <w:jc w:val="left"/>
              <w:rPr>
                <w:i/>
              </w:rPr>
            </w:pPr>
            <w:r>
              <w:rPr>
                <w:i/>
              </w:rPr>
              <w:t>(27)</w:t>
            </w:r>
          </w:p>
        </w:tc>
        <w:tc>
          <w:tcPr>
            <w:tcW w:w="9787" w:type="dxa"/>
            <w:tcBorders/>
            <w:vAlign w:val="center"/>
          </w:tcPr>
          <w:p>
            <w:pPr>
              <w:pStyle w:val="TableContents"/>
              <w:bidi w:val="0"/>
              <w:spacing w:before="0" w:after="0"/>
              <w:jc w:val="both"/>
              <w:rPr>
                <w:i/>
              </w:rPr>
            </w:pPr>
            <w:r>
              <w:rPr>
                <w:i/>
              </w:rPr>
              <w:t>Julie. The charter is expected to generate average annualized Adjusted EBITDA of approximately $2.9 million.</w:t>
            </w:r>
          </w:p>
        </w:tc>
      </w:tr>
    </w:tbl>
    <w:p>
      <w:pPr>
        <w:pStyle w:val="Normal"/>
        <w:bidi w:val="0"/>
        <w:spacing w:before="0" w:after="0"/>
        <w:jc w:val="left"/>
        <w:rPr>
          <w:sz w:val="4"/>
          <w:szCs w:val="4"/>
        </w:rPr>
      </w:pPr>
      <w:r>
        <w:rPr>
          <w:sz w:val="4"/>
          <w:szCs w:val="4"/>
        </w:rPr>
      </w:r>
      <w:bookmarkStart w:id="82" w:name="z4f21a37f05ab41e983fa123ed7c4cd3f"/>
      <w:bookmarkStart w:id="83" w:name="z4f21a37f05ab41e983fa123ed7c4cd3f"/>
      <w:bookmarkEnd w:id="83"/>
    </w:p>
    <w:tbl>
      <w:tblPr>
        <w:tblW w:w="10205" w:type="dxa"/>
        <w:jc w:val="left"/>
        <w:tblInd w:w="0" w:type="dxa"/>
        <w:tblLayout w:type="fixed"/>
        <w:tblCellMar>
          <w:top w:w="0" w:type="dxa"/>
          <w:left w:w="0" w:type="dxa"/>
          <w:bottom w:w="0" w:type="dxa"/>
          <w:right w:w="0" w:type="dxa"/>
        </w:tblCellMar>
      </w:tblPr>
      <w:tblGrid>
        <w:gridCol w:w="375"/>
        <w:gridCol w:w="9830"/>
      </w:tblGrid>
      <w:tr>
        <w:trPr/>
        <w:tc>
          <w:tcPr>
            <w:tcW w:w="375" w:type="dxa"/>
            <w:tcBorders/>
            <w:vAlign w:val="center"/>
          </w:tcPr>
          <w:p>
            <w:pPr>
              <w:pStyle w:val="TableContents"/>
              <w:bidi w:val="0"/>
              <w:spacing w:before="0" w:after="283"/>
              <w:jc w:val="left"/>
              <w:rPr>
                <w:i/>
              </w:rPr>
            </w:pPr>
            <w:r>
              <w:rPr>
                <w:i/>
              </w:rPr>
              <w:t>(28)</w:t>
            </w:r>
          </w:p>
        </w:tc>
        <w:tc>
          <w:tcPr>
            <w:tcW w:w="9830" w:type="dxa"/>
            <w:tcBorders/>
            <w:vAlign w:val="center"/>
          </w:tcPr>
          <w:p>
            <w:pPr>
              <w:pStyle w:val="TableContents"/>
              <w:bidi w:val="0"/>
              <w:spacing w:before="0" w:after="0"/>
              <w:jc w:val="both"/>
              <w:rPr>
                <w:i/>
              </w:rPr>
            </w:pPr>
            <w:r>
              <w:rPr>
                <w:i/>
              </w:rPr>
              <w:t>During 2Q 2026, the Company entered into agreements for the forward sales of four ships, Ian H, Manet, Kumasi and Julie, for an aggregate sale price of $65.5 million. The ships are scheduled to be delivered to buyers upon expiry of their respective charters 4Q 2026 - 4Q 2027.</w:t>
            </w:r>
          </w:p>
        </w:tc>
      </w:tr>
    </w:tbl>
    <w:p>
      <w:pPr>
        <w:pStyle w:val="TextBody"/>
        <w:bidi w:val="0"/>
        <w:spacing w:before="0" w:after="0"/>
        <w:jc w:val="left"/>
        <w:rPr/>
      </w:pPr>
      <w:r>
        <w:rPr/>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Newbuildings Under Construction</w:t>
      </w:r>
    </w:p>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olumn">
                  <wp:align>left</wp:align>
                </wp:positionH>
                <wp:positionV relativeFrom="line">
                  <wp:posOffset>635</wp:posOffset>
                </wp:positionV>
                <wp:extent cx="2809875" cy="2840990"/>
                <wp:effectExtent l="0" t="0" r="0" b="0"/>
                <wp:wrapSquare wrapText="right"/>
                <wp:docPr id="1" name="Frame1"/>
                <a:graphic xmlns:a="http://schemas.openxmlformats.org/drawingml/2006/main">
                  <a:graphicData uri="http://schemas.microsoft.com/office/word/2010/wordprocessingShape">
                    <wps:wsp>
                      <wps:cNvSpPr txBox="1"/>
                      <wps:spPr>
                        <a:xfrm>
                          <a:off x="0" y="0"/>
                          <a:ext cx="2809875" cy="2840990"/>
                        </a:xfrm>
                        <a:prstGeom prst="rect"/>
                        <a:solidFill>
                          <a:srgbClr val="FFFFFF"/>
                        </a:solidFill>
                      </wps:spPr>
                      <wps:txbx>
                        <w:txbxContent>
                          <w:tbl>
                            <w:tblPr>
                              <w:tblW w:w="4425" w:type="dxa"/>
                              <w:jc w:val="left"/>
                              <w:tblInd w:w="0" w:type="dxa"/>
                              <w:tblLayout w:type="fixed"/>
                              <w:tblCellMar>
                                <w:top w:w="0" w:type="dxa"/>
                                <w:left w:w="0" w:type="dxa"/>
                                <w:bottom w:w="28" w:type="dxa"/>
                                <w:right w:w="0" w:type="dxa"/>
                              </w:tblCellMar>
                            </w:tblPr>
                            <w:tblGrid>
                              <w:gridCol w:w="1310"/>
                              <w:gridCol w:w="1235"/>
                              <w:gridCol w:w="1880"/>
                            </w:tblGrid>
                            <w:tr>
                              <w:trPr/>
                              <w:tc>
                                <w:tcPr>
                                  <w:tcW w:w="1310" w:type="dxa"/>
                                  <w:tcBorders>
                                    <w:bottom w:val="single" w:sz="12" w:space="0" w:color="000000"/>
                                  </w:tcBorders>
                                  <w:vAlign w:val="center"/>
                                </w:tcPr>
                                <w:p>
                                  <w:pPr>
                                    <w:pStyle w:val="TableContents"/>
                                    <w:bidi w:val="0"/>
                                    <w:spacing w:before="0" w:after="0"/>
                                    <w:jc w:val="left"/>
                                    <w:rPr>
                                      <w:b/>
                                      <w:color w:val="000000"/>
                                    </w:rPr>
                                  </w:pPr>
                                  <w:r>
                                    <w:rPr>
                                      <w:b/>
                                      <w:color w:val="000000"/>
                                    </w:rPr>
                                    <w:t>Vessel Name</w:t>
                                  </w:r>
                                </w:p>
                              </w:tc>
                              <w:tc>
                                <w:tcPr>
                                  <w:tcW w:w="1235" w:type="dxa"/>
                                  <w:tcBorders>
                                    <w:bottom w:val="single" w:sz="12" w:space="0" w:color="000000"/>
                                  </w:tcBorders>
                                  <w:vAlign w:val="center"/>
                                </w:tcPr>
                                <w:p>
                                  <w:pPr>
                                    <w:pStyle w:val="TableContents"/>
                                    <w:bidi w:val="0"/>
                                    <w:spacing w:before="0" w:after="0"/>
                                    <w:jc w:val="center"/>
                                    <w:rPr>
                                      <w:b/>
                                      <w:color w:val="000000"/>
                                    </w:rPr>
                                  </w:pPr>
                                  <w:r>
                                    <w:rPr>
                                      <w:b/>
                                      <w:color w:val="000000"/>
                                    </w:rPr>
                                    <w:t>Vessel Type</w:t>
                                  </w:r>
                                </w:p>
                              </w:tc>
                              <w:tc>
                                <w:tcPr>
                                  <w:tcW w:w="1880" w:type="dxa"/>
                                  <w:tcBorders>
                                    <w:bottom w:val="single" w:sz="12" w:space="0" w:color="000000"/>
                                  </w:tcBorders>
                                  <w:vAlign w:val="center"/>
                                </w:tcPr>
                                <w:p>
                                  <w:pPr>
                                    <w:pStyle w:val="TableContents"/>
                                    <w:bidi w:val="0"/>
                                    <w:spacing w:before="0" w:after="0"/>
                                    <w:jc w:val="center"/>
                                    <w:rPr>
                                      <w:b/>
                                      <w:color w:val="000000"/>
                                    </w:rPr>
                                  </w:pPr>
                                  <w:r>
                                    <w:rPr>
                                      <w:b/>
                                      <w:color w:val="000000"/>
                                    </w:rPr>
                                    <w:t>Expected Delivery</w:t>
                                  </w:r>
                                </w:p>
                              </w:tc>
                            </w:tr>
                            <w:tr>
                              <w:trPr/>
                              <w:tc>
                                <w:tcPr>
                                  <w:tcW w:w="1310" w:type="dxa"/>
                                  <w:tcBorders/>
                                  <w:shd w:fill="CCECFF" w:val="clear"/>
                                  <w:tcMar>
                                    <w:bottom w:w="0" w:type="dxa"/>
                                  </w:tcMar>
                                  <w:vAlign w:val="center"/>
                                </w:tcPr>
                                <w:p>
                                  <w:pPr>
                                    <w:pStyle w:val="TableContents"/>
                                    <w:bidi w:val="0"/>
                                    <w:spacing w:before="0" w:after="0"/>
                                    <w:jc w:val="left"/>
                                    <w:rPr>
                                      <w:color w:val="000000"/>
                                    </w:rPr>
                                  </w:pPr>
                                  <w:r>
                                    <w:rPr>
                                      <w:color w:val="000000"/>
                                    </w:rPr>
                                    <w:t>Hull 1</w:t>
                                  </w:r>
                                </w:p>
                              </w:tc>
                              <w:tc>
                                <w:tcPr>
                                  <w:tcW w:w="1235" w:type="dxa"/>
                                  <w:tcBorders/>
                                  <w:shd w:fill="CCECFF" w:val="clear"/>
                                  <w:tcMar>
                                    <w:bottom w:w="0" w:type="dxa"/>
                                  </w:tcMar>
                                  <w:vAlign w:val="center"/>
                                </w:tcPr>
                                <w:p>
                                  <w:pPr>
                                    <w:pStyle w:val="TableContents"/>
                                    <w:bidi w:val="0"/>
                                    <w:spacing w:before="0" w:after="0"/>
                                    <w:jc w:val="center"/>
                                    <w:rPr>
                                      <w:color w:val="000000"/>
                                    </w:rPr>
                                  </w:pPr>
                                  <w:r>
                                    <w:rPr>
                                      <w:color w:val="000000"/>
                                    </w:rPr>
                                    <w:t>Container</w:t>
                                  </w:r>
                                </w:p>
                              </w:tc>
                              <w:tc>
                                <w:tcPr>
                                  <w:tcW w:w="1880" w:type="dxa"/>
                                  <w:tcBorders/>
                                  <w:shd w:fill="CCECFF" w:val="clear"/>
                                  <w:tcMar>
                                    <w:bottom w:w="0" w:type="dxa"/>
                                  </w:tcMar>
                                  <w:vAlign w:val="center"/>
                                </w:tcPr>
                                <w:p>
                                  <w:pPr>
                                    <w:pStyle w:val="TableContents"/>
                                    <w:bidi w:val="0"/>
                                    <w:spacing w:before="0" w:after="0"/>
                                    <w:jc w:val="center"/>
                                    <w:rPr>
                                      <w:color w:val="000000"/>
                                    </w:rPr>
                                  </w:pPr>
                                  <w:r>
                                    <w:rPr>
                                      <w:color w:val="000000"/>
                                    </w:rPr>
                                    <w:t>4Q28</w:t>
                                  </w:r>
                                </w:p>
                              </w:tc>
                            </w:tr>
                            <w:tr>
                              <w:trPr/>
                              <w:tc>
                                <w:tcPr>
                                  <w:tcW w:w="1310" w:type="dxa"/>
                                  <w:tcBorders/>
                                  <w:tcMar>
                                    <w:bottom w:w="0" w:type="dxa"/>
                                  </w:tcMar>
                                  <w:vAlign w:val="center"/>
                                </w:tcPr>
                                <w:p>
                                  <w:pPr>
                                    <w:pStyle w:val="TableContents"/>
                                    <w:bidi w:val="0"/>
                                    <w:spacing w:before="0" w:after="0"/>
                                    <w:jc w:val="left"/>
                                    <w:rPr>
                                      <w:color w:val="000000"/>
                                    </w:rPr>
                                  </w:pPr>
                                  <w:r>
                                    <w:rPr>
                                      <w:color w:val="000000"/>
                                    </w:rPr>
                                    <w:t>Hull 2</w:t>
                                  </w:r>
                                </w:p>
                              </w:tc>
                              <w:tc>
                                <w:tcPr>
                                  <w:tcW w:w="1235" w:type="dxa"/>
                                  <w:tcBorders/>
                                  <w:tcMar>
                                    <w:bottom w:w="0" w:type="dxa"/>
                                  </w:tcMar>
                                  <w:vAlign w:val="center"/>
                                </w:tcPr>
                                <w:p>
                                  <w:pPr>
                                    <w:pStyle w:val="TableContents"/>
                                    <w:bidi w:val="0"/>
                                    <w:spacing w:before="0" w:after="0"/>
                                    <w:jc w:val="center"/>
                                    <w:rPr>
                                      <w:color w:val="000000"/>
                                    </w:rPr>
                                  </w:pPr>
                                  <w:r>
                                    <w:rPr>
                                      <w:color w:val="000000"/>
                                    </w:rPr>
                                    <w:t>Container</w:t>
                                  </w:r>
                                </w:p>
                              </w:tc>
                              <w:tc>
                                <w:tcPr>
                                  <w:tcW w:w="1880" w:type="dxa"/>
                                  <w:tcBorders/>
                                  <w:tcMar>
                                    <w:bottom w:w="0" w:type="dxa"/>
                                  </w:tcMar>
                                  <w:vAlign w:val="center"/>
                                </w:tcPr>
                                <w:p>
                                  <w:pPr>
                                    <w:pStyle w:val="TableContents"/>
                                    <w:bidi w:val="0"/>
                                    <w:spacing w:before="0" w:after="0"/>
                                    <w:jc w:val="center"/>
                                    <w:rPr>
                                      <w:color w:val="000000"/>
                                    </w:rPr>
                                  </w:pPr>
                                  <w:r>
                                    <w:rPr>
                                      <w:color w:val="000000"/>
                                    </w:rPr>
                                    <w:t>2Q29</w:t>
                                  </w:r>
                                </w:p>
                              </w:tc>
                            </w:tr>
                            <w:tr>
                              <w:trPr/>
                              <w:tc>
                                <w:tcPr>
                                  <w:tcW w:w="1310" w:type="dxa"/>
                                  <w:tcBorders/>
                                  <w:shd w:fill="CCECFF" w:val="clear"/>
                                  <w:tcMar>
                                    <w:bottom w:w="0" w:type="dxa"/>
                                  </w:tcMar>
                                  <w:vAlign w:val="center"/>
                                </w:tcPr>
                                <w:p>
                                  <w:pPr>
                                    <w:pStyle w:val="TableContents"/>
                                    <w:bidi w:val="0"/>
                                    <w:spacing w:before="0" w:after="0"/>
                                    <w:jc w:val="left"/>
                                    <w:rPr>
                                      <w:color w:val="000000"/>
                                    </w:rPr>
                                  </w:pPr>
                                  <w:r>
                                    <w:rPr>
                                      <w:color w:val="000000"/>
                                    </w:rPr>
                                    <w:t>Hull 3</w:t>
                                  </w:r>
                                </w:p>
                              </w:tc>
                              <w:tc>
                                <w:tcPr>
                                  <w:tcW w:w="1235" w:type="dxa"/>
                                  <w:tcBorders/>
                                  <w:shd w:fill="CCECFF" w:val="clear"/>
                                  <w:tcMar>
                                    <w:bottom w:w="0" w:type="dxa"/>
                                  </w:tcMar>
                                  <w:vAlign w:val="center"/>
                                </w:tcPr>
                                <w:p>
                                  <w:pPr>
                                    <w:pStyle w:val="TableContents"/>
                                    <w:bidi w:val="0"/>
                                    <w:spacing w:before="0" w:after="0"/>
                                    <w:jc w:val="center"/>
                                    <w:rPr>
                                      <w:color w:val="000000"/>
                                    </w:rPr>
                                  </w:pPr>
                                  <w:r>
                                    <w:rPr>
                                      <w:color w:val="000000"/>
                                    </w:rPr>
                                    <w:t>Container</w:t>
                                  </w:r>
                                </w:p>
                              </w:tc>
                              <w:tc>
                                <w:tcPr>
                                  <w:tcW w:w="1880" w:type="dxa"/>
                                  <w:tcBorders/>
                                  <w:shd w:fill="CCECFF" w:val="clear"/>
                                  <w:tcMar>
                                    <w:bottom w:w="0" w:type="dxa"/>
                                  </w:tcMar>
                                  <w:vAlign w:val="center"/>
                                </w:tcPr>
                                <w:p>
                                  <w:pPr>
                                    <w:pStyle w:val="TableContents"/>
                                    <w:bidi w:val="0"/>
                                    <w:spacing w:before="0" w:after="0"/>
                                    <w:jc w:val="center"/>
                                    <w:rPr>
                                      <w:color w:val="000000"/>
                                    </w:rPr>
                                  </w:pPr>
                                  <w:r>
                                    <w:rPr>
                                      <w:color w:val="000000"/>
                                    </w:rPr>
                                    <w:t>3Q29</w:t>
                                  </w:r>
                                </w:p>
                              </w:tc>
                            </w:tr>
                            <w:tr>
                              <w:trPr/>
                              <w:tc>
                                <w:tcPr>
                                  <w:tcW w:w="1310" w:type="dxa"/>
                                  <w:tcBorders/>
                                  <w:tcMar>
                                    <w:bottom w:w="0" w:type="dxa"/>
                                  </w:tcMar>
                                  <w:vAlign w:val="center"/>
                                </w:tcPr>
                                <w:p>
                                  <w:pPr>
                                    <w:pStyle w:val="TableContents"/>
                                    <w:bidi w:val="0"/>
                                    <w:spacing w:before="0" w:after="0"/>
                                    <w:jc w:val="left"/>
                                    <w:rPr>
                                      <w:color w:val="000000"/>
                                    </w:rPr>
                                  </w:pPr>
                                  <w:r>
                                    <w:rPr>
                                      <w:color w:val="000000"/>
                                    </w:rPr>
                                    <w:t>Hull 4</w:t>
                                  </w:r>
                                </w:p>
                              </w:tc>
                              <w:tc>
                                <w:tcPr>
                                  <w:tcW w:w="1235" w:type="dxa"/>
                                  <w:tcBorders/>
                                  <w:tcMar>
                                    <w:bottom w:w="0" w:type="dxa"/>
                                  </w:tcMar>
                                  <w:vAlign w:val="center"/>
                                </w:tcPr>
                                <w:p>
                                  <w:pPr>
                                    <w:pStyle w:val="TableContents"/>
                                    <w:bidi w:val="0"/>
                                    <w:spacing w:before="0" w:after="0"/>
                                    <w:jc w:val="center"/>
                                    <w:rPr>
                                      <w:color w:val="000000"/>
                                    </w:rPr>
                                  </w:pPr>
                                  <w:r>
                                    <w:rPr>
                                      <w:color w:val="000000"/>
                                    </w:rPr>
                                    <w:t>Container</w:t>
                                  </w:r>
                                </w:p>
                              </w:tc>
                              <w:tc>
                                <w:tcPr>
                                  <w:tcW w:w="1880" w:type="dxa"/>
                                  <w:tcBorders/>
                                  <w:tcMar>
                                    <w:bottom w:w="0" w:type="dxa"/>
                                  </w:tcMar>
                                  <w:vAlign w:val="center"/>
                                </w:tcPr>
                                <w:p>
                                  <w:pPr>
                                    <w:pStyle w:val="TableContents"/>
                                    <w:bidi w:val="0"/>
                                    <w:spacing w:before="0" w:after="0"/>
                                    <w:jc w:val="center"/>
                                    <w:rPr>
                                      <w:color w:val="000000"/>
                                    </w:rPr>
                                  </w:pPr>
                                  <w:r>
                                    <w:rPr>
                                      <w:color w:val="000000"/>
                                    </w:rPr>
                                    <w:t>2Q29</w:t>
                                  </w:r>
                                </w:p>
                              </w:tc>
                            </w:tr>
                            <w:tr>
                              <w:trPr/>
                              <w:tc>
                                <w:tcPr>
                                  <w:tcW w:w="1310" w:type="dxa"/>
                                  <w:tcBorders/>
                                  <w:shd w:fill="CCECFF" w:val="clear"/>
                                  <w:tcMar>
                                    <w:bottom w:w="0" w:type="dxa"/>
                                  </w:tcMar>
                                  <w:vAlign w:val="center"/>
                                </w:tcPr>
                                <w:p>
                                  <w:pPr>
                                    <w:pStyle w:val="TableContents"/>
                                    <w:bidi w:val="0"/>
                                    <w:spacing w:before="0" w:after="0"/>
                                    <w:jc w:val="left"/>
                                    <w:rPr>
                                      <w:color w:val="000000"/>
                                    </w:rPr>
                                  </w:pPr>
                                  <w:r>
                                    <w:rPr>
                                      <w:color w:val="000000"/>
                                    </w:rPr>
                                    <w:t>Hull 5</w:t>
                                  </w:r>
                                </w:p>
                              </w:tc>
                              <w:tc>
                                <w:tcPr>
                                  <w:tcW w:w="1235" w:type="dxa"/>
                                  <w:tcBorders/>
                                  <w:shd w:fill="CCECFF" w:val="clear"/>
                                  <w:tcMar>
                                    <w:bottom w:w="0" w:type="dxa"/>
                                  </w:tcMar>
                                  <w:vAlign w:val="center"/>
                                </w:tcPr>
                                <w:p>
                                  <w:pPr>
                                    <w:pStyle w:val="TableContents"/>
                                    <w:bidi w:val="0"/>
                                    <w:spacing w:before="0" w:after="0"/>
                                    <w:jc w:val="center"/>
                                    <w:rPr>
                                      <w:color w:val="000000"/>
                                    </w:rPr>
                                  </w:pPr>
                                  <w:r>
                                    <w:rPr>
                                      <w:color w:val="000000"/>
                                    </w:rPr>
                                    <w:t>Container</w:t>
                                  </w:r>
                                </w:p>
                              </w:tc>
                              <w:tc>
                                <w:tcPr>
                                  <w:tcW w:w="1880" w:type="dxa"/>
                                  <w:tcBorders/>
                                  <w:shd w:fill="CCECFF" w:val="clear"/>
                                  <w:tcMar>
                                    <w:bottom w:w="0" w:type="dxa"/>
                                  </w:tcMar>
                                  <w:vAlign w:val="center"/>
                                </w:tcPr>
                                <w:p>
                                  <w:pPr>
                                    <w:pStyle w:val="TableContents"/>
                                    <w:bidi w:val="0"/>
                                    <w:spacing w:before="0" w:after="0"/>
                                    <w:jc w:val="center"/>
                                    <w:rPr>
                                      <w:color w:val="000000"/>
                                    </w:rPr>
                                  </w:pPr>
                                  <w:r>
                                    <w:rPr>
                                      <w:color w:val="000000"/>
                                    </w:rPr>
                                    <w:t>3Q29</w:t>
                                  </w:r>
                                </w:p>
                              </w:tc>
                            </w:tr>
                            <w:tr>
                              <w:trPr/>
                              <w:tc>
                                <w:tcPr>
                                  <w:tcW w:w="1310" w:type="dxa"/>
                                  <w:tcBorders/>
                                  <w:tcMar>
                                    <w:bottom w:w="0" w:type="dxa"/>
                                  </w:tcMar>
                                  <w:vAlign w:val="center"/>
                                </w:tcPr>
                                <w:p>
                                  <w:pPr>
                                    <w:pStyle w:val="TableContents"/>
                                    <w:bidi w:val="0"/>
                                    <w:spacing w:before="0" w:after="0"/>
                                    <w:jc w:val="left"/>
                                    <w:rPr>
                                      <w:color w:val="000000"/>
                                    </w:rPr>
                                  </w:pPr>
                                  <w:r>
                                    <w:rPr>
                                      <w:color w:val="000000"/>
                                    </w:rPr>
                                    <w:t>Hull 6</w:t>
                                  </w:r>
                                </w:p>
                              </w:tc>
                              <w:tc>
                                <w:tcPr>
                                  <w:tcW w:w="1235" w:type="dxa"/>
                                  <w:tcBorders/>
                                  <w:tcMar>
                                    <w:bottom w:w="0" w:type="dxa"/>
                                  </w:tcMar>
                                  <w:vAlign w:val="center"/>
                                </w:tcPr>
                                <w:p>
                                  <w:pPr>
                                    <w:pStyle w:val="TableContents"/>
                                    <w:bidi w:val="0"/>
                                    <w:spacing w:before="0" w:after="0"/>
                                    <w:jc w:val="center"/>
                                    <w:rPr>
                                      <w:color w:val="000000"/>
                                    </w:rPr>
                                  </w:pPr>
                                  <w:r>
                                    <w:rPr>
                                      <w:color w:val="000000"/>
                                    </w:rPr>
                                    <w:t>Container</w:t>
                                  </w:r>
                                </w:p>
                              </w:tc>
                              <w:tc>
                                <w:tcPr>
                                  <w:tcW w:w="1880" w:type="dxa"/>
                                  <w:tcBorders/>
                                  <w:tcMar>
                                    <w:bottom w:w="0" w:type="dxa"/>
                                  </w:tcMar>
                                  <w:vAlign w:val="center"/>
                                </w:tcPr>
                                <w:p>
                                  <w:pPr>
                                    <w:pStyle w:val="TableContents"/>
                                    <w:bidi w:val="0"/>
                                    <w:spacing w:before="0" w:after="0"/>
                                    <w:jc w:val="center"/>
                                    <w:rPr>
                                      <w:color w:val="000000"/>
                                    </w:rPr>
                                  </w:pPr>
                                  <w:r>
                                    <w:rPr>
                                      <w:color w:val="000000"/>
                                    </w:rPr>
                                    <w:t>3Q29</w:t>
                                  </w:r>
                                </w:p>
                              </w:tc>
                            </w:tr>
                            <w:tr>
                              <w:trPr/>
                              <w:tc>
                                <w:tcPr>
                                  <w:tcW w:w="1310" w:type="dxa"/>
                                  <w:tcBorders/>
                                  <w:shd w:fill="CCECFF" w:val="clear"/>
                                  <w:tcMar>
                                    <w:bottom w:w="0" w:type="dxa"/>
                                  </w:tcMar>
                                  <w:vAlign w:val="center"/>
                                </w:tcPr>
                                <w:p>
                                  <w:pPr>
                                    <w:pStyle w:val="TableContents"/>
                                    <w:bidi w:val="0"/>
                                    <w:spacing w:before="0" w:after="0"/>
                                    <w:jc w:val="left"/>
                                    <w:rPr>
                                      <w:color w:val="000000"/>
                                    </w:rPr>
                                  </w:pPr>
                                  <w:r>
                                    <w:rPr>
                                      <w:color w:val="000000"/>
                                    </w:rPr>
                                    <w:t>Hull 7</w:t>
                                  </w:r>
                                </w:p>
                              </w:tc>
                              <w:tc>
                                <w:tcPr>
                                  <w:tcW w:w="1235" w:type="dxa"/>
                                  <w:tcBorders/>
                                  <w:shd w:fill="CCECFF" w:val="clear"/>
                                  <w:tcMar>
                                    <w:bottom w:w="0" w:type="dxa"/>
                                  </w:tcMar>
                                  <w:vAlign w:val="center"/>
                                </w:tcPr>
                                <w:p>
                                  <w:pPr>
                                    <w:pStyle w:val="TableContents"/>
                                    <w:bidi w:val="0"/>
                                    <w:spacing w:before="0" w:after="0"/>
                                    <w:jc w:val="center"/>
                                    <w:rPr>
                                      <w:color w:val="000000"/>
                                    </w:rPr>
                                  </w:pPr>
                                  <w:r>
                                    <w:rPr>
                                      <w:color w:val="000000"/>
                                    </w:rPr>
                                    <w:t>Container</w:t>
                                  </w:r>
                                </w:p>
                              </w:tc>
                              <w:tc>
                                <w:tcPr>
                                  <w:tcW w:w="1880" w:type="dxa"/>
                                  <w:tcBorders/>
                                  <w:shd w:fill="CCECFF" w:val="clear"/>
                                  <w:tcMar>
                                    <w:bottom w:w="0" w:type="dxa"/>
                                  </w:tcMar>
                                  <w:vAlign w:val="center"/>
                                </w:tcPr>
                                <w:p>
                                  <w:pPr>
                                    <w:pStyle w:val="TableContents"/>
                                    <w:bidi w:val="0"/>
                                    <w:spacing w:before="0" w:after="0"/>
                                    <w:jc w:val="center"/>
                                    <w:rPr>
                                      <w:color w:val="000000"/>
                                    </w:rPr>
                                  </w:pPr>
                                  <w:r>
                                    <w:rPr>
                                      <w:color w:val="000000"/>
                                    </w:rPr>
                                    <w:t>3Q29</w:t>
                                  </w:r>
                                </w:p>
                              </w:tc>
                            </w:tr>
                            <w:tr>
                              <w:trPr/>
                              <w:tc>
                                <w:tcPr>
                                  <w:tcW w:w="1310" w:type="dxa"/>
                                  <w:tcBorders/>
                                  <w:tcMar>
                                    <w:bottom w:w="0" w:type="dxa"/>
                                  </w:tcMar>
                                  <w:vAlign w:val="center"/>
                                </w:tcPr>
                                <w:p>
                                  <w:pPr>
                                    <w:pStyle w:val="TableContents"/>
                                    <w:bidi w:val="0"/>
                                    <w:spacing w:before="0" w:after="0"/>
                                    <w:jc w:val="left"/>
                                    <w:rPr>
                                      <w:color w:val="000000"/>
                                    </w:rPr>
                                  </w:pPr>
                                  <w:r>
                                    <w:rPr>
                                      <w:color w:val="000000"/>
                                    </w:rPr>
                                    <w:t>Hull 8</w:t>
                                  </w:r>
                                </w:p>
                              </w:tc>
                              <w:tc>
                                <w:tcPr>
                                  <w:tcW w:w="1235" w:type="dxa"/>
                                  <w:tcBorders/>
                                  <w:tcMar>
                                    <w:bottom w:w="0" w:type="dxa"/>
                                  </w:tcMar>
                                  <w:vAlign w:val="center"/>
                                </w:tcPr>
                                <w:p>
                                  <w:pPr>
                                    <w:pStyle w:val="TableContents"/>
                                    <w:bidi w:val="0"/>
                                    <w:spacing w:before="0" w:after="0"/>
                                    <w:jc w:val="center"/>
                                    <w:rPr>
                                      <w:color w:val="000000"/>
                                    </w:rPr>
                                  </w:pPr>
                                  <w:r>
                                    <w:rPr>
                                      <w:color w:val="000000"/>
                                    </w:rPr>
                                    <w:t>Container</w:t>
                                  </w:r>
                                </w:p>
                              </w:tc>
                              <w:tc>
                                <w:tcPr>
                                  <w:tcW w:w="1880" w:type="dxa"/>
                                  <w:tcBorders/>
                                  <w:tcMar>
                                    <w:bottom w:w="0" w:type="dxa"/>
                                  </w:tcMar>
                                  <w:vAlign w:val="center"/>
                                </w:tcPr>
                                <w:p>
                                  <w:pPr>
                                    <w:pStyle w:val="TableContents"/>
                                    <w:bidi w:val="0"/>
                                    <w:spacing w:before="0" w:after="0"/>
                                    <w:jc w:val="center"/>
                                    <w:rPr>
                                      <w:color w:val="000000"/>
                                    </w:rPr>
                                  </w:pPr>
                                  <w:r>
                                    <w:rPr>
                                      <w:color w:val="000000"/>
                                    </w:rPr>
                                    <w:t>4Q29</w:t>
                                  </w:r>
                                </w:p>
                              </w:tc>
                            </w:tr>
                            <w:tr>
                              <w:trPr/>
                              <w:tc>
                                <w:tcPr>
                                  <w:tcW w:w="1310" w:type="dxa"/>
                                  <w:tcBorders/>
                                  <w:shd w:fill="CCECFF" w:val="clear"/>
                                  <w:tcMar>
                                    <w:bottom w:w="0" w:type="dxa"/>
                                  </w:tcMar>
                                  <w:vAlign w:val="center"/>
                                </w:tcPr>
                                <w:p>
                                  <w:pPr>
                                    <w:pStyle w:val="TableContents"/>
                                    <w:bidi w:val="0"/>
                                    <w:spacing w:before="0" w:after="0"/>
                                    <w:jc w:val="left"/>
                                    <w:rPr>
                                      <w:color w:val="000000"/>
                                    </w:rPr>
                                  </w:pPr>
                                  <w:r>
                                    <w:rPr>
                                      <w:color w:val="000000"/>
                                    </w:rPr>
                                    <w:t>Hull 9</w:t>
                                  </w:r>
                                </w:p>
                              </w:tc>
                              <w:tc>
                                <w:tcPr>
                                  <w:tcW w:w="1235" w:type="dxa"/>
                                  <w:tcBorders/>
                                  <w:shd w:fill="CCECFF" w:val="clear"/>
                                  <w:tcMar>
                                    <w:bottom w:w="0" w:type="dxa"/>
                                  </w:tcMar>
                                  <w:vAlign w:val="center"/>
                                </w:tcPr>
                                <w:p>
                                  <w:pPr>
                                    <w:pStyle w:val="TableContents"/>
                                    <w:bidi w:val="0"/>
                                    <w:spacing w:before="0" w:after="0"/>
                                    <w:jc w:val="center"/>
                                    <w:rPr>
                                      <w:color w:val="000000"/>
                                    </w:rPr>
                                  </w:pPr>
                                  <w:r>
                                    <w:rPr>
                                      <w:color w:val="000000"/>
                                    </w:rPr>
                                    <w:t>Container</w:t>
                                  </w:r>
                                </w:p>
                              </w:tc>
                              <w:tc>
                                <w:tcPr>
                                  <w:tcW w:w="1880" w:type="dxa"/>
                                  <w:tcBorders/>
                                  <w:shd w:fill="CCECFF" w:val="clear"/>
                                  <w:tcMar>
                                    <w:bottom w:w="0" w:type="dxa"/>
                                  </w:tcMar>
                                  <w:vAlign w:val="center"/>
                                </w:tcPr>
                                <w:p>
                                  <w:pPr>
                                    <w:pStyle w:val="TableContents"/>
                                    <w:bidi w:val="0"/>
                                    <w:spacing w:before="0" w:after="0"/>
                                    <w:jc w:val="center"/>
                                    <w:rPr>
                                      <w:color w:val="000000"/>
                                    </w:rPr>
                                  </w:pPr>
                                  <w:r>
                                    <w:rPr>
                                      <w:color w:val="000000"/>
                                    </w:rPr>
                                    <w:t>4Q29</w:t>
                                  </w:r>
                                </w:p>
                              </w:tc>
                            </w:tr>
                            <w:tr>
                              <w:trPr/>
                              <w:tc>
                                <w:tcPr>
                                  <w:tcW w:w="1310" w:type="dxa"/>
                                  <w:tcBorders/>
                                  <w:tcMar>
                                    <w:bottom w:w="0" w:type="dxa"/>
                                  </w:tcMar>
                                  <w:vAlign w:val="center"/>
                                </w:tcPr>
                                <w:p>
                                  <w:pPr>
                                    <w:pStyle w:val="TableContents"/>
                                    <w:bidi w:val="0"/>
                                    <w:spacing w:before="0" w:after="0"/>
                                    <w:jc w:val="left"/>
                                    <w:rPr>
                                      <w:color w:val="000000"/>
                                    </w:rPr>
                                  </w:pPr>
                                  <w:r>
                                    <w:rPr>
                                      <w:color w:val="000000"/>
                                    </w:rPr>
                                    <w:t>Hull 10</w:t>
                                  </w:r>
                                </w:p>
                              </w:tc>
                              <w:tc>
                                <w:tcPr>
                                  <w:tcW w:w="1235" w:type="dxa"/>
                                  <w:tcBorders/>
                                  <w:tcMar>
                                    <w:bottom w:w="0" w:type="dxa"/>
                                  </w:tcMar>
                                  <w:vAlign w:val="center"/>
                                </w:tcPr>
                                <w:p>
                                  <w:pPr>
                                    <w:pStyle w:val="TableContents"/>
                                    <w:bidi w:val="0"/>
                                    <w:spacing w:before="0" w:after="0"/>
                                    <w:jc w:val="center"/>
                                    <w:rPr>
                                      <w:color w:val="000000"/>
                                    </w:rPr>
                                  </w:pPr>
                                  <w:r>
                                    <w:rPr>
                                      <w:color w:val="000000"/>
                                    </w:rPr>
                                    <w:t>Container</w:t>
                                  </w:r>
                                </w:p>
                              </w:tc>
                              <w:tc>
                                <w:tcPr>
                                  <w:tcW w:w="1880" w:type="dxa"/>
                                  <w:tcBorders/>
                                  <w:tcMar>
                                    <w:bottom w:w="0" w:type="dxa"/>
                                  </w:tcMar>
                                  <w:vAlign w:val="center"/>
                                </w:tcPr>
                                <w:p>
                                  <w:pPr>
                                    <w:pStyle w:val="TableContents"/>
                                    <w:bidi w:val="0"/>
                                    <w:spacing w:before="0" w:after="0"/>
                                    <w:jc w:val="center"/>
                                    <w:rPr>
                                      <w:color w:val="000000"/>
                                    </w:rPr>
                                  </w:pPr>
                                  <w:r>
                                    <w:rPr>
                                      <w:color w:val="000000"/>
                                    </w:rPr>
                                    <w:t>4Q29</w:t>
                                  </w:r>
                                </w:p>
                              </w:tc>
                            </w:tr>
                            <w:tr>
                              <w:trPr/>
                              <w:tc>
                                <w:tcPr>
                                  <w:tcW w:w="1310" w:type="dxa"/>
                                  <w:tcBorders/>
                                  <w:shd w:fill="CCECFF" w:val="clear"/>
                                  <w:tcMar>
                                    <w:bottom w:w="0" w:type="dxa"/>
                                  </w:tcMar>
                                  <w:vAlign w:val="center"/>
                                </w:tcPr>
                                <w:p>
                                  <w:pPr>
                                    <w:pStyle w:val="TableContents"/>
                                    <w:bidi w:val="0"/>
                                    <w:spacing w:before="0" w:after="0"/>
                                    <w:jc w:val="left"/>
                                    <w:rPr>
                                      <w:color w:val="000000"/>
                                    </w:rPr>
                                  </w:pPr>
                                  <w:r>
                                    <w:rPr>
                                      <w:color w:val="000000"/>
                                    </w:rPr>
                                    <w:t>Hull 11</w:t>
                                  </w:r>
                                </w:p>
                              </w:tc>
                              <w:tc>
                                <w:tcPr>
                                  <w:tcW w:w="1235" w:type="dxa"/>
                                  <w:tcBorders/>
                                  <w:shd w:fill="CCECFF" w:val="clear"/>
                                  <w:tcMar>
                                    <w:bottom w:w="0" w:type="dxa"/>
                                  </w:tcMar>
                                  <w:vAlign w:val="center"/>
                                </w:tcPr>
                                <w:p>
                                  <w:pPr>
                                    <w:pStyle w:val="TableContents"/>
                                    <w:bidi w:val="0"/>
                                    <w:spacing w:before="0" w:after="0"/>
                                    <w:jc w:val="center"/>
                                    <w:rPr>
                                      <w:color w:val="000000"/>
                                    </w:rPr>
                                  </w:pPr>
                                  <w:r>
                                    <w:rPr>
                                      <w:color w:val="000000"/>
                                    </w:rPr>
                                    <w:t>Container</w:t>
                                  </w:r>
                                </w:p>
                              </w:tc>
                              <w:tc>
                                <w:tcPr>
                                  <w:tcW w:w="1880" w:type="dxa"/>
                                  <w:tcBorders/>
                                  <w:shd w:fill="CCECFF" w:val="clear"/>
                                  <w:tcMar>
                                    <w:bottom w:w="0" w:type="dxa"/>
                                  </w:tcMar>
                                  <w:vAlign w:val="center"/>
                                </w:tcPr>
                                <w:p>
                                  <w:pPr>
                                    <w:pStyle w:val="TableContents"/>
                                    <w:bidi w:val="0"/>
                                    <w:spacing w:before="0" w:after="0"/>
                                    <w:jc w:val="center"/>
                                    <w:rPr>
                                      <w:color w:val="000000"/>
                                    </w:rPr>
                                  </w:pPr>
                                  <w:r>
                                    <w:rPr>
                                      <w:color w:val="000000"/>
                                    </w:rPr>
                                    <w:t>1Q30</w:t>
                                  </w:r>
                                </w:p>
                              </w:tc>
                            </w:tr>
                            <w:tr>
                              <w:trPr/>
                              <w:tc>
                                <w:tcPr>
                                  <w:tcW w:w="1310" w:type="dxa"/>
                                  <w:tcBorders/>
                                  <w:tcMar>
                                    <w:bottom w:w="0" w:type="dxa"/>
                                  </w:tcMar>
                                  <w:vAlign w:val="center"/>
                                </w:tcPr>
                                <w:p>
                                  <w:pPr>
                                    <w:pStyle w:val="TableContents"/>
                                    <w:bidi w:val="0"/>
                                    <w:spacing w:before="0" w:after="0"/>
                                    <w:jc w:val="left"/>
                                    <w:rPr>
                                      <w:color w:val="000000"/>
                                    </w:rPr>
                                  </w:pPr>
                                  <w:r>
                                    <w:rPr>
                                      <w:color w:val="000000"/>
                                    </w:rPr>
                                    <w:t>Hull 12</w:t>
                                  </w:r>
                                </w:p>
                              </w:tc>
                              <w:tc>
                                <w:tcPr>
                                  <w:tcW w:w="1235" w:type="dxa"/>
                                  <w:tcBorders/>
                                  <w:tcMar>
                                    <w:bottom w:w="0" w:type="dxa"/>
                                  </w:tcMar>
                                  <w:vAlign w:val="center"/>
                                </w:tcPr>
                                <w:p>
                                  <w:pPr>
                                    <w:pStyle w:val="TableContents"/>
                                    <w:bidi w:val="0"/>
                                    <w:spacing w:before="0" w:after="0"/>
                                    <w:jc w:val="center"/>
                                    <w:rPr>
                                      <w:color w:val="000000"/>
                                    </w:rPr>
                                  </w:pPr>
                                  <w:r>
                                    <w:rPr>
                                      <w:color w:val="000000"/>
                                    </w:rPr>
                                    <w:t>Container</w:t>
                                  </w:r>
                                </w:p>
                              </w:tc>
                              <w:tc>
                                <w:tcPr>
                                  <w:tcW w:w="1880" w:type="dxa"/>
                                  <w:tcBorders/>
                                  <w:tcMar>
                                    <w:bottom w:w="0" w:type="dxa"/>
                                  </w:tcMar>
                                  <w:vAlign w:val="center"/>
                                </w:tcPr>
                                <w:p>
                                  <w:pPr>
                                    <w:pStyle w:val="TableContents"/>
                                    <w:bidi w:val="0"/>
                                    <w:spacing w:before="0" w:after="0"/>
                                    <w:jc w:val="center"/>
                                    <w:rPr>
                                      <w:color w:val="000000"/>
                                    </w:rPr>
                                  </w:pPr>
                                  <w:r>
                                    <w:rPr>
                                      <w:color w:val="000000"/>
                                    </w:rPr>
                                    <w:t>1Q29</w:t>
                                  </w:r>
                                </w:p>
                              </w:tc>
                            </w:tr>
                            <w:tr>
                              <w:trPr/>
                              <w:tc>
                                <w:tcPr>
                                  <w:tcW w:w="1310" w:type="dxa"/>
                                  <w:tcBorders/>
                                  <w:shd w:fill="CCECFF" w:val="clear"/>
                                  <w:tcMar>
                                    <w:bottom w:w="0" w:type="dxa"/>
                                  </w:tcMar>
                                  <w:vAlign w:val="center"/>
                                </w:tcPr>
                                <w:p>
                                  <w:pPr>
                                    <w:pStyle w:val="TableContents"/>
                                    <w:bidi w:val="0"/>
                                    <w:spacing w:before="0" w:after="0"/>
                                    <w:jc w:val="left"/>
                                    <w:rPr>
                                      <w:color w:val="000000"/>
                                    </w:rPr>
                                  </w:pPr>
                                  <w:r>
                                    <w:rPr>
                                      <w:color w:val="000000"/>
                                    </w:rPr>
                                    <w:t>Hull 13</w:t>
                                  </w:r>
                                </w:p>
                              </w:tc>
                              <w:tc>
                                <w:tcPr>
                                  <w:tcW w:w="1235" w:type="dxa"/>
                                  <w:tcBorders/>
                                  <w:shd w:fill="CCECFF" w:val="clear"/>
                                  <w:tcMar>
                                    <w:bottom w:w="0" w:type="dxa"/>
                                  </w:tcMar>
                                  <w:vAlign w:val="center"/>
                                </w:tcPr>
                                <w:p>
                                  <w:pPr>
                                    <w:pStyle w:val="TableContents"/>
                                    <w:bidi w:val="0"/>
                                    <w:spacing w:before="0" w:after="0"/>
                                    <w:jc w:val="center"/>
                                    <w:rPr>
                                      <w:color w:val="000000"/>
                                    </w:rPr>
                                  </w:pPr>
                                  <w:r>
                                    <w:rPr>
                                      <w:color w:val="000000"/>
                                    </w:rPr>
                                    <w:t>Container</w:t>
                                  </w:r>
                                </w:p>
                              </w:tc>
                              <w:tc>
                                <w:tcPr>
                                  <w:tcW w:w="1880" w:type="dxa"/>
                                  <w:tcBorders/>
                                  <w:shd w:fill="CCECFF" w:val="clear"/>
                                  <w:tcMar>
                                    <w:bottom w:w="0" w:type="dxa"/>
                                  </w:tcMar>
                                  <w:vAlign w:val="center"/>
                                </w:tcPr>
                                <w:p>
                                  <w:pPr>
                                    <w:pStyle w:val="TableContents"/>
                                    <w:bidi w:val="0"/>
                                    <w:spacing w:before="0" w:after="0"/>
                                    <w:jc w:val="center"/>
                                    <w:rPr>
                                      <w:color w:val="000000"/>
                                    </w:rPr>
                                  </w:pPr>
                                  <w:r>
                                    <w:rPr>
                                      <w:color w:val="000000"/>
                                    </w:rPr>
                                    <w:t>1Q29</w:t>
                                  </w:r>
                                </w:p>
                              </w:tc>
                            </w:tr>
                            <w:tr>
                              <w:trPr/>
                              <w:tc>
                                <w:tcPr>
                                  <w:tcW w:w="1310" w:type="dxa"/>
                                  <w:tcBorders/>
                                  <w:tcMar>
                                    <w:bottom w:w="0" w:type="dxa"/>
                                  </w:tcMar>
                                  <w:vAlign w:val="center"/>
                                </w:tcPr>
                                <w:p>
                                  <w:pPr>
                                    <w:pStyle w:val="TableContents"/>
                                    <w:bidi w:val="0"/>
                                    <w:spacing w:before="0" w:after="0"/>
                                    <w:jc w:val="left"/>
                                    <w:rPr>
                                      <w:color w:val="000000"/>
                                    </w:rPr>
                                  </w:pPr>
                                  <w:r>
                                    <w:rPr>
                                      <w:color w:val="000000"/>
                                    </w:rPr>
                                    <w:t>Hull 14</w:t>
                                  </w:r>
                                </w:p>
                              </w:tc>
                              <w:tc>
                                <w:tcPr>
                                  <w:tcW w:w="1235" w:type="dxa"/>
                                  <w:tcBorders/>
                                  <w:tcMar>
                                    <w:bottom w:w="0" w:type="dxa"/>
                                  </w:tcMar>
                                  <w:vAlign w:val="center"/>
                                </w:tcPr>
                                <w:p>
                                  <w:pPr>
                                    <w:pStyle w:val="TableContents"/>
                                    <w:bidi w:val="0"/>
                                    <w:spacing w:before="0" w:after="0"/>
                                    <w:jc w:val="center"/>
                                    <w:rPr>
                                      <w:color w:val="000000"/>
                                    </w:rPr>
                                  </w:pPr>
                                  <w:r>
                                    <w:rPr>
                                      <w:color w:val="000000"/>
                                    </w:rPr>
                                    <w:t>Container</w:t>
                                  </w:r>
                                </w:p>
                              </w:tc>
                              <w:tc>
                                <w:tcPr>
                                  <w:tcW w:w="1880" w:type="dxa"/>
                                  <w:tcBorders/>
                                  <w:tcMar>
                                    <w:bottom w:w="0" w:type="dxa"/>
                                  </w:tcMar>
                                  <w:vAlign w:val="center"/>
                                </w:tcPr>
                                <w:p>
                                  <w:pPr>
                                    <w:pStyle w:val="TableContents"/>
                                    <w:bidi w:val="0"/>
                                    <w:spacing w:before="0" w:after="0"/>
                                    <w:jc w:val="center"/>
                                    <w:rPr>
                                      <w:color w:val="000000"/>
                                    </w:rPr>
                                  </w:pPr>
                                  <w:r>
                                    <w:rPr>
                                      <w:color w:val="000000"/>
                                    </w:rPr>
                                    <w:t>2Q29</w:t>
                                  </w:r>
                                </w:p>
                              </w:tc>
                            </w:tr>
                            <w:tr>
                              <w:trPr/>
                              <w:tc>
                                <w:tcPr>
                                  <w:tcW w:w="1310" w:type="dxa"/>
                                  <w:tcBorders/>
                                  <w:shd w:fill="CCECFF" w:val="clear"/>
                                  <w:tcMar>
                                    <w:bottom w:w="0" w:type="dxa"/>
                                  </w:tcMar>
                                  <w:vAlign w:val="center"/>
                                </w:tcPr>
                                <w:p>
                                  <w:pPr>
                                    <w:pStyle w:val="TableContents"/>
                                    <w:bidi w:val="0"/>
                                    <w:spacing w:before="0" w:after="0"/>
                                    <w:jc w:val="left"/>
                                    <w:rPr>
                                      <w:color w:val="000000"/>
                                    </w:rPr>
                                  </w:pPr>
                                  <w:r>
                                    <w:rPr>
                                      <w:color w:val="000000"/>
                                    </w:rPr>
                                    <w:t>Hull 15</w:t>
                                  </w:r>
                                </w:p>
                              </w:tc>
                              <w:tc>
                                <w:tcPr>
                                  <w:tcW w:w="1235" w:type="dxa"/>
                                  <w:tcBorders/>
                                  <w:shd w:fill="CCECFF" w:val="clear"/>
                                  <w:tcMar>
                                    <w:bottom w:w="0" w:type="dxa"/>
                                  </w:tcMar>
                                  <w:vAlign w:val="center"/>
                                </w:tcPr>
                                <w:p>
                                  <w:pPr>
                                    <w:pStyle w:val="TableContents"/>
                                    <w:bidi w:val="0"/>
                                    <w:spacing w:before="0" w:after="0"/>
                                    <w:jc w:val="center"/>
                                    <w:rPr>
                                      <w:color w:val="000000"/>
                                    </w:rPr>
                                  </w:pPr>
                                  <w:r>
                                    <w:rPr>
                                      <w:color w:val="000000"/>
                                    </w:rPr>
                                    <w:t>Container</w:t>
                                  </w:r>
                                </w:p>
                              </w:tc>
                              <w:tc>
                                <w:tcPr>
                                  <w:tcW w:w="1880" w:type="dxa"/>
                                  <w:tcBorders/>
                                  <w:shd w:fill="CCECFF" w:val="clear"/>
                                  <w:tcMar>
                                    <w:bottom w:w="0" w:type="dxa"/>
                                  </w:tcMar>
                                  <w:vAlign w:val="center"/>
                                </w:tcPr>
                                <w:p>
                                  <w:pPr>
                                    <w:pStyle w:val="TableContents"/>
                                    <w:bidi w:val="0"/>
                                    <w:spacing w:before="0" w:after="0"/>
                                    <w:jc w:val="center"/>
                                    <w:rPr>
                                      <w:color w:val="000000"/>
                                    </w:rPr>
                                  </w:pPr>
                                  <w:r>
                                    <w:rPr>
                                      <w:color w:val="000000"/>
                                    </w:rPr>
                                    <w:t>2Q29</w:t>
                                  </w:r>
                                </w:p>
                              </w:tc>
                            </w:tr>
                          </w:tbl>
                        </w:txbxContent>
                      </wps:txbx>
                      <wps:bodyPr anchor="t" lIns="0" tIns="0" rIns="0" bIns="0">
                        <a:noAutofit/>
                      </wps:bodyPr>
                    </wps:wsp>
                  </a:graphicData>
                </a:graphic>
              </wp:anchor>
            </w:drawing>
          </mc:Choice>
          <mc:Fallback>
            <w:pict>
              <v:rect style="position:absolute;rotation:-0;width:221.25pt;height:223.7pt;mso-wrap-distance-left:0pt;mso-wrap-distance-right:0pt;mso-wrap-distance-top:0pt;mso-wrap-distance-bottom:0pt;margin-top:0pt;mso-position-vertical:top;mso-position-vertical-relative:text;margin-left:0pt;mso-position-horizontal:left;mso-position-horizontal-relative:text">
                <v:textbox>
                  <w:txbxContent>
                    <w:tbl>
                      <w:tblPr>
                        <w:tblW w:w="4425" w:type="dxa"/>
                        <w:jc w:val="left"/>
                        <w:tblInd w:w="0" w:type="dxa"/>
                        <w:tblLayout w:type="fixed"/>
                        <w:tblCellMar>
                          <w:top w:w="0" w:type="dxa"/>
                          <w:left w:w="0" w:type="dxa"/>
                          <w:bottom w:w="28" w:type="dxa"/>
                          <w:right w:w="0" w:type="dxa"/>
                        </w:tblCellMar>
                      </w:tblPr>
                      <w:tblGrid>
                        <w:gridCol w:w="1310"/>
                        <w:gridCol w:w="1235"/>
                        <w:gridCol w:w="1880"/>
                      </w:tblGrid>
                      <w:tr>
                        <w:trPr/>
                        <w:tc>
                          <w:tcPr>
                            <w:tcW w:w="1310" w:type="dxa"/>
                            <w:tcBorders>
                              <w:bottom w:val="single" w:sz="12" w:space="0" w:color="000000"/>
                            </w:tcBorders>
                            <w:vAlign w:val="center"/>
                          </w:tcPr>
                          <w:p>
                            <w:pPr>
                              <w:pStyle w:val="TableContents"/>
                              <w:bidi w:val="0"/>
                              <w:spacing w:before="0" w:after="0"/>
                              <w:jc w:val="left"/>
                              <w:rPr>
                                <w:b/>
                                <w:color w:val="000000"/>
                              </w:rPr>
                            </w:pPr>
                            <w:r>
                              <w:rPr>
                                <w:b/>
                                <w:color w:val="000000"/>
                              </w:rPr>
                              <w:t>Vessel Name</w:t>
                            </w:r>
                          </w:p>
                        </w:tc>
                        <w:tc>
                          <w:tcPr>
                            <w:tcW w:w="1235" w:type="dxa"/>
                            <w:tcBorders>
                              <w:bottom w:val="single" w:sz="12" w:space="0" w:color="000000"/>
                            </w:tcBorders>
                            <w:vAlign w:val="center"/>
                          </w:tcPr>
                          <w:p>
                            <w:pPr>
                              <w:pStyle w:val="TableContents"/>
                              <w:bidi w:val="0"/>
                              <w:spacing w:before="0" w:after="0"/>
                              <w:jc w:val="center"/>
                              <w:rPr>
                                <w:b/>
                                <w:color w:val="000000"/>
                              </w:rPr>
                            </w:pPr>
                            <w:r>
                              <w:rPr>
                                <w:b/>
                                <w:color w:val="000000"/>
                              </w:rPr>
                              <w:t>Vessel Type</w:t>
                            </w:r>
                          </w:p>
                        </w:tc>
                        <w:tc>
                          <w:tcPr>
                            <w:tcW w:w="1880" w:type="dxa"/>
                            <w:tcBorders>
                              <w:bottom w:val="single" w:sz="12" w:space="0" w:color="000000"/>
                            </w:tcBorders>
                            <w:vAlign w:val="center"/>
                          </w:tcPr>
                          <w:p>
                            <w:pPr>
                              <w:pStyle w:val="TableContents"/>
                              <w:bidi w:val="0"/>
                              <w:spacing w:before="0" w:after="0"/>
                              <w:jc w:val="center"/>
                              <w:rPr>
                                <w:b/>
                                <w:color w:val="000000"/>
                              </w:rPr>
                            </w:pPr>
                            <w:r>
                              <w:rPr>
                                <w:b/>
                                <w:color w:val="000000"/>
                              </w:rPr>
                              <w:t>Expected Delivery</w:t>
                            </w:r>
                          </w:p>
                        </w:tc>
                      </w:tr>
                      <w:tr>
                        <w:trPr/>
                        <w:tc>
                          <w:tcPr>
                            <w:tcW w:w="1310" w:type="dxa"/>
                            <w:tcBorders/>
                            <w:shd w:fill="CCECFF" w:val="clear"/>
                            <w:tcMar>
                              <w:bottom w:w="0" w:type="dxa"/>
                            </w:tcMar>
                            <w:vAlign w:val="center"/>
                          </w:tcPr>
                          <w:p>
                            <w:pPr>
                              <w:pStyle w:val="TableContents"/>
                              <w:bidi w:val="0"/>
                              <w:spacing w:before="0" w:after="0"/>
                              <w:jc w:val="left"/>
                              <w:rPr>
                                <w:color w:val="000000"/>
                              </w:rPr>
                            </w:pPr>
                            <w:r>
                              <w:rPr>
                                <w:color w:val="000000"/>
                              </w:rPr>
                              <w:t>Hull 1</w:t>
                            </w:r>
                          </w:p>
                        </w:tc>
                        <w:tc>
                          <w:tcPr>
                            <w:tcW w:w="1235" w:type="dxa"/>
                            <w:tcBorders/>
                            <w:shd w:fill="CCECFF" w:val="clear"/>
                            <w:tcMar>
                              <w:bottom w:w="0" w:type="dxa"/>
                            </w:tcMar>
                            <w:vAlign w:val="center"/>
                          </w:tcPr>
                          <w:p>
                            <w:pPr>
                              <w:pStyle w:val="TableContents"/>
                              <w:bidi w:val="0"/>
                              <w:spacing w:before="0" w:after="0"/>
                              <w:jc w:val="center"/>
                              <w:rPr>
                                <w:color w:val="000000"/>
                              </w:rPr>
                            </w:pPr>
                            <w:r>
                              <w:rPr>
                                <w:color w:val="000000"/>
                              </w:rPr>
                              <w:t>Container</w:t>
                            </w:r>
                          </w:p>
                        </w:tc>
                        <w:tc>
                          <w:tcPr>
                            <w:tcW w:w="1880" w:type="dxa"/>
                            <w:tcBorders/>
                            <w:shd w:fill="CCECFF" w:val="clear"/>
                            <w:tcMar>
                              <w:bottom w:w="0" w:type="dxa"/>
                            </w:tcMar>
                            <w:vAlign w:val="center"/>
                          </w:tcPr>
                          <w:p>
                            <w:pPr>
                              <w:pStyle w:val="TableContents"/>
                              <w:bidi w:val="0"/>
                              <w:spacing w:before="0" w:after="0"/>
                              <w:jc w:val="center"/>
                              <w:rPr>
                                <w:color w:val="000000"/>
                              </w:rPr>
                            </w:pPr>
                            <w:r>
                              <w:rPr>
                                <w:color w:val="000000"/>
                              </w:rPr>
                              <w:t>4Q28</w:t>
                            </w:r>
                          </w:p>
                        </w:tc>
                      </w:tr>
                      <w:tr>
                        <w:trPr/>
                        <w:tc>
                          <w:tcPr>
                            <w:tcW w:w="1310" w:type="dxa"/>
                            <w:tcBorders/>
                            <w:tcMar>
                              <w:bottom w:w="0" w:type="dxa"/>
                            </w:tcMar>
                            <w:vAlign w:val="center"/>
                          </w:tcPr>
                          <w:p>
                            <w:pPr>
                              <w:pStyle w:val="TableContents"/>
                              <w:bidi w:val="0"/>
                              <w:spacing w:before="0" w:after="0"/>
                              <w:jc w:val="left"/>
                              <w:rPr>
                                <w:color w:val="000000"/>
                              </w:rPr>
                            </w:pPr>
                            <w:r>
                              <w:rPr>
                                <w:color w:val="000000"/>
                              </w:rPr>
                              <w:t>Hull 2</w:t>
                            </w:r>
                          </w:p>
                        </w:tc>
                        <w:tc>
                          <w:tcPr>
                            <w:tcW w:w="1235" w:type="dxa"/>
                            <w:tcBorders/>
                            <w:tcMar>
                              <w:bottom w:w="0" w:type="dxa"/>
                            </w:tcMar>
                            <w:vAlign w:val="center"/>
                          </w:tcPr>
                          <w:p>
                            <w:pPr>
                              <w:pStyle w:val="TableContents"/>
                              <w:bidi w:val="0"/>
                              <w:spacing w:before="0" w:after="0"/>
                              <w:jc w:val="center"/>
                              <w:rPr>
                                <w:color w:val="000000"/>
                              </w:rPr>
                            </w:pPr>
                            <w:r>
                              <w:rPr>
                                <w:color w:val="000000"/>
                              </w:rPr>
                              <w:t>Container</w:t>
                            </w:r>
                          </w:p>
                        </w:tc>
                        <w:tc>
                          <w:tcPr>
                            <w:tcW w:w="1880" w:type="dxa"/>
                            <w:tcBorders/>
                            <w:tcMar>
                              <w:bottom w:w="0" w:type="dxa"/>
                            </w:tcMar>
                            <w:vAlign w:val="center"/>
                          </w:tcPr>
                          <w:p>
                            <w:pPr>
                              <w:pStyle w:val="TableContents"/>
                              <w:bidi w:val="0"/>
                              <w:spacing w:before="0" w:after="0"/>
                              <w:jc w:val="center"/>
                              <w:rPr>
                                <w:color w:val="000000"/>
                              </w:rPr>
                            </w:pPr>
                            <w:r>
                              <w:rPr>
                                <w:color w:val="000000"/>
                              </w:rPr>
                              <w:t>2Q29</w:t>
                            </w:r>
                          </w:p>
                        </w:tc>
                      </w:tr>
                      <w:tr>
                        <w:trPr/>
                        <w:tc>
                          <w:tcPr>
                            <w:tcW w:w="1310" w:type="dxa"/>
                            <w:tcBorders/>
                            <w:shd w:fill="CCECFF" w:val="clear"/>
                            <w:tcMar>
                              <w:bottom w:w="0" w:type="dxa"/>
                            </w:tcMar>
                            <w:vAlign w:val="center"/>
                          </w:tcPr>
                          <w:p>
                            <w:pPr>
                              <w:pStyle w:val="TableContents"/>
                              <w:bidi w:val="0"/>
                              <w:spacing w:before="0" w:after="0"/>
                              <w:jc w:val="left"/>
                              <w:rPr>
                                <w:color w:val="000000"/>
                              </w:rPr>
                            </w:pPr>
                            <w:r>
                              <w:rPr>
                                <w:color w:val="000000"/>
                              </w:rPr>
                              <w:t>Hull 3</w:t>
                            </w:r>
                          </w:p>
                        </w:tc>
                        <w:tc>
                          <w:tcPr>
                            <w:tcW w:w="1235" w:type="dxa"/>
                            <w:tcBorders/>
                            <w:shd w:fill="CCECFF" w:val="clear"/>
                            <w:tcMar>
                              <w:bottom w:w="0" w:type="dxa"/>
                            </w:tcMar>
                            <w:vAlign w:val="center"/>
                          </w:tcPr>
                          <w:p>
                            <w:pPr>
                              <w:pStyle w:val="TableContents"/>
                              <w:bidi w:val="0"/>
                              <w:spacing w:before="0" w:after="0"/>
                              <w:jc w:val="center"/>
                              <w:rPr>
                                <w:color w:val="000000"/>
                              </w:rPr>
                            </w:pPr>
                            <w:r>
                              <w:rPr>
                                <w:color w:val="000000"/>
                              </w:rPr>
                              <w:t>Container</w:t>
                            </w:r>
                          </w:p>
                        </w:tc>
                        <w:tc>
                          <w:tcPr>
                            <w:tcW w:w="1880" w:type="dxa"/>
                            <w:tcBorders/>
                            <w:shd w:fill="CCECFF" w:val="clear"/>
                            <w:tcMar>
                              <w:bottom w:w="0" w:type="dxa"/>
                            </w:tcMar>
                            <w:vAlign w:val="center"/>
                          </w:tcPr>
                          <w:p>
                            <w:pPr>
                              <w:pStyle w:val="TableContents"/>
                              <w:bidi w:val="0"/>
                              <w:spacing w:before="0" w:after="0"/>
                              <w:jc w:val="center"/>
                              <w:rPr>
                                <w:color w:val="000000"/>
                              </w:rPr>
                            </w:pPr>
                            <w:r>
                              <w:rPr>
                                <w:color w:val="000000"/>
                              </w:rPr>
                              <w:t>3Q29</w:t>
                            </w:r>
                          </w:p>
                        </w:tc>
                      </w:tr>
                      <w:tr>
                        <w:trPr/>
                        <w:tc>
                          <w:tcPr>
                            <w:tcW w:w="1310" w:type="dxa"/>
                            <w:tcBorders/>
                            <w:tcMar>
                              <w:bottom w:w="0" w:type="dxa"/>
                            </w:tcMar>
                            <w:vAlign w:val="center"/>
                          </w:tcPr>
                          <w:p>
                            <w:pPr>
                              <w:pStyle w:val="TableContents"/>
                              <w:bidi w:val="0"/>
                              <w:spacing w:before="0" w:after="0"/>
                              <w:jc w:val="left"/>
                              <w:rPr>
                                <w:color w:val="000000"/>
                              </w:rPr>
                            </w:pPr>
                            <w:r>
                              <w:rPr>
                                <w:color w:val="000000"/>
                              </w:rPr>
                              <w:t>Hull 4</w:t>
                            </w:r>
                          </w:p>
                        </w:tc>
                        <w:tc>
                          <w:tcPr>
                            <w:tcW w:w="1235" w:type="dxa"/>
                            <w:tcBorders/>
                            <w:tcMar>
                              <w:bottom w:w="0" w:type="dxa"/>
                            </w:tcMar>
                            <w:vAlign w:val="center"/>
                          </w:tcPr>
                          <w:p>
                            <w:pPr>
                              <w:pStyle w:val="TableContents"/>
                              <w:bidi w:val="0"/>
                              <w:spacing w:before="0" w:after="0"/>
                              <w:jc w:val="center"/>
                              <w:rPr>
                                <w:color w:val="000000"/>
                              </w:rPr>
                            </w:pPr>
                            <w:r>
                              <w:rPr>
                                <w:color w:val="000000"/>
                              </w:rPr>
                              <w:t>Container</w:t>
                            </w:r>
                          </w:p>
                        </w:tc>
                        <w:tc>
                          <w:tcPr>
                            <w:tcW w:w="1880" w:type="dxa"/>
                            <w:tcBorders/>
                            <w:tcMar>
                              <w:bottom w:w="0" w:type="dxa"/>
                            </w:tcMar>
                            <w:vAlign w:val="center"/>
                          </w:tcPr>
                          <w:p>
                            <w:pPr>
                              <w:pStyle w:val="TableContents"/>
                              <w:bidi w:val="0"/>
                              <w:spacing w:before="0" w:after="0"/>
                              <w:jc w:val="center"/>
                              <w:rPr>
                                <w:color w:val="000000"/>
                              </w:rPr>
                            </w:pPr>
                            <w:r>
                              <w:rPr>
                                <w:color w:val="000000"/>
                              </w:rPr>
                              <w:t>2Q29</w:t>
                            </w:r>
                          </w:p>
                        </w:tc>
                      </w:tr>
                      <w:tr>
                        <w:trPr/>
                        <w:tc>
                          <w:tcPr>
                            <w:tcW w:w="1310" w:type="dxa"/>
                            <w:tcBorders/>
                            <w:shd w:fill="CCECFF" w:val="clear"/>
                            <w:tcMar>
                              <w:bottom w:w="0" w:type="dxa"/>
                            </w:tcMar>
                            <w:vAlign w:val="center"/>
                          </w:tcPr>
                          <w:p>
                            <w:pPr>
                              <w:pStyle w:val="TableContents"/>
                              <w:bidi w:val="0"/>
                              <w:spacing w:before="0" w:after="0"/>
                              <w:jc w:val="left"/>
                              <w:rPr>
                                <w:color w:val="000000"/>
                              </w:rPr>
                            </w:pPr>
                            <w:r>
                              <w:rPr>
                                <w:color w:val="000000"/>
                              </w:rPr>
                              <w:t>Hull 5</w:t>
                            </w:r>
                          </w:p>
                        </w:tc>
                        <w:tc>
                          <w:tcPr>
                            <w:tcW w:w="1235" w:type="dxa"/>
                            <w:tcBorders/>
                            <w:shd w:fill="CCECFF" w:val="clear"/>
                            <w:tcMar>
                              <w:bottom w:w="0" w:type="dxa"/>
                            </w:tcMar>
                            <w:vAlign w:val="center"/>
                          </w:tcPr>
                          <w:p>
                            <w:pPr>
                              <w:pStyle w:val="TableContents"/>
                              <w:bidi w:val="0"/>
                              <w:spacing w:before="0" w:after="0"/>
                              <w:jc w:val="center"/>
                              <w:rPr>
                                <w:color w:val="000000"/>
                              </w:rPr>
                            </w:pPr>
                            <w:r>
                              <w:rPr>
                                <w:color w:val="000000"/>
                              </w:rPr>
                              <w:t>Container</w:t>
                            </w:r>
                          </w:p>
                        </w:tc>
                        <w:tc>
                          <w:tcPr>
                            <w:tcW w:w="1880" w:type="dxa"/>
                            <w:tcBorders/>
                            <w:shd w:fill="CCECFF" w:val="clear"/>
                            <w:tcMar>
                              <w:bottom w:w="0" w:type="dxa"/>
                            </w:tcMar>
                            <w:vAlign w:val="center"/>
                          </w:tcPr>
                          <w:p>
                            <w:pPr>
                              <w:pStyle w:val="TableContents"/>
                              <w:bidi w:val="0"/>
                              <w:spacing w:before="0" w:after="0"/>
                              <w:jc w:val="center"/>
                              <w:rPr>
                                <w:color w:val="000000"/>
                              </w:rPr>
                            </w:pPr>
                            <w:r>
                              <w:rPr>
                                <w:color w:val="000000"/>
                              </w:rPr>
                              <w:t>3Q29</w:t>
                            </w:r>
                          </w:p>
                        </w:tc>
                      </w:tr>
                      <w:tr>
                        <w:trPr/>
                        <w:tc>
                          <w:tcPr>
                            <w:tcW w:w="1310" w:type="dxa"/>
                            <w:tcBorders/>
                            <w:tcMar>
                              <w:bottom w:w="0" w:type="dxa"/>
                            </w:tcMar>
                            <w:vAlign w:val="center"/>
                          </w:tcPr>
                          <w:p>
                            <w:pPr>
                              <w:pStyle w:val="TableContents"/>
                              <w:bidi w:val="0"/>
                              <w:spacing w:before="0" w:after="0"/>
                              <w:jc w:val="left"/>
                              <w:rPr>
                                <w:color w:val="000000"/>
                              </w:rPr>
                            </w:pPr>
                            <w:r>
                              <w:rPr>
                                <w:color w:val="000000"/>
                              </w:rPr>
                              <w:t>Hull 6</w:t>
                            </w:r>
                          </w:p>
                        </w:tc>
                        <w:tc>
                          <w:tcPr>
                            <w:tcW w:w="1235" w:type="dxa"/>
                            <w:tcBorders/>
                            <w:tcMar>
                              <w:bottom w:w="0" w:type="dxa"/>
                            </w:tcMar>
                            <w:vAlign w:val="center"/>
                          </w:tcPr>
                          <w:p>
                            <w:pPr>
                              <w:pStyle w:val="TableContents"/>
                              <w:bidi w:val="0"/>
                              <w:spacing w:before="0" w:after="0"/>
                              <w:jc w:val="center"/>
                              <w:rPr>
                                <w:color w:val="000000"/>
                              </w:rPr>
                            </w:pPr>
                            <w:r>
                              <w:rPr>
                                <w:color w:val="000000"/>
                              </w:rPr>
                              <w:t>Container</w:t>
                            </w:r>
                          </w:p>
                        </w:tc>
                        <w:tc>
                          <w:tcPr>
                            <w:tcW w:w="1880" w:type="dxa"/>
                            <w:tcBorders/>
                            <w:tcMar>
                              <w:bottom w:w="0" w:type="dxa"/>
                            </w:tcMar>
                            <w:vAlign w:val="center"/>
                          </w:tcPr>
                          <w:p>
                            <w:pPr>
                              <w:pStyle w:val="TableContents"/>
                              <w:bidi w:val="0"/>
                              <w:spacing w:before="0" w:after="0"/>
                              <w:jc w:val="center"/>
                              <w:rPr>
                                <w:color w:val="000000"/>
                              </w:rPr>
                            </w:pPr>
                            <w:r>
                              <w:rPr>
                                <w:color w:val="000000"/>
                              </w:rPr>
                              <w:t>3Q29</w:t>
                            </w:r>
                          </w:p>
                        </w:tc>
                      </w:tr>
                      <w:tr>
                        <w:trPr/>
                        <w:tc>
                          <w:tcPr>
                            <w:tcW w:w="1310" w:type="dxa"/>
                            <w:tcBorders/>
                            <w:shd w:fill="CCECFF" w:val="clear"/>
                            <w:tcMar>
                              <w:bottom w:w="0" w:type="dxa"/>
                            </w:tcMar>
                            <w:vAlign w:val="center"/>
                          </w:tcPr>
                          <w:p>
                            <w:pPr>
                              <w:pStyle w:val="TableContents"/>
                              <w:bidi w:val="0"/>
                              <w:spacing w:before="0" w:after="0"/>
                              <w:jc w:val="left"/>
                              <w:rPr>
                                <w:color w:val="000000"/>
                              </w:rPr>
                            </w:pPr>
                            <w:r>
                              <w:rPr>
                                <w:color w:val="000000"/>
                              </w:rPr>
                              <w:t>Hull 7</w:t>
                            </w:r>
                          </w:p>
                        </w:tc>
                        <w:tc>
                          <w:tcPr>
                            <w:tcW w:w="1235" w:type="dxa"/>
                            <w:tcBorders/>
                            <w:shd w:fill="CCECFF" w:val="clear"/>
                            <w:tcMar>
                              <w:bottom w:w="0" w:type="dxa"/>
                            </w:tcMar>
                            <w:vAlign w:val="center"/>
                          </w:tcPr>
                          <w:p>
                            <w:pPr>
                              <w:pStyle w:val="TableContents"/>
                              <w:bidi w:val="0"/>
                              <w:spacing w:before="0" w:after="0"/>
                              <w:jc w:val="center"/>
                              <w:rPr>
                                <w:color w:val="000000"/>
                              </w:rPr>
                            </w:pPr>
                            <w:r>
                              <w:rPr>
                                <w:color w:val="000000"/>
                              </w:rPr>
                              <w:t>Container</w:t>
                            </w:r>
                          </w:p>
                        </w:tc>
                        <w:tc>
                          <w:tcPr>
                            <w:tcW w:w="1880" w:type="dxa"/>
                            <w:tcBorders/>
                            <w:shd w:fill="CCECFF" w:val="clear"/>
                            <w:tcMar>
                              <w:bottom w:w="0" w:type="dxa"/>
                            </w:tcMar>
                            <w:vAlign w:val="center"/>
                          </w:tcPr>
                          <w:p>
                            <w:pPr>
                              <w:pStyle w:val="TableContents"/>
                              <w:bidi w:val="0"/>
                              <w:spacing w:before="0" w:after="0"/>
                              <w:jc w:val="center"/>
                              <w:rPr>
                                <w:color w:val="000000"/>
                              </w:rPr>
                            </w:pPr>
                            <w:r>
                              <w:rPr>
                                <w:color w:val="000000"/>
                              </w:rPr>
                              <w:t>3Q29</w:t>
                            </w:r>
                          </w:p>
                        </w:tc>
                      </w:tr>
                      <w:tr>
                        <w:trPr/>
                        <w:tc>
                          <w:tcPr>
                            <w:tcW w:w="1310" w:type="dxa"/>
                            <w:tcBorders/>
                            <w:tcMar>
                              <w:bottom w:w="0" w:type="dxa"/>
                            </w:tcMar>
                            <w:vAlign w:val="center"/>
                          </w:tcPr>
                          <w:p>
                            <w:pPr>
                              <w:pStyle w:val="TableContents"/>
                              <w:bidi w:val="0"/>
                              <w:spacing w:before="0" w:after="0"/>
                              <w:jc w:val="left"/>
                              <w:rPr>
                                <w:color w:val="000000"/>
                              </w:rPr>
                            </w:pPr>
                            <w:r>
                              <w:rPr>
                                <w:color w:val="000000"/>
                              </w:rPr>
                              <w:t>Hull 8</w:t>
                            </w:r>
                          </w:p>
                        </w:tc>
                        <w:tc>
                          <w:tcPr>
                            <w:tcW w:w="1235" w:type="dxa"/>
                            <w:tcBorders/>
                            <w:tcMar>
                              <w:bottom w:w="0" w:type="dxa"/>
                            </w:tcMar>
                            <w:vAlign w:val="center"/>
                          </w:tcPr>
                          <w:p>
                            <w:pPr>
                              <w:pStyle w:val="TableContents"/>
                              <w:bidi w:val="0"/>
                              <w:spacing w:before="0" w:after="0"/>
                              <w:jc w:val="center"/>
                              <w:rPr>
                                <w:color w:val="000000"/>
                              </w:rPr>
                            </w:pPr>
                            <w:r>
                              <w:rPr>
                                <w:color w:val="000000"/>
                              </w:rPr>
                              <w:t>Container</w:t>
                            </w:r>
                          </w:p>
                        </w:tc>
                        <w:tc>
                          <w:tcPr>
                            <w:tcW w:w="1880" w:type="dxa"/>
                            <w:tcBorders/>
                            <w:tcMar>
                              <w:bottom w:w="0" w:type="dxa"/>
                            </w:tcMar>
                            <w:vAlign w:val="center"/>
                          </w:tcPr>
                          <w:p>
                            <w:pPr>
                              <w:pStyle w:val="TableContents"/>
                              <w:bidi w:val="0"/>
                              <w:spacing w:before="0" w:after="0"/>
                              <w:jc w:val="center"/>
                              <w:rPr>
                                <w:color w:val="000000"/>
                              </w:rPr>
                            </w:pPr>
                            <w:r>
                              <w:rPr>
                                <w:color w:val="000000"/>
                              </w:rPr>
                              <w:t>4Q29</w:t>
                            </w:r>
                          </w:p>
                        </w:tc>
                      </w:tr>
                      <w:tr>
                        <w:trPr/>
                        <w:tc>
                          <w:tcPr>
                            <w:tcW w:w="1310" w:type="dxa"/>
                            <w:tcBorders/>
                            <w:shd w:fill="CCECFF" w:val="clear"/>
                            <w:tcMar>
                              <w:bottom w:w="0" w:type="dxa"/>
                            </w:tcMar>
                            <w:vAlign w:val="center"/>
                          </w:tcPr>
                          <w:p>
                            <w:pPr>
                              <w:pStyle w:val="TableContents"/>
                              <w:bidi w:val="0"/>
                              <w:spacing w:before="0" w:after="0"/>
                              <w:jc w:val="left"/>
                              <w:rPr>
                                <w:color w:val="000000"/>
                              </w:rPr>
                            </w:pPr>
                            <w:r>
                              <w:rPr>
                                <w:color w:val="000000"/>
                              </w:rPr>
                              <w:t>Hull 9</w:t>
                            </w:r>
                          </w:p>
                        </w:tc>
                        <w:tc>
                          <w:tcPr>
                            <w:tcW w:w="1235" w:type="dxa"/>
                            <w:tcBorders/>
                            <w:shd w:fill="CCECFF" w:val="clear"/>
                            <w:tcMar>
                              <w:bottom w:w="0" w:type="dxa"/>
                            </w:tcMar>
                            <w:vAlign w:val="center"/>
                          </w:tcPr>
                          <w:p>
                            <w:pPr>
                              <w:pStyle w:val="TableContents"/>
                              <w:bidi w:val="0"/>
                              <w:spacing w:before="0" w:after="0"/>
                              <w:jc w:val="center"/>
                              <w:rPr>
                                <w:color w:val="000000"/>
                              </w:rPr>
                            </w:pPr>
                            <w:r>
                              <w:rPr>
                                <w:color w:val="000000"/>
                              </w:rPr>
                              <w:t>Container</w:t>
                            </w:r>
                          </w:p>
                        </w:tc>
                        <w:tc>
                          <w:tcPr>
                            <w:tcW w:w="1880" w:type="dxa"/>
                            <w:tcBorders/>
                            <w:shd w:fill="CCECFF" w:val="clear"/>
                            <w:tcMar>
                              <w:bottom w:w="0" w:type="dxa"/>
                            </w:tcMar>
                            <w:vAlign w:val="center"/>
                          </w:tcPr>
                          <w:p>
                            <w:pPr>
                              <w:pStyle w:val="TableContents"/>
                              <w:bidi w:val="0"/>
                              <w:spacing w:before="0" w:after="0"/>
                              <w:jc w:val="center"/>
                              <w:rPr>
                                <w:color w:val="000000"/>
                              </w:rPr>
                            </w:pPr>
                            <w:r>
                              <w:rPr>
                                <w:color w:val="000000"/>
                              </w:rPr>
                              <w:t>4Q29</w:t>
                            </w:r>
                          </w:p>
                        </w:tc>
                      </w:tr>
                      <w:tr>
                        <w:trPr/>
                        <w:tc>
                          <w:tcPr>
                            <w:tcW w:w="1310" w:type="dxa"/>
                            <w:tcBorders/>
                            <w:tcMar>
                              <w:bottom w:w="0" w:type="dxa"/>
                            </w:tcMar>
                            <w:vAlign w:val="center"/>
                          </w:tcPr>
                          <w:p>
                            <w:pPr>
                              <w:pStyle w:val="TableContents"/>
                              <w:bidi w:val="0"/>
                              <w:spacing w:before="0" w:after="0"/>
                              <w:jc w:val="left"/>
                              <w:rPr>
                                <w:color w:val="000000"/>
                              </w:rPr>
                            </w:pPr>
                            <w:r>
                              <w:rPr>
                                <w:color w:val="000000"/>
                              </w:rPr>
                              <w:t>Hull 10</w:t>
                            </w:r>
                          </w:p>
                        </w:tc>
                        <w:tc>
                          <w:tcPr>
                            <w:tcW w:w="1235" w:type="dxa"/>
                            <w:tcBorders/>
                            <w:tcMar>
                              <w:bottom w:w="0" w:type="dxa"/>
                            </w:tcMar>
                            <w:vAlign w:val="center"/>
                          </w:tcPr>
                          <w:p>
                            <w:pPr>
                              <w:pStyle w:val="TableContents"/>
                              <w:bidi w:val="0"/>
                              <w:spacing w:before="0" w:after="0"/>
                              <w:jc w:val="center"/>
                              <w:rPr>
                                <w:color w:val="000000"/>
                              </w:rPr>
                            </w:pPr>
                            <w:r>
                              <w:rPr>
                                <w:color w:val="000000"/>
                              </w:rPr>
                              <w:t>Container</w:t>
                            </w:r>
                          </w:p>
                        </w:tc>
                        <w:tc>
                          <w:tcPr>
                            <w:tcW w:w="1880" w:type="dxa"/>
                            <w:tcBorders/>
                            <w:tcMar>
                              <w:bottom w:w="0" w:type="dxa"/>
                            </w:tcMar>
                            <w:vAlign w:val="center"/>
                          </w:tcPr>
                          <w:p>
                            <w:pPr>
                              <w:pStyle w:val="TableContents"/>
                              <w:bidi w:val="0"/>
                              <w:spacing w:before="0" w:after="0"/>
                              <w:jc w:val="center"/>
                              <w:rPr>
                                <w:color w:val="000000"/>
                              </w:rPr>
                            </w:pPr>
                            <w:r>
                              <w:rPr>
                                <w:color w:val="000000"/>
                              </w:rPr>
                              <w:t>4Q29</w:t>
                            </w:r>
                          </w:p>
                        </w:tc>
                      </w:tr>
                      <w:tr>
                        <w:trPr/>
                        <w:tc>
                          <w:tcPr>
                            <w:tcW w:w="1310" w:type="dxa"/>
                            <w:tcBorders/>
                            <w:shd w:fill="CCECFF" w:val="clear"/>
                            <w:tcMar>
                              <w:bottom w:w="0" w:type="dxa"/>
                            </w:tcMar>
                            <w:vAlign w:val="center"/>
                          </w:tcPr>
                          <w:p>
                            <w:pPr>
                              <w:pStyle w:val="TableContents"/>
                              <w:bidi w:val="0"/>
                              <w:spacing w:before="0" w:after="0"/>
                              <w:jc w:val="left"/>
                              <w:rPr>
                                <w:color w:val="000000"/>
                              </w:rPr>
                            </w:pPr>
                            <w:r>
                              <w:rPr>
                                <w:color w:val="000000"/>
                              </w:rPr>
                              <w:t>Hull 11</w:t>
                            </w:r>
                          </w:p>
                        </w:tc>
                        <w:tc>
                          <w:tcPr>
                            <w:tcW w:w="1235" w:type="dxa"/>
                            <w:tcBorders/>
                            <w:shd w:fill="CCECFF" w:val="clear"/>
                            <w:tcMar>
                              <w:bottom w:w="0" w:type="dxa"/>
                            </w:tcMar>
                            <w:vAlign w:val="center"/>
                          </w:tcPr>
                          <w:p>
                            <w:pPr>
                              <w:pStyle w:val="TableContents"/>
                              <w:bidi w:val="0"/>
                              <w:spacing w:before="0" w:after="0"/>
                              <w:jc w:val="center"/>
                              <w:rPr>
                                <w:color w:val="000000"/>
                              </w:rPr>
                            </w:pPr>
                            <w:r>
                              <w:rPr>
                                <w:color w:val="000000"/>
                              </w:rPr>
                              <w:t>Container</w:t>
                            </w:r>
                          </w:p>
                        </w:tc>
                        <w:tc>
                          <w:tcPr>
                            <w:tcW w:w="1880" w:type="dxa"/>
                            <w:tcBorders/>
                            <w:shd w:fill="CCECFF" w:val="clear"/>
                            <w:tcMar>
                              <w:bottom w:w="0" w:type="dxa"/>
                            </w:tcMar>
                            <w:vAlign w:val="center"/>
                          </w:tcPr>
                          <w:p>
                            <w:pPr>
                              <w:pStyle w:val="TableContents"/>
                              <w:bidi w:val="0"/>
                              <w:spacing w:before="0" w:after="0"/>
                              <w:jc w:val="center"/>
                              <w:rPr>
                                <w:color w:val="000000"/>
                              </w:rPr>
                            </w:pPr>
                            <w:r>
                              <w:rPr>
                                <w:color w:val="000000"/>
                              </w:rPr>
                              <w:t>1Q30</w:t>
                            </w:r>
                          </w:p>
                        </w:tc>
                      </w:tr>
                      <w:tr>
                        <w:trPr/>
                        <w:tc>
                          <w:tcPr>
                            <w:tcW w:w="1310" w:type="dxa"/>
                            <w:tcBorders/>
                            <w:tcMar>
                              <w:bottom w:w="0" w:type="dxa"/>
                            </w:tcMar>
                            <w:vAlign w:val="center"/>
                          </w:tcPr>
                          <w:p>
                            <w:pPr>
                              <w:pStyle w:val="TableContents"/>
                              <w:bidi w:val="0"/>
                              <w:spacing w:before="0" w:after="0"/>
                              <w:jc w:val="left"/>
                              <w:rPr>
                                <w:color w:val="000000"/>
                              </w:rPr>
                            </w:pPr>
                            <w:r>
                              <w:rPr>
                                <w:color w:val="000000"/>
                              </w:rPr>
                              <w:t>Hull 12</w:t>
                            </w:r>
                          </w:p>
                        </w:tc>
                        <w:tc>
                          <w:tcPr>
                            <w:tcW w:w="1235" w:type="dxa"/>
                            <w:tcBorders/>
                            <w:tcMar>
                              <w:bottom w:w="0" w:type="dxa"/>
                            </w:tcMar>
                            <w:vAlign w:val="center"/>
                          </w:tcPr>
                          <w:p>
                            <w:pPr>
                              <w:pStyle w:val="TableContents"/>
                              <w:bidi w:val="0"/>
                              <w:spacing w:before="0" w:after="0"/>
                              <w:jc w:val="center"/>
                              <w:rPr>
                                <w:color w:val="000000"/>
                              </w:rPr>
                            </w:pPr>
                            <w:r>
                              <w:rPr>
                                <w:color w:val="000000"/>
                              </w:rPr>
                              <w:t>Container</w:t>
                            </w:r>
                          </w:p>
                        </w:tc>
                        <w:tc>
                          <w:tcPr>
                            <w:tcW w:w="1880" w:type="dxa"/>
                            <w:tcBorders/>
                            <w:tcMar>
                              <w:bottom w:w="0" w:type="dxa"/>
                            </w:tcMar>
                            <w:vAlign w:val="center"/>
                          </w:tcPr>
                          <w:p>
                            <w:pPr>
                              <w:pStyle w:val="TableContents"/>
                              <w:bidi w:val="0"/>
                              <w:spacing w:before="0" w:after="0"/>
                              <w:jc w:val="center"/>
                              <w:rPr>
                                <w:color w:val="000000"/>
                              </w:rPr>
                            </w:pPr>
                            <w:r>
                              <w:rPr>
                                <w:color w:val="000000"/>
                              </w:rPr>
                              <w:t>1Q29</w:t>
                            </w:r>
                          </w:p>
                        </w:tc>
                      </w:tr>
                      <w:tr>
                        <w:trPr/>
                        <w:tc>
                          <w:tcPr>
                            <w:tcW w:w="1310" w:type="dxa"/>
                            <w:tcBorders/>
                            <w:shd w:fill="CCECFF" w:val="clear"/>
                            <w:tcMar>
                              <w:bottom w:w="0" w:type="dxa"/>
                            </w:tcMar>
                            <w:vAlign w:val="center"/>
                          </w:tcPr>
                          <w:p>
                            <w:pPr>
                              <w:pStyle w:val="TableContents"/>
                              <w:bidi w:val="0"/>
                              <w:spacing w:before="0" w:after="0"/>
                              <w:jc w:val="left"/>
                              <w:rPr>
                                <w:color w:val="000000"/>
                              </w:rPr>
                            </w:pPr>
                            <w:r>
                              <w:rPr>
                                <w:color w:val="000000"/>
                              </w:rPr>
                              <w:t>Hull 13</w:t>
                            </w:r>
                          </w:p>
                        </w:tc>
                        <w:tc>
                          <w:tcPr>
                            <w:tcW w:w="1235" w:type="dxa"/>
                            <w:tcBorders/>
                            <w:shd w:fill="CCECFF" w:val="clear"/>
                            <w:tcMar>
                              <w:bottom w:w="0" w:type="dxa"/>
                            </w:tcMar>
                            <w:vAlign w:val="center"/>
                          </w:tcPr>
                          <w:p>
                            <w:pPr>
                              <w:pStyle w:val="TableContents"/>
                              <w:bidi w:val="0"/>
                              <w:spacing w:before="0" w:after="0"/>
                              <w:jc w:val="center"/>
                              <w:rPr>
                                <w:color w:val="000000"/>
                              </w:rPr>
                            </w:pPr>
                            <w:r>
                              <w:rPr>
                                <w:color w:val="000000"/>
                              </w:rPr>
                              <w:t>Container</w:t>
                            </w:r>
                          </w:p>
                        </w:tc>
                        <w:tc>
                          <w:tcPr>
                            <w:tcW w:w="1880" w:type="dxa"/>
                            <w:tcBorders/>
                            <w:shd w:fill="CCECFF" w:val="clear"/>
                            <w:tcMar>
                              <w:bottom w:w="0" w:type="dxa"/>
                            </w:tcMar>
                            <w:vAlign w:val="center"/>
                          </w:tcPr>
                          <w:p>
                            <w:pPr>
                              <w:pStyle w:val="TableContents"/>
                              <w:bidi w:val="0"/>
                              <w:spacing w:before="0" w:after="0"/>
                              <w:jc w:val="center"/>
                              <w:rPr>
                                <w:color w:val="000000"/>
                              </w:rPr>
                            </w:pPr>
                            <w:r>
                              <w:rPr>
                                <w:color w:val="000000"/>
                              </w:rPr>
                              <w:t>1Q29</w:t>
                            </w:r>
                          </w:p>
                        </w:tc>
                      </w:tr>
                      <w:tr>
                        <w:trPr/>
                        <w:tc>
                          <w:tcPr>
                            <w:tcW w:w="1310" w:type="dxa"/>
                            <w:tcBorders/>
                            <w:tcMar>
                              <w:bottom w:w="0" w:type="dxa"/>
                            </w:tcMar>
                            <w:vAlign w:val="center"/>
                          </w:tcPr>
                          <w:p>
                            <w:pPr>
                              <w:pStyle w:val="TableContents"/>
                              <w:bidi w:val="0"/>
                              <w:spacing w:before="0" w:after="0"/>
                              <w:jc w:val="left"/>
                              <w:rPr>
                                <w:color w:val="000000"/>
                              </w:rPr>
                            </w:pPr>
                            <w:r>
                              <w:rPr>
                                <w:color w:val="000000"/>
                              </w:rPr>
                              <w:t>Hull 14</w:t>
                            </w:r>
                          </w:p>
                        </w:tc>
                        <w:tc>
                          <w:tcPr>
                            <w:tcW w:w="1235" w:type="dxa"/>
                            <w:tcBorders/>
                            <w:tcMar>
                              <w:bottom w:w="0" w:type="dxa"/>
                            </w:tcMar>
                            <w:vAlign w:val="center"/>
                          </w:tcPr>
                          <w:p>
                            <w:pPr>
                              <w:pStyle w:val="TableContents"/>
                              <w:bidi w:val="0"/>
                              <w:spacing w:before="0" w:after="0"/>
                              <w:jc w:val="center"/>
                              <w:rPr>
                                <w:color w:val="000000"/>
                              </w:rPr>
                            </w:pPr>
                            <w:r>
                              <w:rPr>
                                <w:color w:val="000000"/>
                              </w:rPr>
                              <w:t>Container</w:t>
                            </w:r>
                          </w:p>
                        </w:tc>
                        <w:tc>
                          <w:tcPr>
                            <w:tcW w:w="1880" w:type="dxa"/>
                            <w:tcBorders/>
                            <w:tcMar>
                              <w:bottom w:w="0" w:type="dxa"/>
                            </w:tcMar>
                            <w:vAlign w:val="center"/>
                          </w:tcPr>
                          <w:p>
                            <w:pPr>
                              <w:pStyle w:val="TableContents"/>
                              <w:bidi w:val="0"/>
                              <w:spacing w:before="0" w:after="0"/>
                              <w:jc w:val="center"/>
                              <w:rPr>
                                <w:color w:val="000000"/>
                              </w:rPr>
                            </w:pPr>
                            <w:r>
                              <w:rPr>
                                <w:color w:val="000000"/>
                              </w:rPr>
                              <w:t>2Q29</w:t>
                            </w:r>
                          </w:p>
                        </w:tc>
                      </w:tr>
                      <w:tr>
                        <w:trPr/>
                        <w:tc>
                          <w:tcPr>
                            <w:tcW w:w="1310" w:type="dxa"/>
                            <w:tcBorders/>
                            <w:shd w:fill="CCECFF" w:val="clear"/>
                            <w:tcMar>
                              <w:bottom w:w="0" w:type="dxa"/>
                            </w:tcMar>
                            <w:vAlign w:val="center"/>
                          </w:tcPr>
                          <w:p>
                            <w:pPr>
                              <w:pStyle w:val="TableContents"/>
                              <w:bidi w:val="0"/>
                              <w:spacing w:before="0" w:after="0"/>
                              <w:jc w:val="left"/>
                              <w:rPr>
                                <w:color w:val="000000"/>
                              </w:rPr>
                            </w:pPr>
                            <w:r>
                              <w:rPr>
                                <w:color w:val="000000"/>
                              </w:rPr>
                              <w:t>Hull 15</w:t>
                            </w:r>
                          </w:p>
                        </w:tc>
                        <w:tc>
                          <w:tcPr>
                            <w:tcW w:w="1235" w:type="dxa"/>
                            <w:tcBorders/>
                            <w:shd w:fill="CCECFF" w:val="clear"/>
                            <w:tcMar>
                              <w:bottom w:w="0" w:type="dxa"/>
                            </w:tcMar>
                            <w:vAlign w:val="center"/>
                          </w:tcPr>
                          <w:p>
                            <w:pPr>
                              <w:pStyle w:val="TableContents"/>
                              <w:bidi w:val="0"/>
                              <w:spacing w:before="0" w:after="0"/>
                              <w:jc w:val="center"/>
                              <w:rPr>
                                <w:color w:val="000000"/>
                              </w:rPr>
                            </w:pPr>
                            <w:r>
                              <w:rPr>
                                <w:color w:val="000000"/>
                              </w:rPr>
                              <w:t>Container</w:t>
                            </w:r>
                          </w:p>
                        </w:tc>
                        <w:tc>
                          <w:tcPr>
                            <w:tcW w:w="1880" w:type="dxa"/>
                            <w:tcBorders/>
                            <w:shd w:fill="CCECFF" w:val="clear"/>
                            <w:tcMar>
                              <w:bottom w:w="0" w:type="dxa"/>
                            </w:tcMar>
                            <w:vAlign w:val="center"/>
                          </w:tcPr>
                          <w:p>
                            <w:pPr>
                              <w:pStyle w:val="TableContents"/>
                              <w:bidi w:val="0"/>
                              <w:spacing w:before="0" w:after="0"/>
                              <w:jc w:val="center"/>
                              <w:rPr>
                                <w:color w:val="000000"/>
                              </w:rPr>
                            </w:pPr>
                            <w:r>
                              <w:rPr>
                                <w:color w:val="000000"/>
                              </w:rPr>
                              <w:t>2Q29</w:t>
                            </w:r>
                          </w:p>
                        </w:tc>
                      </w:tr>
                    </w:tbl>
                  </w:txbxContent>
                </v:textbox>
                <w10:wrap type="square" side="right"/>
              </v:rect>
            </w:pict>
          </mc:Fallback>
        </mc:AlternateConten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Conference Call and Webcast</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Global Ship Lease will hold a conference call to discuss the Company's results for the three and six months ended June 30, 2026 today, Wednesday, August 5, 2026 at 10:30 a.m. Eastern Time. There are two ways to access the conference call:</w:t>
      </w:r>
    </w:p>
    <w:p>
      <w:pPr>
        <w:pStyle w:val="TextBody"/>
        <w:bidi w:val="0"/>
        <w:spacing w:before="0" w:after="0"/>
        <w:jc w:val="left"/>
        <w:rPr/>
      </w:pPr>
      <w:r>
        <w:rPr/>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(1) Dial-in: (646) 307-1963 or (800) 715-9871; Event ID: 2443665</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Please dial in at least 10 minutes prior to 10:30 a.m. Eastern Time to ensure a prompt start to the call.</w:t>
      </w:r>
    </w:p>
    <w:p>
      <w:pPr>
        <w:pStyle w:val="TextBody"/>
        <w:bidi w:val="0"/>
        <w:spacing w:before="0" w:after="0"/>
        <w:jc w:val="left"/>
        <w:rPr/>
      </w:pPr>
      <w:r>
        <w:rPr/>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 xml:space="preserve">(2) Live Internet webcast and slide presentation: </w:t>
      </w:r>
      <w:r>
        <w:rPr>
          <w:rFonts w:ascii="Times New Roman" w:hAnsi="Times New Roman"/>
          <w:color w:val="000000"/>
          <w:sz w:val="20"/>
          <w:u w:val="single"/>
        </w:rPr>
        <w:t>http://www.globalshiplease.com</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The webcast will also be archived on the Company’s website: </w:t>
      </w:r>
      <w:r>
        <w:rPr>
          <w:rFonts w:ascii="Times New Roman" w:hAnsi="Times New Roman"/>
          <w:color w:val="000000"/>
          <w:sz w:val="20"/>
          <w:u w:val="single"/>
        </w:rPr>
        <w:t>http://www.globalshiplease.com.</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Annual Report on Form 20-F</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The Company’s Annual Report for 2025 was filed with the U.S. Securities and Exchange Commission (the “SEC”) on March 16, 2026. A copy of the report can be found under the Investor Relations section (Annual Reports) of the Company’s website at </w:t>
      </w:r>
      <w:r>
        <w:rPr>
          <w:rFonts w:ascii="Times New Roman" w:hAnsi="Times New Roman"/>
          <w:color w:val="000000"/>
          <w:sz w:val="20"/>
          <w:u w:val="single"/>
        </w:rPr>
        <w:t>http://www.globalshiplease.com</w:t>
      </w:r>
      <w:r>
        <w:rPr>
          <w:rFonts w:ascii="Times New Roman" w:hAnsi="Times New Roman"/>
          <w:color w:val="000000"/>
          <w:sz w:val="20"/>
        </w:rPr>
        <w:t xml:space="preserve"> or on the SEC’s website at www.sec.gov. Shareholders may request a hard copy of the audited financial statements free of charge by contacting the Company at </w:t>
      </w:r>
      <w:r>
        <w:rPr>
          <w:rFonts w:ascii="Times New Roman" w:hAnsi="Times New Roman"/>
          <w:color w:val="000000"/>
          <w:sz w:val="20"/>
          <w:u w:val="single"/>
        </w:rPr>
        <w:t>info@globalshiplease.com</w:t>
      </w:r>
      <w:r>
        <w:rPr>
          <w:rFonts w:ascii="Times New Roman" w:hAnsi="Times New Roman"/>
          <w:color w:val="000000"/>
          <w:sz w:val="20"/>
        </w:rPr>
        <w:t xml:space="preserve"> or by writing to Global Ship Lease, Inc, c/o GSL Enterprises Ltd., 9 Irodou Attikou Street, Kifisia, Athens, 14561.</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Page 10</w:t>
      </w:r>
    </w:p>
    <w:p>
      <w:pPr>
        <w:pStyle w:val="HorizontalLine"/>
        <w:pBdr>
          <w:bottom w:val="single" w:sz="12" w:space="0" w:color="808080"/>
        </w:pBdr>
        <w:bidi w:val="0"/>
        <w:spacing w:before="200" w:after="200"/>
        <w:jc w:val="left"/>
        <w:rPr/>
      </w:pPr>
      <w:r>
        <w:rPr/>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About Global Ship Lease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Global Ship Lease is a leading independent owner of containerships with a diversified fleet of mid-sized and smaller containerships. Incorporated in the Marshall Islands, Global Ship Lease commenced operations in December 2007 with a business of owning and chartering out containerships under fixed-rate charters to top tier container liner companies. It was listed on the New York Stock Exchange in August 2008.</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Our operating fleet of 71 containerships as of June 30, 2026, had an average age weighted by TEU capacity of 18.4 years. 41 ships are wide-beam Post-Panamax. As of June 30, 2026, our fleet also included 15 newbuilding containerships under construction with scheduled deliveries between the fourth quarter of 2028 and the first quarter of 2030.</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As of June 30, 2026, the average remaining term of the Company’s charters, to the mid-point of redelivery, including options under the Company’s control and other than if a redelivery notice has been received, including our Newbuildings, was 3.3 years on a TEU-weighted basis. Contracted revenue, including our Newbuildings, on the same basis was $3.2 billion. Contracted revenue was $4.1 billion, including options under charterers’ control and with latest redelivery date, representing a weighted average remaining term of 4.4 years.</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Reconciliation of Non-U.S. GAAP Financial Measures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To supplement our financial information presented in accordance with U.S. GAAP, we use certain “non-GAAP financial measures” as such term is defined in Regulation G promulgated by the SEC. Generally, a non-GAAP financial measure is a numerical measure of a company’s operating performance, financial position or cash flows that excludes or includes amounts that are included in, or excluded from, the most directly comparable measure calculated and presented in accordance with U.S. GAAP. We believe that the presentation of these measures provides investors with greater transparency and supplemental data relating to our financial condition and results of operations, and therefore a more complete understanding of factors affecting our business and financial performance than U.S. GAAP measures alone. In addition, we believe that the presentation of these matters is useful to investors for period-to-period comparison of results as the items may reflect certain unique and/or non-operating items or items outside of our control.</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We believe that the presentation of the following non-U.S. GAAP financial measures is useful to investors because they are frequently used by securities analysts, investors and other interested parties in the evaluation of companies in our industry.</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84" w:name="zcee11da2c80c494c9b855fc0f35275cd"/>
      <w:bookmarkStart w:id="85" w:name="zcee11da2c80c494c9b855fc0f35275cd"/>
      <w:bookmarkEnd w:id="85"/>
    </w:p>
    <w:tbl>
      <w:tblPr>
        <w:tblW w:w="2125" w:type="dxa"/>
        <w:jc w:val="left"/>
        <w:tblInd w:w="0" w:type="dxa"/>
        <w:tblLayout w:type="fixed"/>
        <w:tblCellMar>
          <w:top w:w="0" w:type="dxa"/>
          <w:left w:w="0" w:type="dxa"/>
          <w:bottom w:w="0" w:type="dxa"/>
          <w:right w:w="0" w:type="dxa"/>
        </w:tblCellMar>
      </w:tblPr>
      <w:tblGrid>
        <w:gridCol w:w="275"/>
        <w:gridCol w:w="1850"/>
      </w:tblGrid>
      <w:tr>
        <w:trPr/>
        <w:tc>
          <w:tcPr>
            <w:tcW w:w="275" w:type="dxa"/>
            <w:tcBorders/>
            <w:vAlign w:val="center"/>
          </w:tcPr>
          <w:p>
            <w:pPr>
              <w:pStyle w:val="TableContents"/>
              <w:bidi w:val="0"/>
              <w:spacing w:before="0" w:after="283"/>
              <w:jc w:val="left"/>
              <w:rPr/>
            </w:pPr>
            <w:r>
              <w:rPr/>
              <w:t>A.</w:t>
            </w:r>
          </w:p>
        </w:tc>
        <w:tc>
          <w:tcPr>
            <w:tcW w:w="1850" w:type="dxa"/>
            <w:tcBorders/>
            <w:vAlign w:val="center"/>
          </w:tcPr>
          <w:p>
            <w:pPr>
              <w:pStyle w:val="TableContents"/>
              <w:bidi w:val="0"/>
              <w:spacing w:before="0" w:after="0"/>
              <w:jc w:val="both"/>
              <w:rPr/>
            </w:pPr>
            <w:r>
              <w:rPr/>
              <w:t>Adjusted EBITDA</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Adjusted EBITDA represents net income available to common shareholders before interest income and expense, earnings allocated to preferred shares, depreciation and amortization, gains or losses on the sale of vessels, amortization of intangible liabilities, charges for stock based compensation, fair value adjustment on derivative assets and other financial instruments, income tax, and the effect of the straight lining of time charter modifications. Adjusted EBITDA is a non-U.S. GAAP quantitative measure used to assist in the assessment of our ability to generate cash from our operations. We believe that the presentation of Adjusted EBITDA is useful to investors because it is frequently used by securities analysts, investors and other interested parties in the evaluation of companies in our industry. Adjusted EBITDA is not defined in U.S. GAAP and should not be considered to be an alternative to net income or any other financial metric required by such accounting principles. Our use of Adjusted EBITDA may vary from the use of similarly titled measures by others in our industry.</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Adjusted EBITDA is presented herein both on a historic basis and on a forward-looking basis in certain instances. We do not provide a reconciliation of such forward looking non-U.S. GAAP financial measure to the most directly comparable U.S. GAAP measure due to the inherent difficulty in accurately forecasting and quantifying certain amounts necessary for such reconciliation, and we are not able to provide such reconciliation of such forward-looking non-U.S. GAAP financial measure without unreasonable effort and expense.</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Page 11</w:t>
      </w:r>
    </w:p>
    <w:p>
      <w:pPr>
        <w:pStyle w:val="HorizontalLine"/>
        <w:pBdr>
          <w:bottom w:val="single" w:sz="12" w:space="0" w:color="808080"/>
        </w:pBdr>
        <w:bidi w:val="0"/>
        <w:spacing w:before="200" w:after="20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ADJUSTED EBITDA - UNAUDITED</w:t>
      </w:r>
    </w:p>
    <w:p>
      <w:pPr>
        <w:pStyle w:val="TextBody"/>
        <w:bidi w:val="0"/>
        <w:spacing w:before="0" w:after="0"/>
        <w:jc w:val="left"/>
        <w:rPr/>
      </w:pPr>
      <w:r>
        <w:rPr/>
      </w:r>
    </w:p>
    <w:p>
      <w:pPr>
        <w:pStyle w:val="TextBody"/>
        <w:bidi w:val="0"/>
        <w:spacing w:before="0" w:after="0"/>
        <w:jc w:val="left"/>
        <w:rPr>
          <w:rFonts w:ascii="Times New Roman" w:hAnsi="Times New Roman"/>
          <w:i/>
          <w:color w:val="000000"/>
          <w:sz w:val="20"/>
        </w:rPr>
      </w:pPr>
      <w:r>
        <w:rPr>
          <w:rFonts w:ascii="Times New Roman" w:hAnsi="Times New Roman"/>
          <w:i/>
          <w:color w:val="000000"/>
          <w:sz w:val="20"/>
        </w:rPr>
        <w:t>(thousands of U.S. dollars)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86" w:name="zde5c464e3bd4426092bb3a41de1779cc"/>
      <w:bookmarkStart w:id="87" w:name="zde5c464e3bd4426092bb3a41de1779cc"/>
      <w:bookmarkEnd w:id="87"/>
    </w:p>
    <w:tbl>
      <w:tblPr>
        <w:tblW w:w="13290" w:type="dxa"/>
        <w:jc w:val="left"/>
        <w:tblInd w:w="0" w:type="dxa"/>
        <w:tblLayout w:type="fixed"/>
        <w:tblCellMar>
          <w:top w:w="0" w:type="dxa"/>
          <w:left w:w="0" w:type="dxa"/>
          <w:bottom w:w="0" w:type="dxa"/>
          <w:right w:w="0" w:type="dxa"/>
        </w:tblCellMar>
      </w:tblPr>
      <w:tblGrid>
        <w:gridCol w:w="830"/>
        <w:gridCol w:w="6890"/>
        <w:gridCol w:w="1355"/>
        <w:gridCol w:w="60"/>
        <w:gridCol w:w="1340"/>
        <w:gridCol w:w="60"/>
        <w:gridCol w:w="1340"/>
        <w:gridCol w:w="60"/>
        <w:gridCol w:w="1355"/>
      </w:tblGrid>
      <w:tr>
        <w:trPr/>
        <w:tc>
          <w:tcPr>
            <w:tcW w:w="7720" w:type="dxa"/>
            <w:gridSpan w:val="2"/>
            <w:tcBorders/>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0"/>
              <w:jc w:val="right"/>
              <w:rPr/>
            </w:pPr>
            <w:r>
              <w:rPr/>
              <w:t>Three</w:t>
            </w:r>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0"/>
              <w:jc w:val="right"/>
              <w:rPr/>
            </w:pPr>
            <w:r>
              <w:rPr/>
              <w:t>Three</w:t>
            </w:r>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0"/>
              <w:jc w:val="right"/>
              <w:rPr/>
            </w:pPr>
            <w:r>
              <w:rPr/>
              <w:t>Six</w:t>
            </w:r>
          </w:p>
        </w:tc>
        <w:tc>
          <w:tcPr>
            <w:tcW w:w="60" w:type="dxa"/>
            <w:tcBorders/>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0"/>
              <w:jc w:val="right"/>
              <w:rPr/>
            </w:pPr>
            <w:r>
              <w:rPr/>
              <w:t>Six</w:t>
            </w:r>
          </w:p>
        </w:tc>
      </w:tr>
      <w:tr>
        <w:trPr/>
        <w:tc>
          <w:tcPr>
            <w:tcW w:w="7720" w:type="dxa"/>
            <w:gridSpan w:val="2"/>
            <w:tcBorders/>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0"/>
              <w:jc w:val="right"/>
              <w:rPr/>
            </w:pPr>
            <w:r>
              <w:rPr/>
              <w:t>months ended</w:t>
            </w:r>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0"/>
              <w:jc w:val="right"/>
              <w:rPr/>
            </w:pPr>
            <w:r>
              <w:rPr/>
              <w:t>months ended</w:t>
            </w:r>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0"/>
              <w:jc w:val="right"/>
              <w:rPr/>
            </w:pPr>
            <w:r>
              <w:rPr/>
              <w:t>months ended</w:t>
            </w:r>
          </w:p>
        </w:tc>
        <w:tc>
          <w:tcPr>
            <w:tcW w:w="60" w:type="dxa"/>
            <w:tcBorders/>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0"/>
              <w:jc w:val="right"/>
              <w:rPr/>
            </w:pPr>
            <w:r>
              <w:rPr/>
              <w:t>months ended</w:t>
            </w:r>
          </w:p>
        </w:tc>
      </w:tr>
      <w:tr>
        <w:trPr/>
        <w:tc>
          <w:tcPr>
            <w:tcW w:w="7720" w:type="dxa"/>
            <w:gridSpan w:val="2"/>
            <w:tcBorders/>
            <w:vAlign w:val="center"/>
          </w:tcPr>
          <w:p>
            <w:pPr>
              <w:pStyle w:val="TableContents"/>
              <w:bidi w:val="0"/>
              <w:spacing w:before="0" w:after="283"/>
              <w:jc w:val="left"/>
              <w:rPr/>
            </w:pPr>
            <w:r>
              <w:rPr/>
              <w:t> </w:t>
            </w:r>
          </w:p>
        </w:tc>
        <w:tc>
          <w:tcPr>
            <w:tcW w:w="1355" w:type="dxa"/>
            <w:tcBorders>
              <w:bottom w:val="single" w:sz="12" w:space="0" w:color="000000"/>
            </w:tcBorders>
            <w:tcMar>
              <w:bottom w:w="28" w:type="dxa"/>
            </w:tcMar>
            <w:vAlign w:val="center"/>
          </w:tcPr>
          <w:p>
            <w:pPr>
              <w:pStyle w:val="TableContents"/>
              <w:bidi w:val="0"/>
              <w:spacing w:before="0" w:after="0"/>
              <w:jc w:val="right"/>
              <w:rPr/>
            </w:pPr>
            <w:r>
              <w:rPr/>
              <w:t>June 30, 2026</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1340" w:type="dxa"/>
            <w:tcBorders>
              <w:bottom w:val="single" w:sz="12" w:space="0" w:color="000000"/>
            </w:tcBorders>
            <w:tcMar>
              <w:bottom w:w="28" w:type="dxa"/>
            </w:tcMar>
            <w:vAlign w:val="center"/>
          </w:tcPr>
          <w:p>
            <w:pPr>
              <w:pStyle w:val="TableContents"/>
              <w:bidi w:val="0"/>
              <w:spacing w:before="0" w:after="0"/>
              <w:jc w:val="right"/>
              <w:rPr/>
            </w:pPr>
            <w:r>
              <w:rPr/>
              <w:t>June 30, 2025</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1340" w:type="dxa"/>
            <w:tcBorders>
              <w:bottom w:val="single" w:sz="12" w:space="0" w:color="000000"/>
            </w:tcBorders>
            <w:tcMar>
              <w:bottom w:w="28" w:type="dxa"/>
            </w:tcMar>
            <w:vAlign w:val="center"/>
          </w:tcPr>
          <w:p>
            <w:pPr>
              <w:pStyle w:val="TableContents"/>
              <w:bidi w:val="0"/>
              <w:spacing w:before="0" w:after="0"/>
              <w:jc w:val="right"/>
              <w:rPr/>
            </w:pPr>
            <w:r>
              <w:rPr/>
              <w:t>June 30, 2026</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1355" w:type="dxa"/>
            <w:tcBorders>
              <w:bottom w:val="single" w:sz="12" w:space="0" w:color="000000"/>
            </w:tcBorders>
            <w:tcMar>
              <w:bottom w:w="28" w:type="dxa"/>
            </w:tcMar>
            <w:vAlign w:val="center"/>
          </w:tcPr>
          <w:p>
            <w:pPr>
              <w:pStyle w:val="TableContents"/>
              <w:bidi w:val="0"/>
              <w:spacing w:before="0" w:after="0"/>
              <w:jc w:val="right"/>
              <w:rPr/>
            </w:pPr>
            <w:r>
              <w:rPr/>
              <w:t>June 30, 2025</w:t>
            </w:r>
          </w:p>
        </w:tc>
      </w:tr>
      <w:tr>
        <w:trPr/>
        <w:tc>
          <w:tcPr>
            <w:tcW w:w="7720" w:type="dxa"/>
            <w:gridSpan w:val="2"/>
            <w:tcBorders/>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283"/>
              <w:jc w:val="left"/>
              <w:rPr/>
            </w:pPr>
            <w:r>
              <w:rPr/>
              <w:t> </w:t>
            </w:r>
          </w:p>
        </w:tc>
      </w:tr>
      <w:tr>
        <w:trPr/>
        <w:tc>
          <w:tcPr>
            <w:tcW w:w="7720" w:type="dxa"/>
            <w:gridSpan w:val="2"/>
            <w:tcBorders/>
            <w:shd w:fill="CCEEFF" w:val="clear"/>
            <w:vAlign w:val="center"/>
          </w:tcPr>
          <w:p>
            <w:pPr>
              <w:pStyle w:val="TableContents"/>
              <w:bidi w:val="0"/>
              <w:spacing w:before="0" w:after="0"/>
              <w:jc w:val="left"/>
              <w:rPr/>
            </w:pPr>
            <w:r>
              <w:rPr/>
              <w:t>Net income available to Common Shareholders</w:t>
            </w:r>
          </w:p>
        </w:tc>
        <w:tc>
          <w:tcPr>
            <w:tcW w:w="1355" w:type="dxa"/>
            <w:tcBorders/>
            <w:shd w:fill="CCEEFF" w:val="clear"/>
            <w:vAlign w:val="center"/>
          </w:tcPr>
          <w:p>
            <w:pPr>
              <w:pStyle w:val="TableContents"/>
              <w:bidi w:val="0"/>
              <w:spacing w:before="0" w:after="0"/>
              <w:jc w:val="right"/>
              <w:rPr/>
            </w:pPr>
            <w:r>
              <w:rPr/>
              <w:t>89,292</w:t>
            </w:r>
          </w:p>
        </w:tc>
        <w:tc>
          <w:tcPr>
            <w:tcW w:w="6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0"/>
              <w:jc w:val="right"/>
              <w:rPr/>
            </w:pPr>
            <w:r>
              <w:rPr/>
              <w:t>93,053</w:t>
            </w:r>
          </w:p>
        </w:tc>
        <w:tc>
          <w:tcPr>
            <w:tcW w:w="6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0"/>
              <w:jc w:val="right"/>
              <w:rPr/>
            </w:pPr>
            <w:r>
              <w:rPr/>
              <w:t>180,737</w:t>
            </w:r>
          </w:p>
        </w:tc>
        <w:tc>
          <w:tcPr>
            <w:tcW w:w="60" w:type="dxa"/>
            <w:tcBorders/>
            <w:shd w:fill="CCEEFF" w:val="clear"/>
            <w:vAlign w:val="center"/>
          </w:tcPr>
          <w:p>
            <w:pPr>
              <w:pStyle w:val="TableContents"/>
              <w:bidi w:val="0"/>
              <w:spacing w:before="0" w:after="283"/>
              <w:jc w:val="left"/>
              <w:rPr/>
            </w:pPr>
            <w:r>
              <w:rPr/>
              <w:t> </w:t>
            </w:r>
          </w:p>
        </w:tc>
        <w:tc>
          <w:tcPr>
            <w:tcW w:w="1355" w:type="dxa"/>
            <w:tcBorders/>
            <w:shd w:fill="CCEEFF" w:val="clear"/>
            <w:vAlign w:val="center"/>
          </w:tcPr>
          <w:p>
            <w:pPr>
              <w:pStyle w:val="TableContents"/>
              <w:bidi w:val="0"/>
              <w:spacing w:before="0" w:after="0"/>
              <w:jc w:val="right"/>
              <w:rPr/>
            </w:pPr>
            <w:r>
              <w:rPr/>
              <w:t>214,063</w:t>
            </w:r>
          </w:p>
        </w:tc>
      </w:tr>
      <w:tr>
        <w:trPr/>
        <w:tc>
          <w:tcPr>
            <w:tcW w:w="830" w:type="dxa"/>
            <w:tcBorders/>
            <w:vAlign w:val="center"/>
          </w:tcPr>
          <w:p>
            <w:pPr>
              <w:pStyle w:val="TableContents"/>
              <w:bidi w:val="0"/>
              <w:spacing w:before="0" w:after="283"/>
              <w:jc w:val="left"/>
              <w:rPr/>
            </w:pPr>
            <w:r>
              <w:rPr/>
              <w:t> </w:t>
            </w:r>
          </w:p>
        </w:tc>
        <w:tc>
          <w:tcPr>
            <w:tcW w:w="6890" w:type="dxa"/>
            <w:tcBorders/>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283"/>
              <w:jc w:val="left"/>
              <w:rPr/>
            </w:pPr>
            <w:r>
              <w:rPr/>
              <w:t> </w:t>
            </w:r>
          </w:p>
        </w:tc>
      </w:tr>
      <w:tr>
        <w:trPr/>
        <w:tc>
          <w:tcPr>
            <w:tcW w:w="830" w:type="dxa"/>
            <w:tcBorders/>
            <w:shd w:fill="CCEEFF" w:val="clear"/>
            <w:vAlign w:val="center"/>
          </w:tcPr>
          <w:p>
            <w:pPr>
              <w:pStyle w:val="TableContents"/>
              <w:bidi w:val="0"/>
              <w:spacing w:before="0" w:after="0"/>
              <w:jc w:val="left"/>
              <w:rPr/>
            </w:pPr>
            <w:r>
              <w:rPr/>
              <w:t xml:space="preserve">Adjust:  </w:t>
            </w:r>
          </w:p>
        </w:tc>
        <w:tc>
          <w:tcPr>
            <w:tcW w:w="6890" w:type="dxa"/>
            <w:tcBorders/>
            <w:shd w:fill="CCEEFF" w:val="clear"/>
            <w:vAlign w:val="center"/>
          </w:tcPr>
          <w:p>
            <w:pPr>
              <w:pStyle w:val="TableContents"/>
              <w:bidi w:val="0"/>
              <w:spacing w:before="0" w:after="0"/>
              <w:jc w:val="left"/>
              <w:rPr/>
            </w:pPr>
            <w:r>
              <w:rPr/>
              <w:t>Depreciation and amortization</w:t>
            </w:r>
          </w:p>
        </w:tc>
        <w:tc>
          <w:tcPr>
            <w:tcW w:w="1355" w:type="dxa"/>
            <w:tcBorders/>
            <w:shd w:fill="CCEEFF" w:val="clear"/>
            <w:vAlign w:val="center"/>
          </w:tcPr>
          <w:p>
            <w:pPr>
              <w:pStyle w:val="TableContents"/>
              <w:bidi w:val="0"/>
              <w:spacing w:before="0" w:after="0"/>
              <w:jc w:val="right"/>
              <w:rPr/>
            </w:pPr>
            <w:r>
              <w:rPr/>
              <w:t>34,189</w:t>
            </w:r>
          </w:p>
        </w:tc>
        <w:tc>
          <w:tcPr>
            <w:tcW w:w="6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0"/>
              <w:jc w:val="right"/>
              <w:rPr/>
            </w:pPr>
            <w:r>
              <w:rPr/>
              <w:t>30,328</w:t>
            </w:r>
          </w:p>
        </w:tc>
        <w:tc>
          <w:tcPr>
            <w:tcW w:w="6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0"/>
              <w:jc w:val="right"/>
              <w:rPr/>
            </w:pPr>
            <w:r>
              <w:rPr/>
              <w:t>67,661</w:t>
            </w:r>
          </w:p>
        </w:tc>
        <w:tc>
          <w:tcPr>
            <w:tcW w:w="60" w:type="dxa"/>
            <w:tcBorders/>
            <w:shd w:fill="CCEEFF" w:val="clear"/>
            <w:vAlign w:val="center"/>
          </w:tcPr>
          <w:p>
            <w:pPr>
              <w:pStyle w:val="TableContents"/>
              <w:bidi w:val="0"/>
              <w:spacing w:before="0" w:after="283"/>
              <w:jc w:val="left"/>
              <w:rPr/>
            </w:pPr>
            <w:r>
              <w:rPr/>
              <w:t> </w:t>
            </w:r>
          </w:p>
        </w:tc>
        <w:tc>
          <w:tcPr>
            <w:tcW w:w="1355" w:type="dxa"/>
            <w:tcBorders/>
            <w:shd w:fill="CCEEFF" w:val="clear"/>
            <w:vAlign w:val="center"/>
          </w:tcPr>
          <w:p>
            <w:pPr>
              <w:pStyle w:val="TableContents"/>
              <w:bidi w:val="0"/>
              <w:spacing w:before="0" w:after="0"/>
              <w:jc w:val="right"/>
              <w:rPr/>
            </w:pPr>
            <w:r>
              <w:rPr/>
              <w:t>60,121</w:t>
            </w:r>
          </w:p>
        </w:tc>
      </w:tr>
      <w:tr>
        <w:trPr/>
        <w:tc>
          <w:tcPr>
            <w:tcW w:w="830" w:type="dxa"/>
            <w:tcBorders/>
            <w:vAlign w:val="center"/>
          </w:tcPr>
          <w:p>
            <w:pPr>
              <w:pStyle w:val="TableContents"/>
              <w:bidi w:val="0"/>
              <w:spacing w:before="0" w:after="283"/>
              <w:jc w:val="left"/>
              <w:rPr/>
            </w:pPr>
            <w:r>
              <w:rPr/>
              <w:t> </w:t>
            </w:r>
          </w:p>
        </w:tc>
        <w:tc>
          <w:tcPr>
            <w:tcW w:w="6890" w:type="dxa"/>
            <w:tcBorders/>
            <w:vAlign w:val="center"/>
          </w:tcPr>
          <w:p>
            <w:pPr>
              <w:pStyle w:val="TableContents"/>
              <w:bidi w:val="0"/>
              <w:spacing w:before="0" w:after="0"/>
              <w:jc w:val="left"/>
              <w:rPr/>
            </w:pPr>
            <w:r>
              <w:rPr/>
              <w:t>Loss/(gain) on sale of vessels</w:t>
            </w:r>
          </w:p>
        </w:tc>
        <w:tc>
          <w:tcPr>
            <w:tcW w:w="1355" w:type="dxa"/>
            <w:tcBorders/>
            <w:vAlign w:val="center"/>
          </w:tcPr>
          <w:p>
            <w:pPr>
              <w:pStyle w:val="TableContents"/>
              <w:bidi w:val="0"/>
              <w:spacing w:before="0" w:after="0"/>
              <w:jc w:val="right"/>
              <w:rPr/>
            </w:pPr>
            <w:r>
              <w:rPr/>
              <w:t>-</w:t>
            </w:r>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0"/>
              <w:jc w:val="right"/>
              <w:rPr/>
            </w:pPr>
            <w:r>
              <w:rPr/>
              <w:t>115</w:t>
            </w:r>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0"/>
              <w:jc w:val="right"/>
              <w:rPr/>
            </w:pPr>
            <w:r>
              <w:rPr/>
              <w:t>-</w:t>
            </w:r>
          </w:p>
        </w:tc>
        <w:tc>
          <w:tcPr>
            <w:tcW w:w="60" w:type="dxa"/>
            <w:tcBorders/>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0"/>
              <w:jc w:val="right"/>
              <w:rPr/>
            </w:pPr>
            <w:r>
              <w:rPr/>
              <w:t>(28,343)</w:t>
            </w:r>
          </w:p>
        </w:tc>
      </w:tr>
      <w:tr>
        <w:trPr/>
        <w:tc>
          <w:tcPr>
            <w:tcW w:w="830" w:type="dxa"/>
            <w:tcBorders/>
            <w:shd w:fill="CCEEFF" w:val="clear"/>
            <w:vAlign w:val="center"/>
          </w:tcPr>
          <w:p>
            <w:pPr>
              <w:pStyle w:val="TableContents"/>
              <w:bidi w:val="0"/>
              <w:spacing w:before="0" w:after="283"/>
              <w:jc w:val="left"/>
              <w:rPr/>
            </w:pPr>
            <w:r>
              <w:rPr/>
              <w:t> </w:t>
            </w:r>
          </w:p>
        </w:tc>
        <w:tc>
          <w:tcPr>
            <w:tcW w:w="6890" w:type="dxa"/>
            <w:tcBorders/>
            <w:shd w:fill="CCEEFF" w:val="clear"/>
            <w:vAlign w:val="center"/>
          </w:tcPr>
          <w:p>
            <w:pPr>
              <w:pStyle w:val="TableContents"/>
              <w:bidi w:val="0"/>
              <w:spacing w:before="0" w:after="0"/>
              <w:jc w:val="left"/>
              <w:rPr/>
            </w:pPr>
            <w:r>
              <w:rPr/>
              <w:t>Amortization of intangible liabilities</w:t>
            </w:r>
          </w:p>
        </w:tc>
        <w:tc>
          <w:tcPr>
            <w:tcW w:w="1355" w:type="dxa"/>
            <w:tcBorders/>
            <w:shd w:fill="CCEEFF" w:val="clear"/>
            <w:vAlign w:val="center"/>
          </w:tcPr>
          <w:p>
            <w:pPr>
              <w:pStyle w:val="TableContents"/>
              <w:bidi w:val="0"/>
              <w:spacing w:before="0" w:after="0"/>
              <w:jc w:val="right"/>
              <w:rPr/>
            </w:pPr>
            <w:r>
              <w:rPr/>
              <w:t>(6,425)</w:t>
            </w:r>
          </w:p>
        </w:tc>
        <w:tc>
          <w:tcPr>
            <w:tcW w:w="6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0"/>
              <w:jc w:val="right"/>
              <w:rPr/>
            </w:pPr>
            <w:r>
              <w:rPr/>
              <w:t>(3,319)</w:t>
            </w:r>
          </w:p>
        </w:tc>
        <w:tc>
          <w:tcPr>
            <w:tcW w:w="6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0"/>
              <w:jc w:val="right"/>
              <w:rPr/>
            </w:pPr>
            <w:r>
              <w:rPr/>
              <w:t>(12,672)</w:t>
            </w:r>
          </w:p>
        </w:tc>
        <w:tc>
          <w:tcPr>
            <w:tcW w:w="60" w:type="dxa"/>
            <w:tcBorders/>
            <w:shd w:fill="CCEEFF" w:val="clear"/>
            <w:vAlign w:val="center"/>
          </w:tcPr>
          <w:p>
            <w:pPr>
              <w:pStyle w:val="TableContents"/>
              <w:bidi w:val="0"/>
              <w:spacing w:before="0" w:after="283"/>
              <w:jc w:val="left"/>
              <w:rPr/>
            </w:pPr>
            <w:r>
              <w:rPr/>
              <w:t> </w:t>
            </w:r>
          </w:p>
        </w:tc>
        <w:tc>
          <w:tcPr>
            <w:tcW w:w="1355" w:type="dxa"/>
            <w:tcBorders/>
            <w:shd w:fill="CCEEFF" w:val="clear"/>
            <w:vAlign w:val="center"/>
          </w:tcPr>
          <w:p>
            <w:pPr>
              <w:pStyle w:val="TableContents"/>
              <w:bidi w:val="0"/>
              <w:spacing w:before="0" w:after="0"/>
              <w:jc w:val="right"/>
              <w:rPr/>
            </w:pPr>
            <w:r>
              <w:rPr/>
              <w:t>(6,533)</w:t>
            </w:r>
          </w:p>
        </w:tc>
      </w:tr>
      <w:tr>
        <w:trPr/>
        <w:tc>
          <w:tcPr>
            <w:tcW w:w="830" w:type="dxa"/>
            <w:tcBorders/>
            <w:vAlign w:val="center"/>
          </w:tcPr>
          <w:p>
            <w:pPr>
              <w:pStyle w:val="TableContents"/>
              <w:bidi w:val="0"/>
              <w:spacing w:before="0" w:after="283"/>
              <w:jc w:val="left"/>
              <w:rPr/>
            </w:pPr>
            <w:r>
              <w:rPr/>
              <w:t> </w:t>
            </w:r>
          </w:p>
        </w:tc>
        <w:tc>
          <w:tcPr>
            <w:tcW w:w="6890" w:type="dxa"/>
            <w:tcBorders/>
            <w:vAlign w:val="center"/>
          </w:tcPr>
          <w:p>
            <w:pPr>
              <w:pStyle w:val="TableContents"/>
              <w:bidi w:val="0"/>
              <w:spacing w:before="0" w:after="0"/>
              <w:jc w:val="left"/>
              <w:rPr/>
            </w:pPr>
            <w:r>
              <w:rPr/>
              <w:t>Fair value adjustment on derivative assets and other financial instruments</w:t>
            </w:r>
          </w:p>
        </w:tc>
        <w:tc>
          <w:tcPr>
            <w:tcW w:w="1355" w:type="dxa"/>
            <w:tcBorders/>
            <w:vAlign w:val="center"/>
          </w:tcPr>
          <w:p>
            <w:pPr>
              <w:pStyle w:val="TableContents"/>
              <w:bidi w:val="0"/>
              <w:spacing w:before="0" w:after="0"/>
              <w:jc w:val="right"/>
              <w:rPr/>
            </w:pPr>
            <w:r>
              <w:rPr/>
              <w:t>227</w:t>
            </w:r>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0"/>
              <w:jc w:val="right"/>
              <w:rPr/>
            </w:pPr>
            <w:r>
              <w:rPr/>
              <w:t>1,208</w:t>
            </w:r>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0"/>
              <w:jc w:val="right"/>
              <w:rPr/>
            </w:pPr>
            <w:r>
              <w:rPr/>
              <w:t>1,127</w:t>
            </w:r>
          </w:p>
        </w:tc>
        <w:tc>
          <w:tcPr>
            <w:tcW w:w="60" w:type="dxa"/>
            <w:tcBorders/>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0"/>
              <w:jc w:val="right"/>
              <w:rPr/>
            </w:pPr>
            <w:r>
              <w:rPr/>
              <w:t>2,831</w:t>
            </w:r>
          </w:p>
        </w:tc>
      </w:tr>
      <w:tr>
        <w:trPr/>
        <w:tc>
          <w:tcPr>
            <w:tcW w:w="830" w:type="dxa"/>
            <w:tcBorders/>
            <w:shd w:fill="CCEEFF" w:val="clear"/>
            <w:vAlign w:val="center"/>
          </w:tcPr>
          <w:p>
            <w:pPr>
              <w:pStyle w:val="TableContents"/>
              <w:bidi w:val="0"/>
              <w:spacing w:before="0" w:after="283"/>
              <w:jc w:val="left"/>
              <w:rPr/>
            </w:pPr>
            <w:r>
              <w:rPr/>
              <w:t> </w:t>
            </w:r>
          </w:p>
        </w:tc>
        <w:tc>
          <w:tcPr>
            <w:tcW w:w="6890" w:type="dxa"/>
            <w:tcBorders/>
            <w:shd w:fill="CCEEFF" w:val="clear"/>
            <w:vAlign w:val="center"/>
          </w:tcPr>
          <w:p>
            <w:pPr>
              <w:pStyle w:val="TableContents"/>
              <w:bidi w:val="0"/>
              <w:spacing w:before="0" w:after="0"/>
              <w:jc w:val="left"/>
              <w:rPr/>
            </w:pPr>
            <w:r>
              <w:rPr/>
              <w:t>Interest income</w:t>
            </w:r>
          </w:p>
        </w:tc>
        <w:tc>
          <w:tcPr>
            <w:tcW w:w="1355" w:type="dxa"/>
            <w:tcBorders/>
            <w:shd w:fill="CCEEFF" w:val="clear"/>
            <w:vAlign w:val="center"/>
          </w:tcPr>
          <w:p>
            <w:pPr>
              <w:pStyle w:val="TableContents"/>
              <w:bidi w:val="0"/>
              <w:spacing w:before="0" w:after="0"/>
              <w:jc w:val="right"/>
              <w:rPr/>
            </w:pPr>
            <w:r>
              <w:rPr/>
              <w:t>(5,606)</w:t>
            </w:r>
          </w:p>
        </w:tc>
        <w:tc>
          <w:tcPr>
            <w:tcW w:w="6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0"/>
              <w:jc w:val="right"/>
              <w:rPr/>
            </w:pPr>
            <w:r>
              <w:rPr/>
              <w:t>(4,676)</w:t>
            </w:r>
          </w:p>
        </w:tc>
        <w:tc>
          <w:tcPr>
            <w:tcW w:w="6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0"/>
              <w:jc w:val="right"/>
              <w:rPr/>
            </w:pPr>
            <w:r>
              <w:rPr/>
              <w:t>(11,272)</w:t>
            </w:r>
          </w:p>
        </w:tc>
        <w:tc>
          <w:tcPr>
            <w:tcW w:w="60" w:type="dxa"/>
            <w:tcBorders/>
            <w:shd w:fill="CCEEFF" w:val="clear"/>
            <w:vAlign w:val="center"/>
          </w:tcPr>
          <w:p>
            <w:pPr>
              <w:pStyle w:val="TableContents"/>
              <w:bidi w:val="0"/>
              <w:spacing w:before="0" w:after="283"/>
              <w:jc w:val="left"/>
              <w:rPr/>
            </w:pPr>
            <w:r>
              <w:rPr/>
              <w:t> </w:t>
            </w:r>
          </w:p>
        </w:tc>
        <w:tc>
          <w:tcPr>
            <w:tcW w:w="1355" w:type="dxa"/>
            <w:tcBorders/>
            <w:shd w:fill="CCEEFF" w:val="clear"/>
            <w:vAlign w:val="center"/>
          </w:tcPr>
          <w:p>
            <w:pPr>
              <w:pStyle w:val="TableContents"/>
              <w:bidi w:val="0"/>
              <w:spacing w:before="0" w:after="0"/>
              <w:jc w:val="right"/>
              <w:rPr/>
            </w:pPr>
            <w:r>
              <w:rPr/>
              <w:t>(7,871)</w:t>
            </w:r>
          </w:p>
        </w:tc>
      </w:tr>
      <w:tr>
        <w:trPr/>
        <w:tc>
          <w:tcPr>
            <w:tcW w:w="830" w:type="dxa"/>
            <w:tcBorders/>
            <w:vAlign w:val="center"/>
          </w:tcPr>
          <w:p>
            <w:pPr>
              <w:pStyle w:val="TableContents"/>
              <w:bidi w:val="0"/>
              <w:spacing w:before="0" w:after="283"/>
              <w:jc w:val="left"/>
              <w:rPr/>
            </w:pPr>
            <w:r>
              <w:rPr/>
              <w:t> </w:t>
            </w:r>
          </w:p>
        </w:tc>
        <w:tc>
          <w:tcPr>
            <w:tcW w:w="6890" w:type="dxa"/>
            <w:tcBorders/>
            <w:vAlign w:val="center"/>
          </w:tcPr>
          <w:p>
            <w:pPr>
              <w:pStyle w:val="TableContents"/>
              <w:bidi w:val="0"/>
              <w:spacing w:before="0" w:after="0"/>
              <w:jc w:val="left"/>
              <w:rPr/>
            </w:pPr>
            <w:r>
              <w:rPr/>
              <w:t>Interest expense</w:t>
            </w:r>
          </w:p>
        </w:tc>
        <w:tc>
          <w:tcPr>
            <w:tcW w:w="1355" w:type="dxa"/>
            <w:tcBorders/>
            <w:vAlign w:val="center"/>
          </w:tcPr>
          <w:p>
            <w:pPr>
              <w:pStyle w:val="TableContents"/>
              <w:bidi w:val="0"/>
              <w:spacing w:before="0" w:after="0"/>
              <w:jc w:val="right"/>
              <w:rPr/>
            </w:pPr>
            <w:r>
              <w:rPr/>
              <w:t>9,440</w:t>
            </w:r>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0"/>
              <w:jc w:val="right"/>
              <w:rPr/>
            </w:pPr>
            <w:r>
              <w:rPr/>
              <w:t>10,596</w:t>
            </w:r>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0"/>
              <w:jc w:val="right"/>
              <w:rPr/>
            </w:pPr>
            <w:r>
              <w:rPr/>
              <w:t>18,779</w:t>
            </w:r>
          </w:p>
        </w:tc>
        <w:tc>
          <w:tcPr>
            <w:tcW w:w="60" w:type="dxa"/>
            <w:tcBorders/>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0"/>
              <w:jc w:val="right"/>
              <w:rPr/>
            </w:pPr>
            <w:r>
              <w:rPr/>
              <w:t>20,463</w:t>
            </w:r>
          </w:p>
        </w:tc>
      </w:tr>
      <w:tr>
        <w:trPr/>
        <w:tc>
          <w:tcPr>
            <w:tcW w:w="830" w:type="dxa"/>
            <w:tcBorders/>
            <w:shd w:fill="CCEEFF" w:val="clear"/>
            <w:vAlign w:val="center"/>
          </w:tcPr>
          <w:p>
            <w:pPr>
              <w:pStyle w:val="TableContents"/>
              <w:bidi w:val="0"/>
              <w:spacing w:before="0" w:after="283"/>
              <w:jc w:val="left"/>
              <w:rPr/>
            </w:pPr>
            <w:r>
              <w:rPr/>
              <w:t> </w:t>
            </w:r>
          </w:p>
        </w:tc>
        <w:tc>
          <w:tcPr>
            <w:tcW w:w="6890" w:type="dxa"/>
            <w:tcBorders/>
            <w:shd w:fill="CCEEFF" w:val="clear"/>
            <w:vAlign w:val="center"/>
          </w:tcPr>
          <w:p>
            <w:pPr>
              <w:pStyle w:val="TableContents"/>
              <w:bidi w:val="0"/>
              <w:spacing w:before="0" w:after="0"/>
              <w:jc w:val="left"/>
              <w:rPr/>
            </w:pPr>
            <w:r>
              <w:rPr/>
              <w:t>Stock based compensation</w:t>
            </w:r>
          </w:p>
        </w:tc>
        <w:tc>
          <w:tcPr>
            <w:tcW w:w="1355" w:type="dxa"/>
            <w:tcBorders/>
            <w:shd w:fill="CCEEFF" w:val="clear"/>
            <w:vAlign w:val="center"/>
          </w:tcPr>
          <w:p>
            <w:pPr>
              <w:pStyle w:val="TableContents"/>
              <w:bidi w:val="0"/>
              <w:spacing w:before="0" w:after="0"/>
              <w:jc w:val="right"/>
              <w:rPr/>
            </w:pPr>
            <w:r>
              <w:rPr/>
              <w:t>5,079</w:t>
            </w:r>
          </w:p>
        </w:tc>
        <w:tc>
          <w:tcPr>
            <w:tcW w:w="6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0"/>
              <w:jc w:val="right"/>
              <w:rPr/>
            </w:pPr>
            <w:r>
              <w:rPr/>
              <w:t>2,122</w:t>
            </w:r>
          </w:p>
        </w:tc>
        <w:tc>
          <w:tcPr>
            <w:tcW w:w="6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0"/>
              <w:jc w:val="right"/>
              <w:rPr/>
            </w:pPr>
            <w:r>
              <w:rPr/>
              <w:t>10,998</w:t>
            </w:r>
          </w:p>
        </w:tc>
        <w:tc>
          <w:tcPr>
            <w:tcW w:w="60" w:type="dxa"/>
            <w:tcBorders/>
            <w:shd w:fill="CCEEFF" w:val="clear"/>
            <w:vAlign w:val="center"/>
          </w:tcPr>
          <w:p>
            <w:pPr>
              <w:pStyle w:val="TableContents"/>
              <w:bidi w:val="0"/>
              <w:spacing w:before="0" w:after="283"/>
              <w:jc w:val="left"/>
              <w:rPr/>
            </w:pPr>
            <w:r>
              <w:rPr/>
              <w:t> </w:t>
            </w:r>
          </w:p>
        </w:tc>
        <w:tc>
          <w:tcPr>
            <w:tcW w:w="1355" w:type="dxa"/>
            <w:tcBorders/>
            <w:shd w:fill="CCEEFF" w:val="clear"/>
            <w:vAlign w:val="center"/>
          </w:tcPr>
          <w:p>
            <w:pPr>
              <w:pStyle w:val="TableContents"/>
              <w:bidi w:val="0"/>
              <w:spacing w:before="0" w:after="0"/>
              <w:jc w:val="right"/>
              <w:rPr/>
            </w:pPr>
            <w:r>
              <w:rPr/>
              <w:t>4,244</w:t>
            </w:r>
          </w:p>
        </w:tc>
      </w:tr>
      <w:tr>
        <w:trPr/>
        <w:tc>
          <w:tcPr>
            <w:tcW w:w="830" w:type="dxa"/>
            <w:tcBorders/>
            <w:vAlign w:val="center"/>
          </w:tcPr>
          <w:p>
            <w:pPr>
              <w:pStyle w:val="TableContents"/>
              <w:bidi w:val="0"/>
              <w:spacing w:before="0" w:after="283"/>
              <w:jc w:val="left"/>
              <w:rPr/>
            </w:pPr>
            <w:r>
              <w:rPr/>
              <w:t> </w:t>
            </w:r>
          </w:p>
        </w:tc>
        <w:tc>
          <w:tcPr>
            <w:tcW w:w="6890" w:type="dxa"/>
            <w:tcBorders/>
            <w:vAlign w:val="center"/>
          </w:tcPr>
          <w:p>
            <w:pPr>
              <w:pStyle w:val="TableContents"/>
              <w:bidi w:val="0"/>
              <w:spacing w:before="0" w:after="0"/>
              <w:jc w:val="left"/>
              <w:rPr/>
            </w:pPr>
            <w:r>
              <w:rPr/>
              <w:t>Earnings allocated to preferred shares</w:t>
            </w:r>
          </w:p>
        </w:tc>
        <w:tc>
          <w:tcPr>
            <w:tcW w:w="1355" w:type="dxa"/>
            <w:tcBorders/>
            <w:vAlign w:val="center"/>
          </w:tcPr>
          <w:p>
            <w:pPr>
              <w:pStyle w:val="TableContents"/>
              <w:bidi w:val="0"/>
              <w:spacing w:before="0" w:after="0"/>
              <w:jc w:val="right"/>
              <w:rPr/>
            </w:pPr>
            <w:r>
              <w:rPr/>
              <w:t>2,384</w:t>
            </w:r>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0"/>
              <w:jc w:val="right"/>
              <w:rPr/>
            </w:pPr>
            <w:r>
              <w:rPr/>
              <w:t>2,384</w:t>
            </w:r>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0"/>
              <w:jc w:val="right"/>
              <w:rPr/>
            </w:pPr>
            <w:r>
              <w:rPr/>
              <w:t>4,768</w:t>
            </w:r>
          </w:p>
        </w:tc>
        <w:tc>
          <w:tcPr>
            <w:tcW w:w="60" w:type="dxa"/>
            <w:tcBorders/>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0"/>
              <w:jc w:val="right"/>
              <w:rPr/>
            </w:pPr>
            <w:r>
              <w:rPr/>
              <w:t>4,768</w:t>
            </w:r>
          </w:p>
        </w:tc>
      </w:tr>
      <w:tr>
        <w:trPr/>
        <w:tc>
          <w:tcPr>
            <w:tcW w:w="830" w:type="dxa"/>
            <w:tcBorders/>
            <w:shd w:fill="CCEEFF" w:val="clear"/>
            <w:vAlign w:val="center"/>
          </w:tcPr>
          <w:p>
            <w:pPr>
              <w:pStyle w:val="TableContents"/>
              <w:bidi w:val="0"/>
              <w:spacing w:before="0" w:after="283"/>
              <w:jc w:val="left"/>
              <w:rPr/>
            </w:pPr>
            <w:r>
              <w:rPr/>
              <w:t> </w:t>
            </w:r>
          </w:p>
        </w:tc>
        <w:tc>
          <w:tcPr>
            <w:tcW w:w="6890" w:type="dxa"/>
            <w:tcBorders/>
            <w:shd w:fill="CCEEFF" w:val="clear"/>
            <w:vAlign w:val="center"/>
          </w:tcPr>
          <w:p>
            <w:pPr>
              <w:pStyle w:val="TableContents"/>
              <w:bidi w:val="0"/>
              <w:spacing w:before="0" w:after="0"/>
              <w:jc w:val="left"/>
              <w:rPr/>
            </w:pPr>
            <w:r>
              <w:rPr/>
              <w:t>Effect from straight lining time charter modifications</w:t>
            </w:r>
          </w:p>
        </w:tc>
        <w:tc>
          <w:tcPr>
            <w:tcW w:w="1355" w:type="dxa"/>
            <w:tcBorders>
              <w:bottom w:val="single" w:sz="12" w:space="0" w:color="000000"/>
            </w:tcBorders>
            <w:shd w:fill="CCEEFF" w:val="clear"/>
            <w:tcMar>
              <w:bottom w:w="28" w:type="dxa"/>
            </w:tcMar>
            <w:vAlign w:val="center"/>
          </w:tcPr>
          <w:p>
            <w:pPr>
              <w:pStyle w:val="TableContents"/>
              <w:bidi w:val="0"/>
              <w:spacing w:before="0" w:after="0"/>
              <w:jc w:val="right"/>
              <w:rPr/>
            </w:pPr>
            <w:r>
              <w:rPr/>
              <w:t>2,786</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40" w:type="dxa"/>
            <w:tcBorders>
              <w:bottom w:val="single" w:sz="12" w:space="0" w:color="000000"/>
            </w:tcBorders>
            <w:shd w:fill="CCEEFF" w:val="clear"/>
            <w:tcMar>
              <w:bottom w:w="28" w:type="dxa"/>
            </w:tcMar>
            <w:vAlign w:val="center"/>
          </w:tcPr>
          <w:p>
            <w:pPr>
              <w:pStyle w:val="TableContents"/>
              <w:bidi w:val="0"/>
              <w:spacing w:before="0" w:after="0"/>
              <w:jc w:val="right"/>
              <w:rPr/>
            </w:pPr>
            <w:r>
              <w:rPr/>
              <w:t>2,372</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40" w:type="dxa"/>
            <w:tcBorders>
              <w:bottom w:val="single" w:sz="12" w:space="0" w:color="000000"/>
            </w:tcBorders>
            <w:shd w:fill="CCEEFF" w:val="clear"/>
            <w:tcMar>
              <w:bottom w:w="28" w:type="dxa"/>
            </w:tcMar>
            <w:vAlign w:val="center"/>
          </w:tcPr>
          <w:p>
            <w:pPr>
              <w:pStyle w:val="TableContents"/>
              <w:bidi w:val="0"/>
              <w:spacing w:before="0" w:after="0"/>
              <w:jc w:val="right"/>
              <w:rPr/>
            </w:pPr>
            <w:r>
              <w:rPr/>
              <w:t>4,425</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55" w:type="dxa"/>
            <w:tcBorders>
              <w:bottom w:val="single" w:sz="12" w:space="0" w:color="000000"/>
            </w:tcBorders>
            <w:shd w:fill="CCEEFF" w:val="clear"/>
            <w:tcMar>
              <w:bottom w:w="28" w:type="dxa"/>
            </w:tcMar>
            <w:vAlign w:val="center"/>
          </w:tcPr>
          <w:p>
            <w:pPr>
              <w:pStyle w:val="TableContents"/>
              <w:bidi w:val="0"/>
              <w:spacing w:before="0" w:after="0"/>
              <w:jc w:val="right"/>
              <w:rPr/>
            </w:pPr>
            <w:r>
              <w:rPr/>
              <w:t>2,738</w:t>
            </w:r>
          </w:p>
        </w:tc>
      </w:tr>
      <w:tr>
        <w:trPr/>
        <w:tc>
          <w:tcPr>
            <w:tcW w:w="7720" w:type="dxa"/>
            <w:gridSpan w:val="2"/>
            <w:tcBorders/>
            <w:vAlign w:val="center"/>
          </w:tcPr>
          <w:p>
            <w:pPr>
              <w:pStyle w:val="TableContents"/>
              <w:bidi w:val="0"/>
              <w:spacing w:before="0" w:after="0"/>
              <w:jc w:val="left"/>
              <w:rPr/>
            </w:pPr>
            <w:r>
              <w:rPr/>
              <w:t>Adjusted EBITDA</w:t>
            </w:r>
          </w:p>
        </w:tc>
        <w:tc>
          <w:tcPr>
            <w:tcW w:w="1355" w:type="dxa"/>
            <w:tcBorders>
              <w:bottom w:val="double" w:sz="8" w:space="0" w:color="000000"/>
            </w:tcBorders>
            <w:tcMar>
              <w:bottom w:w="28" w:type="dxa"/>
            </w:tcMar>
            <w:vAlign w:val="center"/>
          </w:tcPr>
          <w:p>
            <w:pPr>
              <w:pStyle w:val="TableContents"/>
              <w:bidi w:val="0"/>
              <w:spacing w:before="0" w:after="0"/>
              <w:jc w:val="right"/>
              <w:rPr/>
            </w:pPr>
            <w:r>
              <w:rPr/>
              <w:t>131,366</w:t>
            </w:r>
          </w:p>
        </w:tc>
        <w:tc>
          <w:tcPr>
            <w:tcW w:w="60" w:type="dxa"/>
            <w:tcBorders>
              <w:bottom w:val="double" w:sz="8" w:space="0" w:color="000000"/>
            </w:tcBorders>
            <w:tcMar>
              <w:bottom w:w="28" w:type="dxa"/>
            </w:tcMar>
            <w:vAlign w:val="center"/>
          </w:tcPr>
          <w:p>
            <w:pPr>
              <w:pStyle w:val="TableContents"/>
              <w:bidi w:val="0"/>
              <w:spacing w:before="0" w:after="283"/>
              <w:jc w:val="left"/>
              <w:rPr/>
            </w:pPr>
            <w:r>
              <w:rPr/>
              <w:t> </w:t>
            </w:r>
          </w:p>
        </w:tc>
        <w:tc>
          <w:tcPr>
            <w:tcW w:w="1340" w:type="dxa"/>
            <w:tcBorders>
              <w:bottom w:val="double" w:sz="8" w:space="0" w:color="000000"/>
            </w:tcBorders>
            <w:tcMar>
              <w:bottom w:w="28" w:type="dxa"/>
            </w:tcMar>
            <w:vAlign w:val="center"/>
          </w:tcPr>
          <w:p>
            <w:pPr>
              <w:pStyle w:val="TableContents"/>
              <w:bidi w:val="0"/>
              <w:spacing w:before="0" w:after="0"/>
              <w:jc w:val="right"/>
              <w:rPr/>
            </w:pPr>
            <w:r>
              <w:rPr/>
              <w:t>134,183</w:t>
            </w:r>
          </w:p>
        </w:tc>
        <w:tc>
          <w:tcPr>
            <w:tcW w:w="60" w:type="dxa"/>
            <w:tcBorders>
              <w:bottom w:val="double" w:sz="8" w:space="0" w:color="000000"/>
            </w:tcBorders>
            <w:tcMar>
              <w:bottom w:w="28" w:type="dxa"/>
            </w:tcMar>
            <w:vAlign w:val="center"/>
          </w:tcPr>
          <w:p>
            <w:pPr>
              <w:pStyle w:val="TableContents"/>
              <w:bidi w:val="0"/>
              <w:spacing w:before="0" w:after="283"/>
              <w:jc w:val="left"/>
              <w:rPr/>
            </w:pPr>
            <w:r>
              <w:rPr/>
              <w:t> </w:t>
            </w:r>
          </w:p>
        </w:tc>
        <w:tc>
          <w:tcPr>
            <w:tcW w:w="1340" w:type="dxa"/>
            <w:tcBorders>
              <w:bottom w:val="double" w:sz="8" w:space="0" w:color="000000"/>
            </w:tcBorders>
            <w:tcMar>
              <w:bottom w:w="28" w:type="dxa"/>
            </w:tcMar>
            <w:vAlign w:val="center"/>
          </w:tcPr>
          <w:p>
            <w:pPr>
              <w:pStyle w:val="TableContents"/>
              <w:bidi w:val="0"/>
              <w:spacing w:before="0" w:after="0"/>
              <w:jc w:val="right"/>
              <w:rPr/>
            </w:pPr>
            <w:r>
              <w:rPr/>
              <w:t>264,551</w:t>
            </w:r>
          </w:p>
        </w:tc>
        <w:tc>
          <w:tcPr>
            <w:tcW w:w="60" w:type="dxa"/>
            <w:tcBorders>
              <w:bottom w:val="double" w:sz="8" w:space="0" w:color="000000"/>
            </w:tcBorders>
            <w:tcMar>
              <w:bottom w:w="28" w:type="dxa"/>
            </w:tcMar>
            <w:vAlign w:val="center"/>
          </w:tcPr>
          <w:p>
            <w:pPr>
              <w:pStyle w:val="TableContents"/>
              <w:bidi w:val="0"/>
              <w:spacing w:before="0" w:after="283"/>
              <w:jc w:val="left"/>
              <w:rPr/>
            </w:pPr>
            <w:r>
              <w:rPr/>
              <w:t> </w:t>
            </w:r>
          </w:p>
        </w:tc>
        <w:tc>
          <w:tcPr>
            <w:tcW w:w="1355" w:type="dxa"/>
            <w:tcBorders>
              <w:bottom w:val="double" w:sz="8" w:space="0" w:color="000000"/>
            </w:tcBorders>
            <w:tcMar>
              <w:bottom w:w="28" w:type="dxa"/>
            </w:tcMar>
            <w:vAlign w:val="center"/>
          </w:tcPr>
          <w:p>
            <w:pPr>
              <w:pStyle w:val="TableContents"/>
              <w:bidi w:val="0"/>
              <w:spacing w:before="0" w:after="0"/>
              <w:jc w:val="right"/>
              <w:rPr/>
            </w:pPr>
            <w:r>
              <w:rPr/>
              <w:t>266,481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88" w:name="z920ec272a2794817b4528a7a1b72bbb2"/>
      <w:bookmarkStart w:id="89" w:name="z920ec272a2794817b4528a7a1b72bbb2"/>
      <w:bookmarkEnd w:id="89"/>
    </w:p>
    <w:tbl>
      <w:tblPr>
        <w:tblW w:w="2500" w:type="dxa"/>
        <w:jc w:val="left"/>
        <w:tblInd w:w="0" w:type="dxa"/>
        <w:tblLayout w:type="fixed"/>
        <w:tblCellMar>
          <w:top w:w="0" w:type="dxa"/>
          <w:left w:w="0" w:type="dxa"/>
          <w:bottom w:w="0" w:type="dxa"/>
          <w:right w:w="0" w:type="dxa"/>
        </w:tblCellMar>
      </w:tblPr>
      <w:tblGrid>
        <w:gridCol w:w="260"/>
        <w:gridCol w:w="2240"/>
      </w:tblGrid>
      <w:tr>
        <w:trPr/>
        <w:tc>
          <w:tcPr>
            <w:tcW w:w="260" w:type="dxa"/>
            <w:tcBorders/>
            <w:vAlign w:val="center"/>
          </w:tcPr>
          <w:p>
            <w:pPr>
              <w:pStyle w:val="TableContents"/>
              <w:bidi w:val="0"/>
              <w:spacing w:before="0" w:after="283"/>
              <w:jc w:val="left"/>
              <w:rPr/>
            </w:pPr>
            <w:r>
              <w:rPr/>
              <w:t>B.</w:t>
            </w:r>
          </w:p>
        </w:tc>
        <w:tc>
          <w:tcPr>
            <w:tcW w:w="2240" w:type="dxa"/>
            <w:tcBorders/>
            <w:vAlign w:val="center"/>
          </w:tcPr>
          <w:p>
            <w:pPr>
              <w:pStyle w:val="TableContents"/>
              <w:bidi w:val="0"/>
              <w:spacing w:before="0" w:after="0"/>
              <w:jc w:val="both"/>
              <w:rPr/>
            </w:pPr>
            <w:r>
              <w:rPr/>
              <w:t>Normalized net income</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Normalized net income represents net income available to common shareholders after adjusting for certain non-recurring items. Normalized net income is a non-U.S. GAAP quantitative measure which we believe will assist investors and analysts who often adjust reported net income for items that do not affect operating performance or operating cash generated. Normalized net income is not defined in U.S. GAAP and should not be considered to be an alternate to net income or any other financial metric required by such accounting principles. Our use of Normalized net income may vary from the use of similarly titled measures by others in our industry.</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NORMALIZED NET INCOME – UNAUDITED</w:t>
      </w:r>
    </w:p>
    <w:p>
      <w:pPr>
        <w:pStyle w:val="TextBody"/>
        <w:bidi w:val="0"/>
        <w:spacing w:before="0" w:after="0"/>
        <w:jc w:val="left"/>
        <w:rPr>
          <w:rFonts w:ascii="Times New Roman" w:hAnsi="Times New Roman"/>
          <w:i/>
          <w:color w:val="000000"/>
          <w:sz w:val="20"/>
        </w:rPr>
      </w:pPr>
      <w:r>
        <w:rPr>
          <w:rFonts w:ascii="Times New Roman" w:hAnsi="Times New Roman"/>
          <w:i/>
          <w:color w:val="000000"/>
          <w:sz w:val="20"/>
        </w:rPr>
        <w:t>(thousands of U.S. dollars)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90" w:name="z79f91c80ebb74308bf10b2c00a7a5cc9"/>
      <w:bookmarkStart w:id="91" w:name="z79f91c80ebb74308bf10b2c00a7a5cc9"/>
      <w:bookmarkEnd w:id="91"/>
    </w:p>
    <w:tbl>
      <w:tblPr>
        <w:tblW w:w="13350" w:type="dxa"/>
        <w:jc w:val="left"/>
        <w:tblInd w:w="0" w:type="dxa"/>
        <w:tblLayout w:type="fixed"/>
        <w:tblCellMar>
          <w:top w:w="0" w:type="dxa"/>
          <w:left w:w="0" w:type="dxa"/>
          <w:bottom w:w="0" w:type="dxa"/>
          <w:right w:w="0" w:type="dxa"/>
        </w:tblCellMar>
      </w:tblPr>
      <w:tblGrid>
        <w:gridCol w:w="845"/>
        <w:gridCol w:w="6890"/>
        <w:gridCol w:w="1355"/>
        <w:gridCol w:w="60"/>
        <w:gridCol w:w="1355"/>
        <w:gridCol w:w="60"/>
        <w:gridCol w:w="1355"/>
        <w:gridCol w:w="60"/>
        <w:gridCol w:w="1370"/>
      </w:tblGrid>
      <w:tr>
        <w:trPr/>
        <w:tc>
          <w:tcPr>
            <w:tcW w:w="7735" w:type="dxa"/>
            <w:gridSpan w:val="2"/>
            <w:tcBorders/>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0"/>
              <w:jc w:val="right"/>
              <w:rPr/>
            </w:pPr>
            <w:r>
              <w:rPr/>
              <w:t>Three</w:t>
            </w:r>
          </w:p>
        </w:tc>
        <w:tc>
          <w:tcPr>
            <w:tcW w:w="60" w:type="dxa"/>
            <w:tcBorders/>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0"/>
              <w:jc w:val="right"/>
              <w:rPr/>
            </w:pPr>
            <w:r>
              <w:rPr/>
              <w:t>Three</w:t>
            </w:r>
          </w:p>
        </w:tc>
        <w:tc>
          <w:tcPr>
            <w:tcW w:w="60" w:type="dxa"/>
            <w:tcBorders/>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0"/>
              <w:jc w:val="right"/>
              <w:rPr/>
            </w:pPr>
            <w:r>
              <w:rPr/>
              <w:t>Six</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right"/>
              <w:rPr/>
            </w:pPr>
            <w:r>
              <w:rPr/>
              <w:t>Six</w:t>
            </w:r>
          </w:p>
        </w:tc>
      </w:tr>
      <w:tr>
        <w:trPr/>
        <w:tc>
          <w:tcPr>
            <w:tcW w:w="7735" w:type="dxa"/>
            <w:gridSpan w:val="2"/>
            <w:tcBorders/>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0"/>
              <w:jc w:val="right"/>
              <w:rPr/>
            </w:pPr>
            <w:r>
              <w:rPr/>
              <w:t>months ended</w:t>
            </w:r>
          </w:p>
        </w:tc>
        <w:tc>
          <w:tcPr>
            <w:tcW w:w="60" w:type="dxa"/>
            <w:tcBorders/>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0"/>
              <w:jc w:val="right"/>
              <w:rPr/>
            </w:pPr>
            <w:r>
              <w:rPr/>
              <w:t>months ended</w:t>
            </w:r>
          </w:p>
        </w:tc>
        <w:tc>
          <w:tcPr>
            <w:tcW w:w="60" w:type="dxa"/>
            <w:tcBorders/>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0"/>
              <w:jc w:val="right"/>
              <w:rPr/>
            </w:pPr>
            <w:r>
              <w:rPr/>
              <w:t>months ended</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right"/>
              <w:rPr/>
            </w:pPr>
            <w:r>
              <w:rPr/>
              <w:t>months ended</w:t>
            </w:r>
          </w:p>
        </w:tc>
      </w:tr>
      <w:tr>
        <w:trPr/>
        <w:tc>
          <w:tcPr>
            <w:tcW w:w="7735" w:type="dxa"/>
            <w:gridSpan w:val="2"/>
            <w:tcBorders/>
            <w:vAlign w:val="center"/>
          </w:tcPr>
          <w:p>
            <w:pPr>
              <w:pStyle w:val="TableContents"/>
              <w:bidi w:val="0"/>
              <w:spacing w:before="0" w:after="283"/>
              <w:jc w:val="left"/>
              <w:rPr/>
            </w:pPr>
            <w:r>
              <w:rPr/>
              <w:t> </w:t>
            </w:r>
          </w:p>
        </w:tc>
        <w:tc>
          <w:tcPr>
            <w:tcW w:w="1355" w:type="dxa"/>
            <w:tcBorders>
              <w:bottom w:val="single" w:sz="12" w:space="0" w:color="000000"/>
            </w:tcBorders>
            <w:tcMar>
              <w:bottom w:w="28" w:type="dxa"/>
            </w:tcMar>
            <w:vAlign w:val="center"/>
          </w:tcPr>
          <w:p>
            <w:pPr>
              <w:pStyle w:val="TableContents"/>
              <w:bidi w:val="0"/>
              <w:spacing w:before="0" w:after="0"/>
              <w:jc w:val="right"/>
              <w:rPr/>
            </w:pPr>
            <w:r>
              <w:rPr/>
              <w:t>June 30, 2026</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1355" w:type="dxa"/>
            <w:tcBorders>
              <w:bottom w:val="single" w:sz="12" w:space="0" w:color="000000"/>
            </w:tcBorders>
            <w:tcMar>
              <w:bottom w:w="28" w:type="dxa"/>
            </w:tcMar>
            <w:vAlign w:val="center"/>
          </w:tcPr>
          <w:p>
            <w:pPr>
              <w:pStyle w:val="TableContents"/>
              <w:bidi w:val="0"/>
              <w:spacing w:before="0" w:after="0"/>
              <w:jc w:val="right"/>
              <w:rPr/>
            </w:pPr>
            <w:r>
              <w:rPr/>
              <w:t>June 30, 2025</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1355" w:type="dxa"/>
            <w:tcBorders>
              <w:bottom w:val="single" w:sz="12" w:space="0" w:color="000000"/>
            </w:tcBorders>
            <w:tcMar>
              <w:bottom w:w="28" w:type="dxa"/>
            </w:tcMar>
            <w:vAlign w:val="center"/>
          </w:tcPr>
          <w:p>
            <w:pPr>
              <w:pStyle w:val="TableContents"/>
              <w:bidi w:val="0"/>
              <w:spacing w:before="0" w:after="0"/>
              <w:jc w:val="right"/>
              <w:rPr/>
            </w:pPr>
            <w:r>
              <w:rPr/>
              <w:t>June 30, 2026</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1370" w:type="dxa"/>
            <w:tcBorders>
              <w:bottom w:val="single" w:sz="12" w:space="0" w:color="000000"/>
            </w:tcBorders>
            <w:tcMar>
              <w:bottom w:w="28" w:type="dxa"/>
            </w:tcMar>
            <w:vAlign w:val="center"/>
          </w:tcPr>
          <w:p>
            <w:pPr>
              <w:pStyle w:val="TableContents"/>
              <w:bidi w:val="0"/>
              <w:spacing w:before="0" w:after="0"/>
              <w:jc w:val="right"/>
              <w:rPr/>
            </w:pPr>
            <w:r>
              <w:rPr/>
              <w:t>June 30, 2025</w:t>
            </w:r>
          </w:p>
        </w:tc>
      </w:tr>
      <w:tr>
        <w:trPr/>
        <w:tc>
          <w:tcPr>
            <w:tcW w:w="7735" w:type="dxa"/>
            <w:gridSpan w:val="2"/>
            <w:tcBorders/>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left"/>
              <w:rPr/>
            </w:pPr>
            <w:r>
              <w:rPr/>
              <w:t> </w:t>
            </w:r>
          </w:p>
        </w:tc>
      </w:tr>
      <w:tr>
        <w:trPr/>
        <w:tc>
          <w:tcPr>
            <w:tcW w:w="7735" w:type="dxa"/>
            <w:gridSpan w:val="2"/>
            <w:tcBorders/>
            <w:shd w:fill="CCEEFF" w:val="clear"/>
            <w:vAlign w:val="center"/>
          </w:tcPr>
          <w:p>
            <w:pPr>
              <w:pStyle w:val="TableContents"/>
              <w:bidi w:val="0"/>
              <w:spacing w:before="0" w:after="0"/>
              <w:jc w:val="left"/>
              <w:rPr/>
            </w:pPr>
            <w:r>
              <w:rPr/>
              <w:t>Net income available to Common Shareholders</w:t>
            </w:r>
          </w:p>
        </w:tc>
        <w:tc>
          <w:tcPr>
            <w:tcW w:w="1355" w:type="dxa"/>
            <w:tcBorders/>
            <w:shd w:fill="CCEEFF" w:val="clear"/>
            <w:vAlign w:val="center"/>
          </w:tcPr>
          <w:p>
            <w:pPr>
              <w:pStyle w:val="TableContents"/>
              <w:bidi w:val="0"/>
              <w:spacing w:before="0" w:after="0"/>
              <w:jc w:val="right"/>
              <w:rPr/>
            </w:pPr>
            <w:r>
              <w:rPr/>
              <w:t>89,292</w:t>
            </w:r>
          </w:p>
        </w:tc>
        <w:tc>
          <w:tcPr>
            <w:tcW w:w="60" w:type="dxa"/>
            <w:tcBorders/>
            <w:shd w:fill="CCEEFF" w:val="clear"/>
            <w:vAlign w:val="center"/>
          </w:tcPr>
          <w:p>
            <w:pPr>
              <w:pStyle w:val="TableContents"/>
              <w:bidi w:val="0"/>
              <w:spacing w:before="0" w:after="283"/>
              <w:jc w:val="left"/>
              <w:rPr/>
            </w:pPr>
            <w:r>
              <w:rPr/>
              <w:t> </w:t>
            </w:r>
          </w:p>
        </w:tc>
        <w:tc>
          <w:tcPr>
            <w:tcW w:w="1355" w:type="dxa"/>
            <w:tcBorders/>
            <w:shd w:fill="CCEEFF" w:val="clear"/>
            <w:vAlign w:val="center"/>
          </w:tcPr>
          <w:p>
            <w:pPr>
              <w:pStyle w:val="TableContents"/>
              <w:bidi w:val="0"/>
              <w:spacing w:before="0" w:after="0"/>
              <w:jc w:val="right"/>
              <w:rPr/>
            </w:pPr>
            <w:r>
              <w:rPr/>
              <w:t>93,053</w:t>
            </w:r>
          </w:p>
        </w:tc>
        <w:tc>
          <w:tcPr>
            <w:tcW w:w="60" w:type="dxa"/>
            <w:tcBorders/>
            <w:shd w:fill="CCEEFF" w:val="clear"/>
            <w:vAlign w:val="center"/>
          </w:tcPr>
          <w:p>
            <w:pPr>
              <w:pStyle w:val="TableContents"/>
              <w:bidi w:val="0"/>
              <w:spacing w:before="0" w:after="283"/>
              <w:jc w:val="right"/>
              <w:rPr/>
            </w:pPr>
            <w:r>
              <w:rPr/>
              <w:t> </w:t>
            </w:r>
          </w:p>
        </w:tc>
        <w:tc>
          <w:tcPr>
            <w:tcW w:w="1355" w:type="dxa"/>
            <w:tcBorders/>
            <w:shd w:fill="CCEEFF" w:val="clear"/>
            <w:vAlign w:val="center"/>
          </w:tcPr>
          <w:p>
            <w:pPr>
              <w:pStyle w:val="TableContents"/>
              <w:bidi w:val="0"/>
              <w:spacing w:before="0" w:after="0"/>
              <w:jc w:val="right"/>
              <w:rPr/>
            </w:pPr>
            <w:r>
              <w:rPr/>
              <w:t>180,737</w:t>
            </w:r>
          </w:p>
        </w:tc>
        <w:tc>
          <w:tcPr>
            <w:tcW w:w="60" w:type="dxa"/>
            <w:tcBorders/>
            <w:shd w:fill="CCEEFF" w:val="clear"/>
            <w:vAlign w:val="center"/>
          </w:tcPr>
          <w:p>
            <w:pPr>
              <w:pStyle w:val="TableContents"/>
              <w:bidi w:val="0"/>
              <w:spacing w:before="0" w:after="283"/>
              <w:jc w:val="left"/>
              <w:rPr/>
            </w:pPr>
            <w:r>
              <w:rPr/>
              <w:t> </w:t>
            </w:r>
          </w:p>
        </w:tc>
        <w:tc>
          <w:tcPr>
            <w:tcW w:w="1370" w:type="dxa"/>
            <w:tcBorders/>
            <w:shd w:fill="CCEEFF" w:val="clear"/>
            <w:vAlign w:val="center"/>
          </w:tcPr>
          <w:p>
            <w:pPr>
              <w:pStyle w:val="TableContents"/>
              <w:bidi w:val="0"/>
              <w:spacing w:before="0" w:after="0"/>
              <w:jc w:val="right"/>
              <w:rPr/>
            </w:pPr>
            <w:r>
              <w:rPr/>
              <w:t>214,063</w:t>
            </w:r>
          </w:p>
        </w:tc>
      </w:tr>
      <w:tr>
        <w:trPr/>
        <w:tc>
          <w:tcPr>
            <w:tcW w:w="845" w:type="dxa"/>
            <w:tcBorders/>
            <w:vAlign w:val="center"/>
          </w:tcPr>
          <w:p>
            <w:pPr>
              <w:pStyle w:val="TableContents"/>
              <w:bidi w:val="0"/>
              <w:spacing w:before="0" w:after="283"/>
              <w:jc w:val="left"/>
              <w:rPr/>
            </w:pPr>
            <w:r>
              <w:rPr/>
              <w:t> </w:t>
            </w:r>
          </w:p>
        </w:tc>
        <w:tc>
          <w:tcPr>
            <w:tcW w:w="6890" w:type="dxa"/>
            <w:tcBorders/>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right"/>
              <w:rPr/>
            </w:pPr>
            <w:r>
              <w:rPr/>
              <w:t> </w:t>
            </w:r>
          </w:p>
        </w:tc>
        <w:tc>
          <w:tcPr>
            <w:tcW w:w="135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left"/>
              <w:rPr/>
            </w:pPr>
            <w:r>
              <w:rPr/>
              <w:t> </w:t>
            </w:r>
          </w:p>
        </w:tc>
      </w:tr>
      <w:tr>
        <w:trPr/>
        <w:tc>
          <w:tcPr>
            <w:tcW w:w="845" w:type="dxa"/>
            <w:tcBorders/>
            <w:shd w:fill="CCEEFF" w:val="clear"/>
            <w:vAlign w:val="center"/>
          </w:tcPr>
          <w:p>
            <w:pPr>
              <w:pStyle w:val="TableContents"/>
              <w:bidi w:val="0"/>
              <w:spacing w:before="0" w:after="0"/>
              <w:jc w:val="left"/>
              <w:rPr/>
            </w:pPr>
            <w:r>
              <w:rPr/>
              <w:t xml:space="preserve">Adjust:  </w:t>
            </w:r>
          </w:p>
        </w:tc>
        <w:tc>
          <w:tcPr>
            <w:tcW w:w="6890" w:type="dxa"/>
            <w:tcBorders/>
            <w:shd w:fill="CCEEFF" w:val="clear"/>
            <w:vAlign w:val="center"/>
          </w:tcPr>
          <w:p>
            <w:pPr>
              <w:pStyle w:val="TableContents"/>
              <w:bidi w:val="0"/>
              <w:spacing w:before="0" w:after="0"/>
              <w:jc w:val="left"/>
              <w:rPr/>
            </w:pPr>
            <w:r>
              <w:rPr/>
              <w:t>Fair value adjustment on derivative assets and other financial instruments</w:t>
            </w:r>
          </w:p>
        </w:tc>
        <w:tc>
          <w:tcPr>
            <w:tcW w:w="1355" w:type="dxa"/>
            <w:tcBorders/>
            <w:shd w:fill="CCEEFF" w:val="clear"/>
            <w:vAlign w:val="center"/>
          </w:tcPr>
          <w:p>
            <w:pPr>
              <w:pStyle w:val="TableContents"/>
              <w:bidi w:val="0"/>
              <w:spacing w:before="0" w:after="0"/>
              <w:jc w:val="right"/>
              <w:rPr/>
            </w:pPr>
            <w:r>
              <w:rPr/>
              <w:t>227</w:t>
            </w:r>
          </w:p>
        </w:tc>
        <w:tc>
          <w:tcPr>
            <w:tcW w:w="60" w:type="dxa"/>
            <w:tcBorders/>
            <w:shd w:fill="CCEEFF" w:val="clear"/>
            <w:vAlign w:val="center"/>
          </w:tcPr>
          <w:p>
            <w:pPr>
              <w:pStyle w:val="TableContents"/>
              <w:bidi w:val="0"/>
              <w:spacing w:before="0" w:after="283"/>
              <w:jc w:val="left"/>
              <w:rPr/>
            </w:pPr>
            <w:r>
              <w:rPr/>
              <w:t> </w:t>
            </w:r>
          </w:p>
        </w:tc>
        <w:tc>
          <w:tcPr>
            <w:tcW w:w="1355" w:type="dxa"/>
            <w:tcBorders/>
            <w:shd w:fill="CCEEFF" w:val="clear"/>
            <w:vAlign w:val="center"/>
          </w:tcPr>
          <w:p>
            <w:pPr>
              <w:pStyle w:val="TableContents"/>
              <w:bidi w:val="0"/>
              <w:spacing w:before="0" w:after="0"/>
              <w:jc w:val="right"/>
              <w:rPr/>
            </w:pPr>
            <w:r>
              <w:rPr/>
              <w:t>1,208</w:t>
            </w:r>
          </w:p>
        </w:tc>
        <w:tc>
          <w:tcPr>
            <w:tcW w:w="60" w:type="dxa"/>
            <w:tcBorders/>
            <w:shd w:fill="CCEEFF" w:val="clear"/>
            <w:vAlign w:val="center"/>
          </w:tcPr>
          <w:p>
            <w:pPr>
              <w:pStyle w:val="TableContents"/>
              <w:bidi w:val="0"/>
              <w:spacing w:before="0" w:after="283"/>
              <w:jc w:val="right"/>
              <w:rPr/>
            </w:pPr>
            <w:r>
              <w:rPr/>
              <w:t> </w:t>
            </w:r>
          </w:p>
        </w:tc>
        <w:tc>
          <w:tcPr>
            <w:tcW w:w="1355" w:type="dxa"/>
            <w:tcBorders/>
            <w:shd w:fill="CCEEFF" w:val="clear"/>
            <w:vAlign w:val="center"/>
          </w:tcPr>
          <w:p>
            <w:pPr>
              <w:pStyle w:val="TableContents"/>
              <w:bidi w:val="0"/>
              <w:spacing w:before="0" w:after="0"/>
              <w:jc w:val="right"/>
              <w:rPr/>
            </w:pPr>
            <w:r>
              <w:rPr/>
              <w:t>1,127</w:t>
            </w:r>
          </w:p>
        </w:tc>
        <w:tc>
          <w:tcPr>
            <w:tcW w:w="60" w:type="dxa"/>
            <w:tcBorders/>
            <w:shd w:fill="CCEEFF" w:val="clear"/>
            <w:vAlign w:val="center"/>
          </w:tcPr>
          <w:p>
            <w:pPr>
              <w:pStyle w:val="TableContents"/>
              <w:bidi w:val="0"/>
              <w:spacing w:before="0" w:after="283"/>
              <w:jc w:val="left"/>
              <w:rPr/>
            </w:pPr>
            <w:r>
              <w:rPr/>
              <w:t> </w:t>
            </w:r>
          </w:p>
        </w:tc>
        <w:tc>
          <w:tcPr>
            <w:tcW w:w="1370" w:type="dxa"/>
            <w:tcBorders/>
            <w:shd w:fill="CCEEFF" w:val="clear"/>
            <w:vAlign w:val="center"/>
          </w:tcPr>
          <w:p>
            <w:pPr>
              <w:pStyle w:val="TableContents"/>
              <w:bidi w:val="0"/>
              <w:spacing w:before="0" w:after="0"/>
              <w:jc w:val="right"/>
              <w:rPr/>
            </w:pPr>
            <w:r>
              <w:rPr/>
              <w:t>2,831</w:t>
            </w:r>
          </w:p>
        </w:tc>
      </w:tr>
      <w:tr>
        <w:trPr/>
        <w:tc>
          <w:tcPr>
            <w:tcW w:w="845" w:type="dxa"/>
            <w:tcBorders/>
            <w:vAlign w:val="center"/>
          </w:tcPr>
          <w:p>
            <w:pPr>
              <w:pStyle w:val="TableContents"/>
              <w:bidi w:val="0"/>
              <w:spacing w:before="0" w:after="283"/>
              <w:jc w:val="left"/>
              <w:rPr/>
            </w:pPr>
            <w:r>
              <w:rPr/>
              <w:t> </w:t>
            </w:r>
          </w:p>
        </w:tc>
        <w:tc>
          <w:tcPr>
            <w:tcW w:w="6890" w:type="dxa"/>
            <w:tcBorders/>
            <w:vAlign w:val="center"/>
          </w:tcPr>
          <w:p>
            <w:pPr>
              <w:pStyle w:val="TableContents"/>
              <w:bidi w:val="0"/>
              <w:spacing w:before="0" w:after="0"/>
              <w:jc w:val="left"/>
              <w:rPr/>
            </w:pPr>
            <w:r>
              <w:rPr/>
              <w:t>Loss/(gain) on sale of vessels</w:t>
            </w:r>
          </w:p>
        </w:tc>
        <w:tc>
          <w:tcPr>
            <w:tcW w:w="1355" w:type="dxa"/>
            <w:tcBorders/>
            <w:vAlign w:val="center"/>
          </w:tcPr>
          <w:p>
            <w:pPr>
              <w:pStyle w:val="TableContents"/>
              <w:bidi w:val="0"/>
              <w:spacing w:before="0" w:after="0"/>
              <w:jc w:val="right"/>
              <w:rPr/>
            </w:pPr>
            <w:r>
              <w:rPr/>
              <w:t>-</w:t>
            </w:r>
          </w:p>
        </w:tc>
        <w:tc>
          <w:tcPr>
            <w:tcW w:w="60" w:type="dxa"/>
            <w:tcBorders/>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0"/>
              <w:jc w:val="right"/>
              <w:rPr/>
            </w:pPr>
            <w:r>
              <w:rPr/>
              <w:t>115</w:t>
            </w:r>
          </w:p>
        </w:tc>
        <w:tc>
          <w:tcPr>
            <w:tcW w:w="60" w:type="dxa"/>
            <w:tcBorders/>
            <w:vAlign w:val="center"/>
          </w:tcPr>
          <w:p>
            <w:pPr>
              <w:pStyle w:val="TableContents"/>
              <w:bidi w:val="0"/>
              <w:spacing w:before="0" w:after="283"/>
              <w:jc w:val="right"/>
              <w:rPr/>
            </w:pPr>
            <w:r>
              <w:rPr/>
              <w:t> </w:t>
            </w:r>
          </w:p>
        </w:tc>
        <w:tc>
          <w:tcPr>
            <w:tcW w:w="1355" w:type="dxa"/>
            <w:tcBorders/>
            <w:vAlign w:val="center"/>
          </w:tcPr>
          <w:p>
            <w:pPr>
              <w:pStyle w:val="TableContents"/>
              <w:bidi w:val="0"/>
              <w:spacing w:before="0" w:after="0"/>
              <w:jc w:val="right"/>
              <w:rPr/>
            </w:pPr>
            <w:r>
              <w:rPr/>
              <w:t>-</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right"/>
              <w:rPr/>
            </w:pPr>
            <w:r>
              <w:rPr/>
              <w:t>(28,343)</w:t>
            </w:r>
          </w:p>
        </w:tc>
      </w:tr>
      <w:tr>
        <w:trPr/>
        <w:tc>
          <w:tcPr>
            <w:tcW w:w="845" w:type="dxa"/>
            <w:tcBorders/>
            <w:shd w:fill="CCEEFF" w:val="clear"/>
            <w:vAlign w:val="center"/>
          </w:tcPr>
          <w:p>
            <w:pPr>
              <w:pStyle w:val="TableContents"/>
              <w:bidi w:val="0"/>
              <w:spacing w:before="0" w:after="283"/>
              <w:jc w:val="left"/>
              <w:rPr/>
            </w:pPr>
            <w:r>
              <w:rPr/>
              <w:t> </w:t>
            </w:r>
          </w:p>
        </w:tc>
        <w:tc>
          <w:tcPr>
            <w:tcW w:w="6890" w:type="dxa"/>
            <w:tcBorders/>
            <w:shd w:fill="CCEEFF" w:val="clear"/>
            <w:vAlign w:val="center"/>
          </w:tcPr>
          <w:p>
            <w:pPr>
              <w:pStyle w:val="TableContents"/>
              <w:bidi w:val="0"/>
              <w:spacing w:before="0" w:after="0"/>
              <w:ind w:left="180" w:right="0" w:hanging="180"/>
              <w:jc w:val="left"/>
              <w:rPr/>
            </w:pPr>
            <w:r>
              <w:rPr/>
              <w:t>Accelerated write off of deferred financing charges related to full repayment of ESUN Credit Facility</w:t>
            </w:r>
          </w:p>
        </w:tc>
        <w:tc>
          <w:tcPr>
            <w:tcW w:w="1355"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1355"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right"/>
              <w:rPr/>
            </w:pPr>
            <w:r>
              <w:rPr/>
              <w:t> </w:t>
            </w:r>
          </w:p>
        </w:tc>
        <w:tc>
          <w:tcPr>
            <w:tcW w:w="1355"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1370" w:type="dxa"/>
            <w:tcBorders/>
            <w:shd w:fill="CCEEFF" w:val="clear"/>
            <w:vAlign w:val="center"/>
          </w:tcPr>
          <w:p>
            <w:pPr>
              <w:pStyle w:val="TableContents"/>
              <w:bidi w:val="0"/>
              <w:spacing w:before="0" w:after="0"/>
              <w:jc w:val="right"/>
              <w:rPr/>
            </w:pPr>
            <w:r>
              <w:rPr/>
              <w:t>102</w:t>
            </w:r>
          </w:p>
        </w:tc>
      </w:tr>
      <w:tr>
        <w:trPr/>
        <w:tc>
          <w:tcPr>
            <w:tcW w:w="845" w:type="dxa"/>
            <w:tcBorders/>
            <w:vAlign w:val="center"/>
          </w:tcPr>
          <w:p>
            <w:pPr>
              <w:pStyle w:val="TableContents"/>
              <w:bidi w:val="0"/>
              <w:spacing w:before="0" w:after="283"/>
              <w:jc w:val="left"/>
              <w:rPr/>
            </w:pPr>
            <w:r>
              <w:rPr/>
              <w:t> </w:t>
            </w:r>
          </w:p>
        </w:tc>
        <w:tc>
          <w:tcPr>
            <w:tcW w:w="6890" w:type="dxa"/>
            <w:tcBorders/>
            <w:vAlign w:val="center"/>
          </w:tcPr>
          <w:p>
            <w:pPr>
              <w:pStyle w:val="TableContents"/>
              <w:bidi w:val="0"/>
              <w:spacing w:before="0" w:after="0"/>
              <w:ind w:left="180" w:right="0" w:hanging="180"/>
              <w:jc w:val="left"/>
              <w:rPr/>
            </w:pPr>
            <w:r>
              <w:rPr/>
              <w:t>Accelerated write off of deferred financing charges related to full repayment of Macquarie Credit Facility</w:t>
            </w:r>
          </w:p>
        </w:tc>
        <w:tc>
          <w:tcPr>
            <w:tcW w:w="1355" w:type="dxa"/>
            <w:tcBorders/>
            <w:vAlign w:val="center"/>
          </w:tcPr>
          <w:p>
            <w:pPr>
              <w:pStyle w:val="TableContents"/>
              <w:bidi w:val="0"/>
              <w:spacing w:before="0" w:after="0"/>
              <w:jc w:val="right"/>
              <w:rPr/>
            </w:pPr>
            <w:r>
              <w:rPr/>
              <w:t>-</w:t>
            </w:r>
          </w:p>
        </w:tc>
        <w:tc>
          <w:tcPr>
            <w:tcW w:w="60" w:type="dxa"/>
            <w:tcBorders/>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0"/>
              <w:jc w:val="right"/>
              <w:rPr/>
            </w:pPr>
            <w:r>
              <w:rPr/>
              <w:t>216</w:t>
            </w:r>
          </w:p>
        </w:tc>
        <w:tc>
          <w:tcPr>
            <w:tcW w:w="60" w:type="dxa"/>
            <w:tcBorders/>
            <w:vAlign w:val="center"/>
          </w:tcPr>
          <w:p>
            <w:pPr>
              <w:pStyle w:val="TableContents"/>
              <w:bidi w:val="0"/>
              <w:spacing w:before="0" w:after="283"/>
              <w:jc w:val="right"/>
              <w:rPr/>
            </w:pPr>
            <w:r>
              <w:rPr/>
              <w:t> </w:t>
            </w:r>
          </w:p>
        </w:tc>
        <w:tc>
          <w:tcPr>
            <w:tcW w:w="1355" w:type="dxa"/>
            <w:tcBorders/>
            <w:vAlign w:val="center"/>
          </w:tcPr>
          <w:p>
            <w:pPr>
              <w:pStyle w:val="TableContents"/>
              <w:bidi w:val="0"/>
              <w:spacing w:before="0" w:after="0"/>
              <w:jc w:val="right"/>
              <w:rPr/>
            </w:pPr>
            <w:r>
              <w:rPr/>
              <w:t>-</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right"/>
              <w:rPr/>
            </w:pPr>
            <w:r>
              <w:rPr/>
              <w:t>216</w:t>
            </w:r>
          </w:p>
        </w:tc>
      </w:tr>
      <w:tr>
        <w:trPr/>
        <w:tc>
          <w:tcPr>
            <w:tcW w:w="845" w:type="dxa"/>
            <w:tcBorders/>
            <w:shd w:fill="CCEEFF" w:val="clear"/>
            <w:vAlign w:val="center"/>
          </w:tcPr>
          <w:p>
            <w:pPr>
              <w:pStyle w:val="TableContents"/>
              <w:bidi w:val="0"/>
              <w:spacing w:before="0" w:after="283"/>
              <w:jc w:val="left"/>
              <w:rPr/>
            </w:pPr>
            <w:r>
              <w:rPr/>
              <w:t> </w:t>
            </w:r>
          </w:p>
        </w:tc>
        <w:tc>
          <w:tcPr>
            <w:tcW w:w="6890" w:type="dxa"/>
            <w:tcBorders/>
            <w:shd w:fill="CCEEFF" w:val="clear"/>
            <w:vAlign w:val="center"/>
          </w:tcPr>
          <w:p>
            <w:pPr>
              <w:pStyle w:val="TableContents"/>
              <w:bidi w:val="0"/>
              <w:spacing w:before="0" w:after="0"/>
              <w:ind w:left="180" w:right="0" w:hanging="180"/>
              <w:jc w:val="left"/>
              <w:rPr/>
            </w:pPr>
            <w:r>
              <w:rPr/>
              <w:t>Accelerated write off of deferred financing charges related to full repayment of HCOB-CACIB Credit Facility</w:t>
            </w:r>
          </w:p>
        </w:tc>
        <w:tc>
          <w:tcPr>
            <w:tcW w:w="1355"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1355" w:type="dxa"/>
            <w:tcBorders/>
            <w:shd w:fill="CCEEFF" w:val="clear"/>
            <w:vAlign w:val="center"/>
          </w:tcPr>
          <w:p>
            <w:pPr>
              <w:pStyle w:val="TableContents"/>
              <w:bidi w:val="0"/>
              <w:spacing w:before="0" w:after="0"/>
              <w:jc w:val="right"/>
              <w:rPr/>
            </w:pPr>
            <w:r>
              <w:rPr/>
              <w:t>382</w:t>
            </w:r>
          </w:p>
        </w:tc>
        <w:tc>
          <w:tcPr>
            <w:tcW w:w="60" w:type="dxa"/>
            <w:tcBorders/>
            <w:shd w:fill="CCEEFF" w:val="clear"/>
            <w:vAlign w:val="center"/>
          </w:tcPr>
          <w:p>
            <w:pPr>
              <w:pStyle w:val="TableContents"/>
              <w:bidi w:val="0"/>
              <w:spacing w:before="0" w:after="283"/>
              <w:jc w:val="right"/>
              <w:rPr/>
            </w:pPr>
            <w:r>
              <w:rPr/>
              <w:t> </w:t>
            </w:r>
          </w:p>
        </w:tc>
        <w:tc>
          <w:tcPr>
            <w:tcW w:w="1355"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1370" w:type="dxa"/>
            <w:tcBorders/>
            <w:shd w:fill="CCEEFF" w:val="clear"/>
            <w:vAlign w:val="center"/>
          </w:tcPr>
          <w:p>
            <w:pPr>
              <w:pStyle w:val="TableContents"/>
              <w:bidi w:val="0"/>
              <w:spacing w:before="0" w:after="0"/>
              <w:jc w:val="right"/>
              <w:rPr/>
            </w:pPr>
            <w:r>
              <w:rPr/>
              <w:t>382</w:t>
            </w:r>
          </w:p>
        </w:tc>
      </w:tr>
      <w:tr>
        <w:trPr/>
        <w:tc>
          <w:tcPr>
            <w:tcW w:w="845" w:type="dxa"/>
            <w:tcBorders/>
            <w:vAlign w:val="center"/>
          </w:tcPr>
          <w:p>
            <w:pPr>
              <w:pStyle w:val="TableContents"/>
              <w:bidi w:val="0"/>
              <w:spacing w:before="0" w:after="283"/>
              <w:jc w:val="left"/>
              <w:rPr/>
            </w:pPr>
            <w:r>
              <w:rPr/>
              <w:t> </w:t>
            </w:r>
          </w:p>
        </w:tc>
        <w:tc>
          <w:tcPr>
            <w:tcW w:w="6890" w:type="dxa"/>
            <w:tcBorders/>
            <w:vAlign w:val="center"/>
          </w:tcPr>
          <w:p>
            <w:pPr>
              <w:pStyle w:val="TableContents"/>
              <w:bidi w:val="0"/>
              <w:spacing w:before="0" w:after="0"/>
              <w:jc w:val="left"/>
              <w:rPr/>
            </w:pPr>
            <w:r>
              <w:rPr/>
              <w:t>Prepayment fee on full repayment of Macquarie Credit Facility</w:t>
            </w:r>
          </w:p>
        </w:tc>
        <w:tc>
          <w:tcPr>
            <w:tcW w:w="1355" w:type="dxa"/>
            <w:tcBorders/>
            <w:vAlign w:val="center"/>
          </w:tcPr>
          <w:p>
            <w:pPr>
              <w:pStyle w:val="TableContents"/>
              <w:bidi w:val="0"/>
              <w:spacing w:before="0" w:after="0"/>
              <w:jc w:val="right"/>
              <w:rPr/>
            </w:pPr>
            <w:r>
              <w:rPr/>
              <w:t>-</w:t>
            </w:r>
          </w:p>
        </w:tc>
        <w:tc>
          <w:tcPr>
            <w:tcW w:w="60" w:type="dxa"/>
            <w:tcBorders/>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0"/>
              <w:jc w:val="right"/>
              <w:rPr/>
            </w:pPr>
            <w:r>
              <w:rPr/>
              <w:t>175</w:t>
            </w:r>
          </w:p>
        </w:tc>
        <w:tc>
          <w:tcPr>
            <w:tcW w:w="60" w:type="dxa"/>
            <w:tcBorders/>
            <w:vAlign w:val="center"/>
          </w:tcPr>
          <w:p>
            <w:pPr>
              <w:pStyle w:val="TableContents"/>
              <w:bidi w:val="0"/>
              <w:spacing w:before="0" w:after="283"/>
              <w:jc w:val="right"/>
              <w:rPr/>
            </w:pPr>
            <w:r>
              <w:rPr/>
              <w:t> </w:t>
            </w:r>
          </w:p>
        </w:tc>
        <w:tc>
          <w:tcPr>
            <w:tcW w:w="1355" w:type="dxa"/>
            <w:tcBorders/>
            <w:vAlign w:val="center"/>
          </w:tcPr>
          <w:p>
            <w:pPr>
              <w:pStyle w:val="TableContents"/>
              <w:bidi w:val="0"/>
              <w:spacing w:before="0" w:after="0"/>
              <w:jc w:val="right"/>
              <w:rPr/>
            </w:pPr>
            <w:r>
              <w:rPr/>
              <w:t>-</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right"/>
              <w:rPr/>
            </w:pPr>
            <w:r>
              <w:rPr/>
              <w:t>175</w:t>
            </w:r>
          </w:p>
        </w:tc>
      </w:tr>
      <w:tr>
        <w:trPr/>
        <w:tc>
          <w:tcPr>
            <w:tcW w:w="845" w:type="dxa"/>
            <w:tcBorders/>
            <w:shd w:fill="CCEEFF" w:val="clear"/>
            <w:vAlign w:val="center"/>
          </w:tcPr>
          <w:p>
            <w:pPr>
              <w:pStyle w:val="TableContents"/>
              <w:bidi w:val="0"/>
              <w:spacing w:before="0" w:after="283"/>
              <w:jc w:val="left"/>
              <w:rPr/>
            </w:pPr>
            <w:r>
              <w:rPr/>
              <w:t> </w:t>
            </w:r>
          </w:p>
        </w:tc>
        <w:tc>
          <w:tcPr>
            <w:tcW w:w="6890" w:type="dxa"/>
            <w:tcBorders/>
            <w:shd w:fill="CCEEFF" w:val="clear"/>
            <w:vAlign w:val="center"/>
          </w:tcPr>
          <w:p>
            <w:pPr>
              <w:pStyle w:val="TableContents"/>
              <w:bidi w:val="0"/>
              <w:spacing w:before="0" w:after="0"/>
              <w:jc w:val="left"/>
              <w:rPr/>
            </w:pPr>
            <w:r>
              <w:rPr/>
              <w:t>Amortization of original issue discount</w:t>
            </w:r>
          </w:p>
        </w:tc>
        <w:tc>
          <w:tcPr>
            <w:tcW w:w="1355" w:type="dxa"/>
            <w:tcBorders>
              <w:bottom w:val="single" w:sz="12" w:space="0" w:color="000000"/>
            </w:tcBorders>
            <w:shd w:fill="CCEEFF" w:val="clear"/>
            <w:tcMar>
              <w:bottom w:w="28" w:type="dxa"/>
            </w:tcMar>
            <w:vAlign w:val="center"/>
          </w:tcPr>
          <w:p>
            <w:pPr>
              <w:pStyle w:val="TableContents"/>
              <w:bidi w:val="0"/>
              <w:spacing w:before="0" w:after="0"/>
              <w:jc w:val="right"/>
              <w:rPr/>
            </w:pPr>
            <w:r>
              <w:rPr/>
              <w:t>(258)</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55"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355" w:type="dxa"/>
            <w:tcBorders>
              <w:bottom w:val="single" w:sz="12" w:space="0" w:color="000000"/>
            </w:tcBorders>
            <w:shd w:fill="CCEEFF" w:val="clear"/>
            <w:tcMar>
              <w:bottom w:w="28" w:type="dxa"/>
            </w:tcMar>
            <w:vAlign w:val="center"/>
          </w:tcPr>
          <w:p>
            <w:pPr>
              <w:pStyle w:val="TableContents"/>
              <w:bidi w:val="0"/>
              <w:spacing w:before="0" w:after="0"/>
              <w:jc w:val="right"/>
              <w:rPr/>
            </w:pPr>
            <w:r>
              <w:rPr/>
              <w:t>(513)</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70"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r>
      <w:tr>
        <w:trPr/>
        <w:tc>
          <w:tcPr>
            <w:tcW w:w="7735" w:type="dxa"/>
            <w:gridSpan w:val="2"/>
            <w:tcBorders/>
            <w:vAlign w:val="center"/>
          </w:tcPr>
          <w:p>
            <w:pPr>
              <w:pStyle w:val="TableContents"/>
              <w:bidi w:val="0"/>
              <w:spacing w:before="0" w:after="0"/>
              <w:jc w:val="left"/>
              <w:rPr/>
            </w:pPr>
            <w:r>
              <w:rPr/>
              <w:t>Normalized net income</w:t>
            </w:r>
          </w:p>
        </w:tc>
        <w:tc>
          <w:tcPr>
            <w:tcW w:w="1355" w:type="dxa"/>
            <w:tcBorders>
              <w:bottom w:val="single" w:sz="12" w:space="0" w:color="000000"/>
            </w:tcBorders>
            <w:tcMar>
              <w:bottom w:w="28" w:type="dxa"/>
            </w:tcMar>
            <w:vAlign w:val="center"/>
          </w:tcPr>
          <w:p>
            <w:pPr>
              <w:pStyle w:val="TableContents"/>
              <w:bidi w:val="0"/>
              <w:spacing w:before="0" w:after="0"/>
              <w:jc w:val="right"/>
              <w:rPr/>
            </w:pPr>
            <w:r>
              <w:rPr/>
              <w:t>89,261</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1355" w:type="dxa"/>
            <w:tcBorders>
              <w:bottom w:val="single" w:sz="12" w:space="0" w:color="000000"/>
            </w:tcBorders>
            <w:tcMar>
              <w:bottom w:w="28" w:type="dxa"/>
            </w:tcMar>
            <w:vAlign w:val="center"/>
          </w:tcPr>
          <w:p>
            <w:pPr>
              <w:pStyle w:val="TableContents"/>
              <w:bidi w:val="0"/>
              <w:spacing w:before="0" w:after="0"/>
              <w:jc w:val="right"/>
              <w:rPr/>
            </w:pPr>
            <w:r>
              <w:rPr/>
              <w:t>95,149</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1355" w:type="dxa"/>
            <w:tcBorders>
              <w:bottom w:val="single" w:sz="12" w:space="0" w:color="000000"/>
            </w:tcBorders>
            <w:tcMar>
              <w:bottom w:w="28" w:type="dxa"/>
            </w:tcMar>
            <w:vAlign w:val="center"/>
          </w:tcPr>
          <w:p>
            <w:pPr>
              <w:pStyle w:val="TableContents"/>
              <w:bidi w:val="0"/>
              <w:spacing w:before="0" w:after="0"/>
              <w:jc w:val="right"/>
              <w:rPr/>
            </w:pPr>
            <w:r>
              <w:rPr/>
              <w:t>181,351</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1370" w:type="dxa"/>
            <w:tcBorders>
              <w:bottom w:val="single" w:sz="12" w:space="0" w:color="000000"/>
            </w:tcBorders>
            <w:tcMar>
              <w:bottom w:w="28" w:type="dxa"/>
            </w:tcMar>
            <w:vAlign w:val="center"/>
          </w:tcPr>
          <w:p>
            <w:pPr>
              <w:pStyle w:val="TableContents"/>
              <w:bidi w:val="0"/>
              <w:spacing w:before="0" w:after="0"/>
              <w:jc w:val="right"/>
              <w:rPr/>
            </w:pPr>
            <w:r>
              <w:rPr/>
              <w:t>189,426</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Page 12</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92" w:name="z85b3fcb79fcb487c846a2be0f1ffbfa6"/>
      <w:bookmarkStart w:id="93" w:name="z85b3fcb79fcb487c846a2be0f1ffbfa6"/>
      <w:bookmarkEnd w:id="93"/>
    </w:p>
    <w:tbl>
      <w:tblPr>
        <w:tblW w:w="3265" w:type="dxa"/>
        <w:jc w:val="left"/>
        <w:tblInd w:w="0" w:type="dxa"/>
        <w:tblLayout w:type="fixed"/>
        <w:tblCellMar>
          <w:top w:w="0" w:type="dxa"/>
          <w:left w:w="0" w:type="dxa"/>
          <w:bottom w:w="0" w:type="dxa"/>
          <w:right w:w="0" w:type="dxa"/>
        </w:tblCellMar>
      </w:tblPr>
      <w:tblGrid>
        <w:gridCol w:w="260"/>
        <w:gridCol w:w="3005"/>
      </w:tblGrid>
      <w:tr>
        <w:trPr/>
        <w:tc>
          <w:tcPr>
            <w:tcW w:w="260" w:type="dxa"/>
            <w:tcBorders/>
            <w:vAlign w:val="center"/>
          </w:tcPr>
          <w:p>
            <w:pPr>
              <w:pStyle w:val="TableContents"/>
              <w:bidi w:val="0"/>
              <w:spacing w:before="0" w:after="283"/>
              <w:jc w:val="left"/>
              <w:rPr/>
            </w:pPr>
            <w:r>
              <w:rPr/>
              <w:t>C.</w:t>
            </w:r>
          </w:p>
        </w:tc>
        <w:tc>
          <w:tcPr>
            <w:tcW w:w="3005" w:type="dxa"/>
            <w:tcBorders/>
            <w:vAlign w:val="center"/>
          </w:tcPr>
          <w:p>
            <w:pPr>
              <w:pStyle w:val="TableContents"/>
              <w:bidi w:val="0"/>
              <w:spacing w:before="0" w:after="0"/>
              <w:jc w:val="both"/>
              <w:rPr/>
            </w:pPr>
            <w:r>
              <w:rPr/>
              <w:t>Normalized Earnings per Share</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Normalized Earnings per Share represents Earnings per Share after adjusting for certain non-recurring items. Normalized Earnings per Share is a non-U.S. GAAP quantitative measure which we believe will assist investors and analysts who often adjust reported Earnings per Share for items that do not affect operating performance or operating cash generated. Normalized Earnings per Share is not defined in U.S. GAAP and should not be considered to be an alternate to Earnings per Share as reported or any other financial metric required by such accounting principles. Our use of Normalized Earnings per Share may vary from the use of similarly titled measures by others in our industry.</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NORMALIZED EARNINGS PER SHARE – UNAUDITED</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94" w:name="z6f49921eef984416af795096b2a24a7f"/>
      <w:bookmarkStart w:id="95" w:name="z6f49921eef984416af795096b2a24a7f"/>
      <w:bookmarkEnd w:id="95"/>
    </w:p>
    <w:tbl>
      <w:tblPr>
        <w:tblW w:w="12910" w:type="dxa"/>
        <w:jc w:val="left"/>
        <w:tblInd w:w="0" w:type="dxa"/>
        <w:tblLayout w:type="fixed"/>
        <w:tblCellMar>
          <w:top w:w="0" w:type="dxa"/>
          <w:left w:w="0" w:type="dxa"/>
          <w:bottom w:w="0" w:type="dxa"/>
          <w:right w:w="0" w:type="dxa"/>
        </w:tblCellMar>
      </w:tblPr>
      <w:tblGrid>
        <w:gridCol w:w="7820"/>
        <w:gridCol w:w="1355"/>
        <w:gridCol w:w="60"/>
        <w:gridCol w:w="1100"/>
        <w:gridCol w:w="60"/>
        <w:gridCol w:w="1100"/>
        <w:gridCol w:w="60"/>
        <w:gridCol w:w="1355"/>
      </w:tblGrid>
      <w:tr>
        <w:trPr/>
        <w:tc>
          <w:tcPr>
            <w:tcW w:w="7820" w:type="dxa"/>
            <w:tcBorders/>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0"/>
              <w:jc w:val="right"/>
              <w:rPr/>
            </w:pPr>
            <w:r>
              <w:rPr/>
              <w:t>Three</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0"/>
              <w:jc w:val="right"/>
              <w:rPr/>
            </w:pPr>
            <w:r>
              <w:rPr/>
              <w:t>Three</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0"/>
              <w:jc w:val="right"/>
              <w:rPr/>
            </w:pPr>
            <w:r>
              <w:rPr/>
              <w:t>Six</w:t>
            </w:r>
          </w:p>
        </w:tc>
        <w:tc>
          <w:tcPr>
            <w:tcW w:w="60" w:type="dxa"/>
            <w:tcBorders/>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0"/>
              <w:jc w:val="right"/>
              <w:rPr/>
            </w:pPr>
            <w:r>
              <w:rPr/>
              <w:t>Six</w:t>
            </w:r>
          </w:p>
        </w:tc>
      </w:tr>
      <w:tr>
        <w:trPr/>
        <w:tc>
          <w:tcPr>
            <w:tcW w:w="7820" w:type="dxa"/>
            <w:tcBorders/>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0"/>
              <w:jc w:val="right"/>
              <w:rPr/>
            </w:pPr>
            <w:r>
              <w:rPr/>
              <w:t>months ended</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0"/>
              <w:jc w:val="right"/>
              <w:rPr/>
            </w:pPr>
            <w:r>
              <w:rPr/>
              <w:t>months ended</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0"/>
              <w:jc w:val="right"/>
              <w:rPr/>
            </w:pPr>
            <w:r>
              <w:rPr/>
              <w:t>months ended</w:t>
            </w:r>
          </w:p>
        </w:tc>
        <w:tc>
          <w:tcPr>
            <w:tcW w:w="60" w:type="dxa"/>
            <w:tcBorders/>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0"/>
              <w:jc w:val="right"/>
              <w:rPr/>
            </w:pPr>
            <w:r>
              <w:rPr/>
              <w:t>months ended</w:t>
            </w:r>
          </w:p>
        </w:tc>
      </w:tr>
      <w:tr>
        <w:trPr/>
        <w:tc>
          <w:tcPr>
            <w:tcW w:w="7820" w:type="dxa"/>
            <w:tcBorders/>
            <w:vAlign w:val="center"/>
          </w:tcPr>
          <w:p>
            <w:pPr>
              <w:pStyle w:val="TableContents"/>
              <w:bidi w:val="0"/>
              <w:spacing w:before="0" w:after="283"/>
              <w:jc w:val="left"/>
              <w:rPr/>
            </w:pPr>
            <w:r>
              <w:rPr/>
              <w:t> </w:t>
            </w:r>
          </w:p>
        </w:tc>
        <w:tc>
          <w:tcPr>
            <w:tcW w:w="1355" w:type="dxa"/>
            <w:tcBorders>
              <w:bottom w:val="single" w:sz="12" w:space="0" w:color="000000"/>
            </w:tcBorders>
            <w:tcMar>
              <w:bottom w:w="28" w:type="dxa"/>
            </w:tcMar>
            <w:vAlign w:val="center"/>
          </w:tcPr>
          <w:p>
            <w:pPr>
              <w:pStyle w:val="TableContents"/>
              <w:bidi w:val="0"/>
              <w:spacing w:before="0" w:after="0"/>
              <w:jc w:val="right"/>
              <w:rPr/>
            </w:pPr>
            <w:r>
              <w:rPr/>
              <w:t>June 30, 2026</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tcMar>
              <w:bottom w:w="28" w:type="dxa"/>
            </w:tcMar>
            <w:vAlign w:val="center"/>
          </w:tcPr>
          <w:p>
            <w:pPr>
              <w:pStyle w:val="TableContents"/>
              <w:bidi w:val="0"/>
              <w:spacing w:before="0" w:after="0"/>
              <w:jc w:val="right"/>
              <w:rPr/>
            </w:pPr>
            <w:r>
              <w:rPr/>
              <w:t>June 30, 2025</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tcMar>
              <w:bottom w:w="28" w:type="dxa"/>
            </w:tcMar>
            <w:vAlign w:val="center"/>
          </w:tcPr>
          <w:p>
            <w:pPr>
              <w:pStyle w:val="TableContents"/>
              <w:bidi w:val="0"/>
              <w:spacing w:before="0" w:after="0"/>
              <w:jc w:val="right"/>
              <w:rPr/>
            </w:pPr>
            <w:r>
              <w:rPr/>
              <w:t>June 30, 2026</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1355" w:type="dxa"/>
            <w:tcBorders>
              <w:bottom w:val="single" w:sz="12" w:space="0" w:color="000000"/>
            </w:tcBorders>
            <w:tcMar>
              <w:bottom w:w="28" w:type="dxa"/>
            </w:tcMar>
            <w:vAlign w:val="center"/>
          </w:tcPr>
          <w:p>
            <w:pPr>
              <w:pStyle w:val="TableContents"/>
              <w:bidi w:val="0"/>
              <w:spacing w:before="0" w:after="0"/>
              <w:jc w:val="right"/>
              <w:rPr/>
            </w:pPr>
            <w:r>
              <w:rPr/>
              <w:t>June 30, 2025</w:t>
            </w:r>
          </w:p>
        </w:tc>
      </w:tr>
      <w:tr>
        <w:trPr/>
        <w:tc>
          <w:tcPr>
            <w:tcW w:w="7820" w:type="dxa"/>
            <w:tcBorders/>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283"/>
              <w:jc w:val="left"/>
              <w:rPr/>
            </w:pPr>
            <w:r>
              <w:rPr/>
              <w:t> </w:t>
            </w:r>
          </w:p>
        </w:tc>
      </w:tr>
      <w:tr>
        <w:trPr/>
        <w:tc>
          <w:tcPr>
            <w:tcW w:w="7820" w:type="dxa"/>
            <w:tcBorders/>
            <w:shd w:fill="CCEEFF" w:val="clear"/>
            <w:vAlign w:val="center"/>
          </w:tcPr>
          <w:p>
            <w:pPr>
              <w:pStyle w:val="TableContents"/>
              <w:bidi w:val="0"/>
              <w:spacing w:before="0" w:after="0"/>
              <w:jc w:val="left"/>
              <w:rPr/>
            </w:pPr>
            <w:r>
              <w:rPr/>
              <w:t>EPS as reported (USD)</w:t>
            </w:r>
          </w:p>
        </w:tc>
        <w:tc>
          <w:tcPr>
            <w:tcW w:w="1355" w:type="dxa"/>
            <w:tcBorders/>
            <w:shd w:fill="CCEEFF" w:val="clear"/>
            <w:vAlign w:val="center"/>
          </w:tcPr>
          <w:p>
            <w:pPr>
              <w:pStyle w:val="TableContents"/>
              <w:bidi w:val="0"/>
              <w:spacing w:before="0" w:after="0"/>
              <w:jc w:val="right"/>
              <w:rPr/>
            </w:pPr>
            <w:r>
              <w:rPr/>
              <w:t>2.48</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0"/>
              <w:jc w:val="right"/>
              <w:rPr/>
            </w:pPr>
            <w:r>
              <w:rPr/>
              <w:t>2.61</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0"/>
              <w:jc w:val="right"/>
              <w:rPr/>
            </w:pPr>
            <w:r>
              <w:rPr/>
              <w:t>5.02</w:t>
            </w:r>
          </w:p>
        </w:tc>
        <w:tc>
          <w:tcPr>
            <w:tcW w:w="60" w:type="dxa"/>
            <w:tcBorders/>
            <w:shd w:fill="CCEEFF" w:val="clear"/>
            <w:vAlign w:val="center"/>
          </w:tcPr>
          <w:p>
            <w:pPr>
              <w:pStyle w:val="TableContents"/>
              <w:bidi w:val="0"/>
              <w:spacing w:before="0" w:after="283"/>
              <w:jc w:val="left"/>
              <w:rPr/>
            </w:pPr>
            <w:r>
              <w:rPr/>
              <w:t> </w:t>
            </w:r>
          </w:p>
        </w:tc>
        <w:tc>
          <w:tcPr>
            <w:tcW w:w="1355" w:type="dxa"/>
            <w:tcBorders/>
            <w:shd w:fill="CCEEFF" w:val="clear"/>
            <w:vAlign w:val="center"/>
          </w:tcPr>
          <w:p>
            <w:pPr>
              <w:pStyle w:val="TableContents"/>
              <w:bidi w:val="0"/>
              <w:spacing w:before="0" w:after="0"/>
              <w:jc w:val="right"/>
              <w:rPr/>
            </w:pPr>
            <w:r>
              <w:rPr/>
              <w:t>6.01</w:t>
            </w:r>
          </w:p>
        </w:tc>
      </w:tr>
      <w:tr>
        <w:trPr/>
        <w:tc>
          <w:tcPr>
            <w:tcW w:w="7820" w:type="dxa"/>
            <w:tcBorders/>
            <w:vAlign w:val="center"/>
          </w:tcPr>
          <w:p>
            <w:pPr>
              <w:pStyle w:val="TableContents"/>
              <w:bidi w:val="0"/>
              <w:spacing w:before="0" w:after="0"/>
              <w:jc w:val="left"/>
              <w:rPr/>
            </w:pPr>
            <w:r>
              <w:rPr/>
              <w:t xml:space="preserve">Normalized net income adjustments-Class A common shares (in thousands USD)  </w:t>
            </w:r>
          </w:p>
        </w:tc>
        <w:tc>
          <w:tcPr>
            <w:tcW w:w="1355" w:type="dxa"/>
            <w:tcBorders/>
            <w:vAlign w:val="center"/>
          </w:tcPr>
          <w:p>
            <w:pPr>
              <w:pStyle w:val="TableContents"/>
              <w:bidi w:val="0"/>
              <w:spacing w:before="0" w:after="0"/>
              <w:jc w:val="right"/>
              <w:rPr/>
            </w:pPr>
            <w:r>
              <w:rPr/>
              <w:t>(31)</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0"/>
              <w:jc w:val="right"/>
              <w:rPr/>
            </w:pPr>
            <w:r>
              <w:rPr/>
              <w:t>2,096</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0"/>
              <w:jc w:val="right"/>
              <w:rPr/>
            </w:pPr>
            <w:r>
              <w:rPr/>
              <w:t>614</w:t>
            </w:r>
          </w:p>
        </w:tc>
        <w:tc>
          <w:tcPr>
            <w:tcW w:w="60" w:type="dxa"/>
            <w:tcBorders/>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0"/>
              <w:jc w:val="right"/>
              <w:rPr/>
            </w:pPr>
            <w:r>
              <w:rPr/>
              <w:t>(24,637)</w:t>
            </w:r>
          </w:p>
        </w:tc>
      </w:tr>
      <w:tr>
        <w:trPr/>
        <w:tc>
          <w:tcPr>
            <w:tcW w:w="7820" w:type="dxa"/>
            <w:tcBorders/>
            <w:shd w:fill="CCEEFF" w:val="clear"/>
            <w:vAlign w:val="center"/>
          </w:tcPr>
          <w:p>
            <w:pPr>
              <w:pStyle w:val="TableContents"/>
              <w:bidi w:val="0"/>
              <w:spacing w:before="0" w:after="0"/>
              <w:jc w:val="left"/>
              <w:rPr/>
            </w:pPr>
            <w:r>
              <w:rPr/>
              <w:t>Weighted average number of Class A Common shares</w:t>
            </w:r>
          </w:p>
        </w:tc>
        <w:tc>
          <w:tcPr>
            <w:tcW w:w="1355" w:type="dxa"/>
            <w:tcBorders/>
            <w:shd w:fill="CCEEFF" w:val="clear"/>
            <w:vAlign w:val="center"/>
          </w:tcPr>
          <w:p>
            <w:pPr>
              <w:pStyle w:val="TableContents"/>
              <w:bidi w:val="0"/>
              <w:spacing w:before="0" w:after="0"/>
              <w:jc w:val="right"/>
              <w:rPr/>
            </w:pPr>
            <w:r>
              <w:rPr/>
              <w:t>36,035,434</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0"/>
              <w:jc w:val="right"/>
              <w:rPr/>
            </w:pPr>
            <w:r>
              <w:rPr/>
              <w:t>35,612,413</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0"/>
              <w:jc w:val="right"/>
              <w:rPr/>
            </w:pPr>
            <w:r>
              <w:rPr/>
              <w:t>36,005,151</w:t>
            </w:r>
          </w:p>
        </w:tc>
        <w:tc>
          <w:tcPr>
            <w:tcW w:w="60" w:type="dxa"/>
            <w:tcBorders/>
            <w:shd w:fill="CCEEFF" w:val="clear"/>
            <w:vAlign w:val="center"/>
          </w:tcPr>
          <w:p>
            <w:pPr>
              <w:pStyle w:val="TableContents"/>
              <w:bidi w:val="0"/>
              <w:spacing w:before="0" w:after="283"/>
              <w:jc w:val="left"/>
              <w:rPr/>
            </w:pPr>
            <w:r>
              <w:rPr/>
              <w:t> </w:t>
            </w:r>
          </w:p>
        </w:tc>
        <w:tc>
          <w:tcPr>
            <w:tcW w:w="1355" w:type="dxa"/>
            <w:tcBorders/>
            <w:shd w:fill="CCEEFF" w:val="clear"/>
            <w:vAlign w:val="center"/>
          </w:tcPr>
          <w:p>
            <w:pPr>
              <w:pStyle w:val="TableContents"/>
              <w:bidi w:val="0"/>
              <w:spacing w:before="0" w:after="0"/>
              <w:jc w:val="right"/>
              <w:rPr/>
            </w:pPr>
            <w:r>
              <w:rPr/>
              <w:t>35,598,601</w:t>
            </w:r>
          </w:p>
        </w:tc>
      </w:tr>
      <w:tr>
        <w:trPr/>
        <w:tc>
          <w:tcPr>
            <w:tcW w:w="7820" w:type="dxa"/>
            <w:tcBorders/>
            <w:vAlign w:val="center"/>
          </w:tcPr>
          <w:p>
            <w:pPr>
              <w:pStyle w:val="TableContents"/>
              <w:bidi w:val="0"/>
              <w:spacing w:before="0" w:after="0"/>
              <w:jc w:val="left"/>
              <w:rPr/>
            </w:pPr>
            <w:r>
              <w:rPr/>
              <w:t>Adjustment on EPS (USD)</w:t>
            </w:r>
          </w:p>
        </w:tc>
        <w:tc>
          <w:tcPr>
            <w:tcW w:w="1355" w:type="dxa"/>
            <w:tcBorders/>
            <w:vAlign w:val="center"/>
          </w:tcPr>
          <w:p>
            <w:pPr>
              <w:pStyle w:val="TableContents"/>
              <w:bidi w:val="0"/>
              <w:spacing w:before="0" w:after="0"/>
              <w:jc w:val="right"/>
              <w:rPr/>
            </w:pPr>
            <w:r>
              <w:rPr/>
              <w:t>0.00</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0"/>
              <w:jc w:val="right"/>
              <w:rPr/>
            </w:pPr>
            <w:r>
              <w:rPr/>
              <w:t>0.06</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0"/>
              <w:jc w:val="right"/>
              <w:rPr/>
            </w:pPr>
            <w:r>
              <w:rPr/>
              <w:t>0.02</w:t>
            </w:r>
          </w:p>
        </w:tc>
        <w:tc>
          <w:tcPr>
            <w:tcW w:w="60" w:type="dxa"/>
            <w:tcBorders/>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0"/>
              <w:jc w:val="right"/>
              <w:rPr/>
            </w:pPr>
            <w:r>
              <w:rPr/>
              <w:t>(0.69)</w:t>
            </w:r>
          </w:p>
        </w:tc>
      </w:tr>
      <w:tr>
        <w:trPr/>
        <w:tc>
          <w:tcPr>
            <w:tcW w:w="7820" w:type="dxa"/>
            <w:tcBorders/>
            <w:shd w:fill="CCEEFF" w:val="clear"/>
            <w:vAlign w:val="center"/>
          </w:tcPr>
          <w:p>
            <w:pPr>
              <w:pStyle w:val="TableContents"/>
              <w:bidi w:val="0"/>
              <w:spacing w:before="0" w:after="0"/>
              <w:jc w:val="left"/>
              <w:rPr/>
            </w:pPr>
            <w:r>
              <w:rPr/>
              <w:t>Normalized EPS (USD)</w:t>
            </w:r>
          </w:p>
        </w:tc>
        <w:tc>
          <w:tcPr>
            <w:tcW w:w="1355" w:type="dxa"/>
            <w:tcBorders/>
            <w:shd w:fill="CCEEFF" w:val="clear"/>
            <w:vAlign w:val="center"/>
          </w:tcPr>
          <w:p>
            <w:pPr>
              <w:pStyle w:val="TableContents"/>
              <w:bidi w:val="0"/>
              <w:spacing w:before="0" w:after="0"/>
              <w:jc w:val="right"/>
              <w:rPr/>
            </w:pPr>
            <w:r>
              <w:rPr/>
              <w:t>2.48</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0"/>
              <w:jc w:val="right"/>
              <w:rPr/>
            </w:pPr>
            <w:r>
              <w:rPr/>
              <w:t>2.67</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0"/>
              <w:jc w:val="right"/>
              <w:rPr/>
            </w:pPr>
            <w:r>
              <w:rPr/>
              <w:t>5.04</w:t>
            </w:r>
          </w:p>
        </w:tc>
        <w:tc>
          <w:tcPr>
            <w:tcW w:w="60" w:type="dxa"/>
            <w:tcBorders/>
            <w:shd w:fill="CCEEFF" w:val="clear"/>
            <w:vAlign w:val="center"/>
          </w:tcPr>
          <w:p>
            <w:pPr>
              <w:pStyle w:val="TableContents"/>
              <w:bidi w:val="0"/>
              <w:spacing w:before="0" w:after="283"/>
              <w:jc w:val="left"/>
              <w:rPr/>
            </w:pPr>
            <w:r>
              <w:rPr/>
              <w:t> </w:t>
            </w:r>
          </w:p>
        </w:tc>
        <w:tc>
          <w:tcPr>
            <w:tcW w:w="1355" w:type="dxa"/>
            <w:tcBorders/>
            <w:shd w:fill="CCEEFF" w:val="clear"/>
            <w:vAlign w:val="center"/>
          </w:tcPr>
          <w:p>
            <w:pPr>
              <w:pStyle w:val="TableContents"/>
              <w:bidi w:val="0"/>
              <w:spacing w:before="0" w:after="0"/>
              <w:jc w:val="right"/>
              <w:rPr/>
            </w:pPr>
            <w:r>
              <w:rPr/>
              <w:t>5.32</w:t>
            </w:r>
          </w:p>
        </w:tc>
      </w:tr>
    </w:tbl>
    <w:p>
      <w:pPr>
        <w:pStyle w:val="TextBody"/>
        <w:bidi w:val="0"/>
        <w:spacing w:before="0" w:after="0"/>
        <w:jc w:val="left"/>
        <w:rPr/>
      </w:pPr>
      <w:r>
        <w:rPr/>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Dividend Policy</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declaration and payment of dividends will be subject at all times to the discretion of the Company’s Board of Directors. The timing and amount of dividends, if any, will depend on the Company’s earnings, financial condition, cash flow, capital requirements, growth opportunities, restrictions in its loan agreements and financing arrangements, the provisions of Marshall Islands law affecting the payment of dividends, and other factors. For further information on the Company’s dividend policy, please see its most recent Annual Report on Form 20-F.</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Safe Harbor Statement</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This communication contains forward-looking statements. Forward-looking statements provide Global Ship Lease’s current expectations or forecasts of future events. Forward-looking statements include statements about Global Ship Lease’s expectations, beliefs, plans, objectives, intentions, assumptions and other statements that are not historical facts. Words or phrases such as “anticipate”, “believe”, “continue”, “estimate”, “expect”, “intend”, “may”, “ongoing”, “plan”, “potential”, “predict”, “should”, “project”, “will” or similar words or phrases, or the negatives of those words or phrases, may identify forward-looking statements, but the absence of these words does not necessarily mean that a statement is not forward-looking. These forward-looking statements are based on assumptions that may be incorrect, and Global Ship Lease cannot assure you that these projections included in these forward-looking statements will come to pass. Actual results could differ materially from those expressed or implied by the forward-looking statements as a result of various factors.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Page 13</w:t>
      </w:r>
    </w:p>
    <w:p>
      <w:pPr>
        <w:pStyle w:val="HorizontalLine"/>
        <w:pBdr>
          <w:bottom w:val="single" w:sz="12" w:space="0" w:color="808080"/>
        </w:pBdr>
        <w:bidi w:val="0"/>
        <w:spacing w:before="200" w:after="20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risks and uncertainties include, but are not limited to:</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96" w:name="z8ec95a4120d04a1f898486a518ca60f6"/>
      <w:bookmarkStart w:id="97" w:name="z8ec95a4120d04a1f898486a518ca60f6"/>
      <w:bookmarkEnd w:id="97"/>
    </w:p>
    <w:tbl>
      <w:tblPr>
        <w:tblW w:w="3528" w:type="dxa"/>
        <w:jc w:val="left"/>
        <w:tblInd w:w="0" w:type="dxa"/>
        <w:tblLayout w:type="fixed"/>
        <w:tblCellMar>
          <w:top w:w="0" w:type="dxa"/>
          <w:left w:w="0" w:type="dxa"/>
          <w:bottom w:w="0" w:type="dxa"/>
          <w:right w:w="0" w:type="dxa"/>
        </w:tblCellMar>
      </w:tblPr>
      <w:tblGrid>
        <w:gridCol w:w="38"/>
        <w:gridCol w:w="110"/>
        <w:gridCol w:w="338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3380" w:type="dxa"/>
            <w:tcBorders/>
            <w:vAlign w:val="center"/>
          </w:tcPr>
          <w:p>
            <w:pPr>
              <w:pStyle w:val="TableContents"/>
              <w:bidi w:val="0"/>
              <w:spacing w:before="0" w:after="0"/>
              <w:jc w:val="both"/>
              <w:rPr/>
            </w:pPr>
            <w:r>
              <w:rPr/>
              <w:t>future operating or financial results;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98" w:name="z596a4ca72a43406fb566140dafbbd57e"/>
      <w:bookmarkStart w:id="99" w:name="z596a4ca72a43406fb566140dafbbd57e"/>
      <w:bookmarkEnd w:id="99"/>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expectations regarding the strength of future growth of the container shipping industry, including the rates of annual demand and supply growth;</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00" w:name="zaa3a09fb40984ea3abca1e1573989339"/>
      <w:bookmarkStart w:id="101" w:name="zaa3a09fb40984ea3abca1e1573989339"/>
      <w:bookmarkEnd w:id="101"/>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geo-political events such as the war in Iran and disruption to the Strait of Hormuz, war between Russia and Ukraine; ongoing tensions between Israel and Hamas, ongoing disputes between China and Taiwan, deteriorating trade relations between the U.S. and China, and ongoing political unrest and conflicts in the Middle East and other regions throughout the world;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02" w:name="zc52fb524df3347a6ac9d538369f5a6c3"/>
      <w:bookmarkStart w:id="103" w:name="zc52fb524df3347a6ac9d538369f5a6c3"/>
      <w:bookmarkEnd w:id="103"/>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the disruptions of shipping routes, including due to the closure of the Strait of Hormuz, lower water levels in the Panama Canal and the ongoing attacks by Houthis in the Red Sea;</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04" w:name="zb024c8b2005e47e594b260d69919a112"/>
      <w:bookmarkStart w:id="105" w:name="zb024c8b2005e47e594b260d69919a112"/>
      <w:bookmarkEnd w:id="105"/>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public health threats, pandemics, epidemics, and other disease outbreaks around the world and governmental responses thereto;</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06" w:name="z27e96af293214a45a4d605b3d89d0460"/>
      <w:bookmarkStart w:id="107" w:name="z27e96af293214a45a4d605b3d89d0460"/>
      <w:bookmarkEnd w:id="107"/>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the financial condition of our charterers and their ability and willingness to pay charterhire to us in accordance with the charters and our expectations regarding the same;</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08" w:name="zdc8d7ef2076c44289b293369fe29c6b6"/>
      <w:bookmarkStart w:id="109" w:name="zdc8d7ef2076c44289b293369fe29c6b6"/>
      <w:bookmarkEnd w:id="109"/>
    </w:p>
    <w:tbl>
      <w:tblPr>
        <w:tblW w:w="7023" w:type="dxa"/>
        <w:jc w:val="left"/>
        <w:tblInd w:w="0" w:type="dxa"/>
        <w:tblLayout w:type="fixed"/>
        <w:tblCellMar>
          <w:top w:w="0" w:type="dxa"/>
          <w:left w:w="0" w:type="dxa"/>
          <w:bottom w:w="0" w:type="dxa"/>
          <w:right w:w="0" w:type="dxa"/>
        </w:tblCellMar>
      </w:tblPr>
      <w:tblGrid>
        <w:gridCol w:w="38"/>
        <w:gridCol w:w="110"/>
        <w:gridCol w:w="687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6875" w:type="dxa"/>
            <w:tcBorders/>
            <w:vAlign w:val="center"/>
          </w:tcPr>
          <w:p>
            <w:pPr>
              <w:pStyle w:val="TableContents"/>
              <w:bidi w:val="0"/>
              <w:spacing w:before="0" w:after="0"/>
              <w:jc w:val="both"/>
              <w:rPr/>
            </w:pPr>
            <w:r>
              <w:rPr/>
              <w:t>the overall health and condition of the U.S. and global financial markets;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10" w:name="z419966faa63b474c902eaefa62cc8405"/>
      <w:bookmarkStart w:id="111" w:name="z419966faa63b474c902eaefa62cc8405"/>
      <w:bookmarkEnd w:id="111"/>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changes in tariffs, trade barriers, and embargos, including uncertainty surrounding the imposition and legality of tariffs by the U.S. and the effects of retaliatory tariffs and countermeasures from affected countries;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12" w:name="zbe069828cc25457cb9b42b1c35097d80"/>
      <w:bookmarkStart w:id="113" w:name="zbe069828cc25457cb9b42b1c35097d80"/>
      <w:bookmarkEnd w:id="113"/>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uncertainties surrounding recently implemented and suspended port fee regimes in the United States and China that may be applicable to a number of our vessels;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14" w:name="z156a9e49bf5f46daaeca817763d181ac"/>
      <w:bookmarkStart w:id="115" w:name="z156a9e49bf5f46daaeca817763d181ac"/>
      <w:bookmarkEnd w:id="115"/>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our financial condition and liquidity, including our ability to obtain additional financing to fund capital expenditures, vessel acquisitions and for other general corporate purposes and our ability to meet our financial covenants and repay our borrowings;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16" w:name="z90037a8ef73143fda55a6cc22b781742"/>
      <w:bookmarkStart w:id="117" w:name="z90037a8ef73143fda55a6cc22b781742"/>
      <w:bookmarkEnd w:id="117"/>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our expectations relating to dividend payments and expectations of our ability to make such payments including the availability of cash and the impact of constraints under our loan agreements;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18" w:name="z0c1efd7f792c4a7682707313bfc0d244"/>
      <w:bookmarkStart w:id="119" w:name="z0c1efd7f792c4a7682707313bfc0d244"/>
      <w:bookmarkEnd w:id="119"/>
    </w:p>
    <w:tbl>
      <w:tblPr>
        <w:tblW w:w="6573" w:type="dxa"/>
        <w:jc w:val="left"/>
        <w:tblInd w:w="0" w:type="dxa"/>
        <w:tblLayout w:type="fixed"/>
        <w:tblCellMar>
          <w:top w:w="0" w:type="dxa"/>
          <w:left w:w="0" w:type="dxa"/>
          <w:bottom w:w="0" w:type="dxa"/>
          <w:right w:w="0" w:type="dxa"/>
        </w:tblCellMar>
      </w:tblPr>
      <w:tblGrid>
        <w:gridCol w:w="38"/>
        <w:gridCol w:w="110"/>
        <w:gridCol w:w="642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6425" w:type="dxa"/>
            <w:tcBorders/>
            <w:vAlign w:val="center"/>
          </w:tcPr>
          <w:p>
            <w:pPr>
              <w:pStyle w:val="TableContents"/>
              <w:bidi w:val="0"/>
              <w:spacing w:before="0" w:after="0"/>
              <w:jc w:val="both"/>
              <w:rPr/>
            </w:pPr>
            <w:r>
              <w:rPr/>
              <w:t>future acquisitions, business strategy and expected capital spending;</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0" w:name="zc629e77a789c4b0ead36daee6ac2983c"/>
      <w:bookmarkStart w:id="121" w:name="zc629e77a789c4b0ead36daee6ac2983c"/>
      <w:bookmarkEnd w:id="121"/>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operating expenses, availability of key employees, crew, number of off-hire days, drydocking and survey requirements, costs of regulatory compliance, insurance costs and general and administrative costs;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2" w:name="z767fd22ad9544315a86bff5aec853555"/>
      <w:bookmarkStart w:id="123" w:name="z767fd22ad9544315a86bff5aec853555"/>
      <w:bookmarkEnd w:id="123"/>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bookmarkStart w:id="124" w:name="z_Hlk149207082"/>
            <w:bookmarkEnd w:id="124"/>
            <w:r>
              <w:rPr/>
              <w:t>•</w:t>
            </w:r>
          </w:p>
        </w:tc>
        <w:tc>
          <w:tcPr>
            <w:tcW w:w="10057" w:type="dxa"/>
            <w:tcBorders/>
            <w:vAlign w:val="center"/>
          </w:tcPr>
          <w:p>
            <w:pPr>
              <w:pStyle w:val="TableContents"/>
              <w:bidi w:val="0"/>
              <w:spacing w:before="0" w:after="0"/>
              <w:jc w:val="both"/>
              <w:rPr/>
            </w:pPr>
            <w:r>
              <w:rPr/>
              <w:t>general market conditions and shipping industry trends, including charter rates and factors affecting supply and demand;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5" w:name="zb533ee5f464246f9ace32c1f669f7eb4"/>
      <w:bookmarkStart w:id="126" w:name="zb533ee5f464246f9ace32c1f669f7eb4"/>
      <w:bookmarkEnd w:id="126"/>
    </w:p>
    <w:tbl>
      <w:tblPr>
        <w:tblW w:w="4833" w:type="dxa"/>
        <w:jc w:val="left"/>
        <w:tblInd w:w="0" w:type="dxa"/>
        <w:tblLayout w:type="fixed"/>
        <w:tblCellMar>
          <w:top w:w="0" w:type="dxa"/>
          <w:left w:w="0" w:type="dxa"/>
          <w:bottom w:w="0" w:type="dxa"/>
          <w:right w:w="0" w:type="dxa"/>
        </w:tblCellMar>
      </w:tblPr>
      <w:tblGrid>
        <w:gridCol w:w="38"/>
        <w:gridCol w:w="110"/>
        <w:gridCol w:w="468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4685" w:type="dxa"/>
            <w:tcBorders/>
            <w:vAlign w:val="center"/>
          </w:tcPr>
          <w:p>
            <w:pPr>
              <w:pStyle w:val="TableContents"/>
              <w:bidi w:val="0"/>
              <w:spacing w:before="0" w:after="0"/>
              <w:jc w:val="both"/>
              <w:rPr/>
            </w:pPr>
            <w:r>
              <w:rPr/>
              <w:t>assumptions regarding interest rates and inflation;</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7" w:name="z38c9a62e77c04101a830decc24df52e4"/>
      <w:bookmarkStart w:id="128" w:name="z38c9a62e77c04101a830decc24df52e4"/>
      <w:bookmarkEnd w:id="128"/>
    </w:p>
    <w:tbl>
      <w:tblPr>
        <w:tblW w:w="6933" w:type="dxa"/>
        <w:jc w:val="left"/>
        <w:tblInd w:w="0" w:type="dxa"/>
        <w:tblLayout w:type="fixed"/>
        <w:tblCellMar>
          <w:top w:w="0" w:type="dxa"/>
          <w:left w:w="0" w:type="dxa"/>
          <w:bottom w:w="0" w:type="dxa"/>
          <w:right w:w="0" w:type="dxa"/>
        </w:tblCellMar>
      </w:tblPr>
      <w:tblGrid>
        <w:gridCol w:w="38"/>
        <w:gridCol w:w="110"/>
        <w:gridCol w:w="678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6785" w:type="dxa"/>
            <w:tcBorders/>
            <w:vAlign w:val="center"/>
          </w:tcPr>
          <w:p>
            <w:pPr>
              <w:pStyle w:val="TableContents"/>
              <w:bidi w:val="0"/>
              <w:spacing w:before="0" w:after="0"/>
              <w:jc w:val="both"/>
              <w:rPr/>
            </w:pPr>
            <w:r>
              <w:rPr/>
              <w:t>changes in the rate of growth of global and various regional economies;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9" w:name="za4b6c87c358745ca91b81cd7397c8f0d"/>
      <w:bookmarkStart w:id="130" w:name="za4b6c87c358745ca91b81cd7397c8f0d"/>
      <w:bookmarkEnd w:id="130"/>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risks incidental to vessel operation, including piracy, discharge of pollutants and vessel accidents and damage including total or constructive total loss;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31" w:name="z18a053c0d5c847898579b57b10f330df"/>
      <w:bookmarkStart w:id="132" w:name="z18a053c0d5c847898579b57b10f330df"/>
      <w:bookmarkEnd w:id="132"/>
    </w:p>
    <w:tbl>
      <w:tblPr>
        <w:tblW w:w="7038" w:type="dxa"/>
        <w:jc w:val="left"/>
        <w:tblInd w:w="0" w:type="dxa"/>
        <w:tblLayout w:type="fixed"/>
        <w:tblCellMar>
          <w:top w:w="0" w:type="dxa"/>
          <w:left w:w="0" w:type="dxa"/>
          <w:bottom w:w="0" w:type="dxa"/>
          <w:right w:w="0" w:type="dxa"/>
        </w:tblCellMar>
      </w:tblPr>
      <w:tblGrid>
        <w:gridCol w:w="38"/>
        <w:gridCol w:w="110"/>
        <w:gridCol w:w="689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6890" w:type="dxa"/>
            <w:tcBorders/>
            <w:vAlign w:val="center"/>
          </w:tcPr>
          <w:p>
            <w:pPr>
              <w:pStyle w:val="TableContents"/>
              <w:bidi w:val="0"/>
              <w:spacing w:before="0" w:after="0"/>
              <w:jc w:val="both"/>
              <w:rPr/>
            </w:pPr>
            <w:r>
              <w:rPr/>
              <w:t>estimated future capital expenditures needed to preserve our capital base;</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33" w:name="zd316f23540144020af4d5e7fb0993065"/>
      <w:bookmarkStart w:id="134" w:name="zd316f23540144020af4d5e7fb0993065"/>
      <w:bookmarkEnd w:id="134"/>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our expectations about the availability of vessels to purchase, the time that it may take to construct new vessels, or the useful lives of our vessels;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35" w:name="zf64600280a5a4c9089f11d537e05349a"/>
      <w:bookmarkStart w:id="136" w:name="zf64600280a5a4c9089f11d537e05349a"/>
      <w:bookmarkEnd w:id="136"/>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our continued ability to enter into or renew charters including the re-chartering of vessels on the expiry of existing charters, or to secure profitable employment for our vessels in the spot market;</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37" w:name="z1a27db0fdcbb4586817c9218beebff7b"/>
      <w:bookmarkStart w:id="138" w:name="z1a27db0fdcbb4586817c9218beebff7b"/>
      <w:bookmarkEnd w:id="138"/>
    </w:p>
    <w:tbl>
      <w:tblPr>
        <w:tblW w:w="7938" w:type="dxa"/>
        <w:jc w:val="left"/>
        <w:tblInd w:w="0" w:type="dxa"/>
        <w:tblLayout w:type="fixed"/>
        <w:tblCellMar>
          <w:top w:w="0" w:type="dxa"/>
          <w:left w:w="0" w:type="dxa"/>
          <w:bottom w:w="0" w:type="dxa"/>
          <w:right w:w="0" w:type="dxa"/>
        </w:tblCellMar>
      </w:tblPr>
      <w:tblGrid>
        <w:gridCol w:w="38"/>
        <w:gridCol w:w="110"/>
        <w:gridCol w:w="779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7790" w:type="dxa"/>
            <w:tcBorders/>
            <w:vAlign w:val="center"/>
          </w:tcPr>
          <w:p>
            <w:pPr>
              <w:pStyle w:val="TableContents"/>
              <w:bidi w:val="0"/>
              <w:spacing w:before="0" w:after="0"/>
              <w:jc w:val="both"/>
              <w:rPr/>
            </w:pPr>
            <w:r>
              <w:rPr/>
              <w:t>our ability to realize expected benefits from our acquisition of secondhand vessels;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39" w:name="zdced1e93623a490aaee084b96c5e80bc"/>
      <w:bookmarkStart w:id="140" w:name="zdced1e93623a490aaee084b96c5e80bc"/>
      <w:bookmarkEnd w:id="140"/>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our ability to capitalize on our management’s and directors’ relationships and reputations in the containership industry to its advantage;</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1" w:name="z60f73712bb73487ab84c1332e34e774d"/>
      <w:bookmarkStart w:id="142" w:name="z60f73712bb73487ab84c1332e34e774d"/>
      <w:bookmarkEnd w:id="142"/>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changes in governmental and classification societies’ rules and regulations or actions taken by regulatory authorities;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3" w:name="z9de22b3094464aa480f149dae6f1144c"/>
      <w:bookmarkStart w:id="144" w:name="z9de22b3094464aa480f149dae6f1144c"/>
      <w:bookmarkEnd w:id="144"/>
    </w:p>
    <w:tbl>
      <w:tblPr>
        <w:tblW w:w="7923" w:type="dxa"/>
        <w:jc w:val="left"/>
        <w:tblInd w:w="0" w:type="dxa"/>
        <w:tblLayout w:type="fixed"/>
        <w:tblCellMar>
          <w:top w:w="0" w:type="dxa"/>
          <w:left w:w="0" w:type="dxa"/>
          <w:bottom w:w="0" w:type="dxa"/>
          <w:right w:w="0" w:type="dxa"/>
        </w:tblCellMar>
      </w:tblPr>
      <w:tblGrid>
        <w:gridCol w:w="38"/>
        <w:gridCol w:w="110"/>
        <w:gridCol w:w="777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7775" w:type="dxa"/>
            <w:tcBorders/>
            <w:vAlign w:val="center"/>
          </w:tcPr>
          <w:p>
            <w:pPr>
              <w:pStyle w:val="TableContents"/>
              <w:bidi w:val="0"/>
              <w:spacing w:before="0" w:after="0"/>
              <w:jc w:val="both"/>
              <w:rPr/>
            </w:pPr>
            <w:r>
              <w:rPr/>
              <w:t>expectations about the availability of insurance on commercially reasonable terms;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5" w:name="zee88fe9badb04fd883fa52f11f0ed249"/>
      <w:bookmarkStart w:id="146" w:name="zee88fe9badb04fd883fa52f11f0ed249"/>
      <w:bookmarkEnd w:id="146"/>
    </w:p>
    <w:tbl>
      <w:tblPr>
        <w:tblW w:w="7758" w:type="dxa"/>
        <w:jc w:val="left"/>
        <w:tblInd w:w="0" w:type="dxa"/>
        <w:tblLayout w:type="fixed"/>
        <w:tblCellMar>
          <w:top w:w="0" w:type="dxa"/>
          <w:left w:w="0" w:type="dxa"/>
          <w:bottom w:w="0" w:type="dxa"/>
          <w:right w:w="0" w:type="dxa"/>
        </w:tblCellMar>
      </w:tblPr>
      <w:tblGrid>
        <w:gridCol w:w="38"/>
        <w:gridCol w:w="110"/>
        <w:gridCol w:w="761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7610" w:type="dxa"/>
            <w:tcBorders/>
            <w:vAlign w:val="center"/>
          </w:tcPr>
          <w:p>
            <w:pPr>
              <w:pStyle w:val="TableContents"/>
              <w:bidi w:val="0"/>
              <w:spacing w:before="0" w:after="0"/>
              <w:jc w:val="both"/>
              <w:rPr/>
            </w:pPr>
            <w:r>
              <w:rPr/>
              <w:t>changes in laws and regulations (including environmental rules and regulations);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7" w:name="z84bfceb85a3046fbae82d5c6836272a9"/>
      <w:bookmarkStart w:id="148" w:name="z84bfceb85a3046fbae82d5c6836272a9"/>
      <w:bookmarkEnd w:id="148"/>
    </w:p>
    <w:tbl>
      <w:tblPr>
        <w:tblW w:w="4233" w:type="dxa"/>
        <w:jc w:val="left"/>
        <w:tblInd w:w="0" w:type="dxa"/>
        <w:tblLayout w:type="fixed"/>
        <w:tblCellMar>
          <w:top w:w="0" w:type="dxa"/>
          <w:left w:w="0" w:type="dxa"/>
          <w:bottom w:w="0" w:type="dxa"/>
          <w:right w:w="0" w:type="dxa"/>
        </w:tblCellMar>
      </w:tblPr>
      <w:tblGrid>
        <w:gridCol w:w="38"/>
        <w:gridCol w:w="110"/>
        <w:gridCol w:w="408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4085" w:type="dxa"/>
            <w:tcBorders/>
            <w:vAlign w:val="center"/>
          </w:tcPr>
          <w:p>
            <w:pPr>
              <w:pStyle w:val="TableContents"/>
              <w:bidi w:val="0"/>
              <w:spacing w:before="0" w:after="0"/>
              <w:jc w:val="both"/>
              <w:rPr/>
            </w:pPr>
            <w:r>
              <w:rPr/>
              <w:t>potential liability from future litigation; and</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Page 14</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149" w:name="z424822898c944da8a2d5322c46e3ef1c"/>
      <w:bookmarkStart w:id="150" w:name="z424822898c944da8a2d5322c46e3ef1c"/>
      <w:bookmarkEnd w:id="150"/>
    </w:p>
    <w:tbl>
      <w:tblPr>
        <w:tblW w:w="8343" w:type="dxa"/>
        <w:jc w:val="left"/>
        <w:tblInd w:w="0" w:type="dxa"/>
        <w:tblLayout w:type="fixed"/>
        <w:tblCellMar>
          <w:top w:w="0" w:type="dxa"/>
          <w:left w:w="0" w:type="dxa"/>
          <w:bottom w:w="0" w:type="dxa"/>
          <w:right w:w="0" w:type="dxa"/>
        </w:tblCellMar>
      </w:tblPr>
      <w:tblGrid>
        <w:gridCol w:w="38"/>
        <w:gridCol w:w="110"/>
        <w:gridCol w:w="819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8195" w:type="dxa"/>
            <w:tcBorders/>
            <w:vAlign w:val="center"/>
          </w:tcPr>
          <w:p>
            <w:pPr>
              <w:pStyle w:val="TableContents"/>
              <w:bidi w:val="0"/>
              <w:spacing w:before="0" w:after="0"/>
              <w:jc w:val="both"/>
              <w:rPr/>
            </w:pPr>
            <w:r>
              <w:rPr/>
              <w:t>other important factors described from time to time in the reports we file with the SEC.</w:t>
            </w:r>
          </w:p>
        </w:tc>
      </w:tr>
    </w:tbl>
    <w:p>
      <w:pPr>
        <w:pStyle w:val="TextBody"/>
        <w:bidi w:val="0"/>
        <w:spacing w:before="0" w:after="0"/>
        <w:jc w:val="left"/>
        <w:rPr/>
      </w:pPr>
      <w:r>
        <w:rPr/>
      </w:r>
    </w:p>
    <w:p>
      <w:pPr>
        <w:pStyle w:val="TextBody"/>
        <w:bidi w:val="0"/>
        <w:spacing w:before="0" w:after="0"/>
        <w:ind w:left="0" w:right="0" w:firstLine="11"/>
        <w:jc w:val="both"/>
        <w:rPr>
          <w:rFonts w:ascii="Times New Roman" w:hAnsi="Times New Roman"/>
          <w:color w:val="000000"/>
          <w:sz w:val="20"/>
        </w:rPr>
      </w:pPr>
      <w:r>
        <w:rPr>
          <w:rFonts w:ascii="Times New Roman" w:hAnsi="Times New Roman"/>
          <w:color w:val="000000"/>
          <w:sz w:val="20"/>
        </w:rPr>
        <w:t>Forward-looking statements are subject to known and unknown risks and uncertainties and are based on potentially inaccurate assumptions that could cause actual results to differ materially from those expected or implied by the forward-looking statements. Global Ship Lease’s actual results could differ materially from those anticipated in forward-looking statements for many reasons specifically as described in Global Ship Lease’s filings with the SEC. Accordingly, you should not unduly rely on these forward-looking statements, which speak only as of the date of this communication. Global Ship Lease undertakes no obligation to publicly revise any forward-looking statement to reflect circumstances or events after the date of this communication or to reflect the occurrence of unanticipated events. You should, however, review the factors and risks Global Ship Lease describes in the reports it will file from time to time with the SEC after the date of this communication.</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Global Ship Lease, Inc.</w:t>
      </w:r>
    </w:p>
    <w:p>
      <w:pPr>
        <w:pStyle w:val="TextBody"/>
        <w:bidi w:val="0"/>
        <w:spacing w:before="0" w:after="0"/>
        <w:jc w:val="center"/>
        <w:rPr>
          <w:rFonts w:ascii="Times New Roman" w:hAnsi="Times New Roman"/>
          <w:color w:val="000000"/>
          <w:sz w:val="20"/>
        </w:rPr>
      </w:pPr>
      <w:r>
        <w:rPr>
          <w:rFonts w:ascii="Times New Roman" w:hAnsi="Times New Roman"/>
          <w:b/>
          <w:color w:val="000000"/>
          <w:sz w:val="20"/>
        </w:rPr>
        <w:t>Interim Unaudited Condensed Consolidated</w:t>
      </w:r>
      <w:r>
        <w:rPr>
          <w:rFonts w:ascii="Times New Roman" w:hAnsi="Times New Roman"/>
          <w:color w:val="000000"/>
          <w:sz w:val="20"/>
        </w:rPr>
        <w:t> </w:t>
      </w:r>
      <w:r>
        <w:rPr>
          <w:rFonts w:ascii="Times New Roman" w:hAnsi="Times New Roman"/>
          <w:b/>
          <w:color w:val="000000"/>
          <w:sz w:val="20"/>
        </w:rPr>
        <w:t>Balance Sheets</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(Expressed in thousands of U.S. dollars except share data)</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51" w:name="z8b48ff8d0e0e4cdbb8052c901ff97b26"/>
      <w:bookmarkStart w:id="152" w:name="z8b48ff8d0e0e4cdbb8052c901ff97b26"/>
      <w:bookmarkEnd w:id="152"/>
    </w:p>
    <w:tbl>
      <w:tblPr>
        <w:tblW w:w="11030" w:type="dxa"/>
        <w:jc w:val="left"/>
        <w:tblInd w:w="0" w:type="dxa"/>
        <w:tblLayout w:type="fixed"/>
        <w:tblCellMar>
          <w:top w:w="0" w:type="dxa"/>
          <w:left w:w="0" w:type="dxa"/>
          <w:bottom w:w="0" w:type="dxa"/>
          <w:right w:w="0" w:type="dxa"/>
        </w:tblCellMar>
      </w:tblPr>
      <w:tblGrid>
        <w:gridCol w:w="7700"/>
        <w:gridCol w:w="60"/>
        <w:gridCol w:w="140"/>
        <w:gridCol w:w="980"/>
        <w:gridCol w:w="60"/>
        <w:gridCol w:w="60"/>
        <w:gridCol w:w="244"/>
        <w:gridCol w:w="1711"/>
        <w:gridCol w:w="75"/>
      </w:tblGrid>
      <w:tr>
        <w:trPr/>
        <w:tc>
          <w:tcPr>
            <w:tcW w:w="77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195"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As of,</w:t>
            </w:r>
          </w:p>
        </w:tc>
        <w:tc>
          <w:tcPr>
            <w:tcW w:w="75" w:type="dxa"/>
            <w:tcBorders/>
            <w:vAlign w:val="bottom"/>
          </w:tcPr>
          <w:p>
            <w:pPr>
              <w:pStyle w:val="TableContents"/>
              <w:bidi w:val="0"/>
              <w:spacing w:before="0" w:after="283"/>
              <w:jc w:val="left"/>
              <w:rPr/>
            </w:pPr>
            <w:r>
              <w:rPr/>
              <w:t> </w:t>
            </w:r>
          </w:p>
        </w:tc>
      </w:tr>
      <w:tr>
        <w:trPr/>
        <w:tc>
          <w:tcPr>
            <w:tcW w:w="77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June 30, 2026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5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December 31, 2025</w:t>
            </w:r>
          </w:p>
        </w:tc>
        <w:tc>
          <w:tcPr>
            <w:tcW w:w="75" w:type="dxa"/>
            <w:tcBorders/>
            <w:vAlign w:val="bottom"/>
          </w:tcPr>
          <w:p>
            <w:pPr>
              <w:pStyle w:val="TableContents"/>
              <w:bidi w:val="0"/>
              <w:spacing w:before="0" w:after="283"/>
              <w:jc w:val="left"/>
              <w:rPr/>
            </w:pPr>
            <w:r>
              <w:rPr/>
              <w:t> </w:t>
            </w:r>
          </w:p>
        </w:tc>
      </w:tr>
      <w:tr>
        <w:trPr/>
        <w:tc>
          <w:tcPr>
            <w:tcW w:w="7700" w:type="dxa"/>
            <w:tcBorders/>
            <w:vAlign w:val="bottom"/>
          </w:tcPr>
          <w:p>
            <w:pPr>
              <w:pStyle w:val="TableContents"/>
              <w:bidi w:val="0"/>
              <w:spacing w:before="0" w:after="0"/>
              <w:jc w:val="left"/>
              <w:rPr>
                <w:b/>
                <w:color w:val="000000"/>
              </w:rPr>
            </w:pPr>
            <w:r>
              <w:rPr>
                <w:b/>
                <w:color w:val="000000"/>
              </w:rPr>
              <w:t>ASSETS</w:t>
            </w:r>
          </w:p>
        </w:tc>
        <w:tc>
          <w:tcPr>
            <w:tcW w:w="60" w:type="dxa"/>
            <w:tcBorders/>
            <w:vAlign w:val="bottom"/>
          </w:tcPr>
          <w:p>
            <w:pPr>
              <w:pStyle w:val="TableContents"/>
              <w:bidi w:val="0"/>
              <w:spacing w:before="0" w:after="283"/>
              <w:jc w:val="left"/>
              <w:rPr/>
            </w:pPr>
            <w:r>
              <w:rPr/>
              <w:t> </w:t>
            </w:r>
          </w:p>
        </w:tc>
        <w:tc>
          <w:tcPr>
            <w:tcW w:w="11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55" w:type="dxa"/>
            <w:gridSpan w:val="2"/>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r>
      <w:tr>
        <w:trPr/>
        <w:tc>
          <w:tcPr>
            <w:tcW w:w="7700" w:type="dxa"/>
            <w:tcBorders/>
            <w:vAlign w:val="bottom"/>
          </w:tcPr>
          <w:p>
            <w:pPr>
              <w:pStyle w:val="TableContents"/>
              <w:bidi w:val="0"/>
              <w:spacing w:before="0" w:after="0"/>
              <w:jc w:val="left"/>
              <w:rPr>
                <w:b/>
                <w:color w:val="000000"/>
              </w:rPr>
            </w:pPr>
            <w:r>
              <w:rPr>
                <w:b/>
                <w:color w:val="000000"/>
              </w:rPr>
              <w:t>CURRENT ASSETS</w:t>
            </w:r>
          </w:p>
        </w:tc>
        <w:tc>
          <w:tcPr>
            <w:tcW w:w="60" w:type="dxa"/>
            <w:tcBorders/>
            <w:vAlign w:val="bottom"/>
          </w:tcPr>
          <w:p>
            <w:pPr>
              <w:pStyle w:val="TableContents"/>
              <w:bidi w:val="0"/>
              <w:spacing w:before="0" w:after="283"/>
              <w:jc w:val="left"/>
              <w:rPr/>
            </w:pPr>
            <w:r>
              <w:rPr/>
              <w:t> </w:t>
            </w:r>
          </w:p>
        </w:tc>
        <w:tc>
          <w:tcPr>
            <w:tcW w:w="11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55" w:type="dxa"/>
            <w:gridSpan w:val="2"/>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r>
      <w:tr>
        <w:trPr/>
        <w:tc>
          <w:tcPr>
            <w:tcW w:w="7700" w:type="dxa"/>
            <w:tcBorders/>
            <w:shd w:fill="CCEEFF" w:val="clear"/>
            <w:vAlign w:val="bottom"/>
          </w:tcPr>
          <w:p>
            <w:pPr>
              <w:pStyle w:val="TableContents"/>
              <w:bidi w:val="0"/>
              <w:spacing w:before="0" w:after="0"/>
              <w:jc w:val="left"/>
              <w:rPr>
                <w:color w:val="000000"/>
              </w:rPr>
            </w:pPr>
            <w:r>
              <w:rPr>
                <w:color w:val="000000"/>
              </w:rPr>
              <w:t>Cash and cash equivalents</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980" w:type="dxa"/>
            <w:tcBorders/>
            <w:shd w:fill="CCEEFF" w:val="clear"/>
            <w:vAlign w:val="bottom"/>
          </w:tcPr>
          <w:p>
            <w:pPr>
              <w:pStyle w:val="TableContents"/>
              <w:bidi w:val="0"/>
              <w:spacing w:before="0" w:after="0"/>
              <w:jc w:val="right"/>
              <w:rPr>
                <w:color w:val="000000"/>
              </w:rPr>
            </w:pPr>
            <w:r>
              <w:rPr>
                <w:color w:val="000000"/>
              </w:rPr>
              <w:t>388,599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0"/>
              <w:jc w:val="left"/>
              <w:rPr>
                <w:color w:val="000000"/>
              </w:rPr>
            </w:pPr>
            <w:r>
              <w:rPr>
                <w:color w:val="000000"/>
              </w:rPr>
              <w:t>$</w:t>
            </w:r>
          </w:p>
        </w:tc>
        <w:tc>
          <w:tcPr>
            <w:tcW w:w="1711" w:type="dxa"/>
            <w:tcBorders/>
            <w:shd w:fill="CCEEFF" w:val="clear"/>
            <w:vAlign w:val="bottom"/>
          </w:tcPr>
          <w:p>
            <w:pPr>
              <w:pStyle w:val="TableContents"/>
              <w:bidi w:val="0"/>
              <w:spacing w:before="0" w:after="0"/>
              <w:jc w:val="right"/>
              <w:rPr>
                <w:color w:val="000000"/>
              </w:rPr>
            </w:pPr>
            <w:r>
              <w:rPr>
                <w:color w:val="000000"/>
              </w:rPr>
              <w:t>273,876</w:t>
            </w:r>
          </w:p>
        </w:tc>
        <w:tc>
          <w:tcPr>
            <w:tcW w:w="75" w:type="dxa"/>
            <w:tcBorders/>
            <w:shd w:fill="CCEEFF" w:val="clear"/>
            <w:vAlign w:val="bottom"/>
          </w:tcPr>
          <w:p>
            <w:pPr>
              <w:pStyle w:val="TableContents"/>
              <w:bidi w:val="0"/>
              <w:spacing w:before="0" w:after="283"/>
              <w:jc w:val="left"/>
              <w:rPr/>
            </w:pPr>
            <w:r>
              <w:rPr/>
              <w:t> </w:t>
            </w:r>
          </w:p>
        </w:tc>
      </w:tr>
      <w:tr>
        <w:trPr/>
        <w:tc>
          <w:tcPr>
            <w:tcW w:w="7700" w:type="dxa"/>
            <w:tcBorders/>
            <w:vAlign w:val="bottom"/>
          </w:tcPr>
          <w:p>
            <w:pPr>
              <w:pStyle w:val="TableContents"/>
              <w:bidi w:val="0"/>
              <w:spacing w:before="0" w:after="0"/>
              <w:jc w:val="left"/>
              <w:rPr>
                <w:color w:val="000000"/>
              </w:rPr>
            </w:pPr>
            <w:r>
              <w:rPr>
                <w:color w:val="000000"/>
              </w:rPr>
              <w:t>Time deposits</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color w:val="000000"/>
              </w:rPr>
            </w:pPr>
            <w:r>
              <w:rPr>
                <w:color w:val="000000"/>
              </w:rPr>
              <w:t>110,450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1711" w:type="dxa"/>
            <w:tcBorders/>
            <w:vAlign w:val="bottom"/>
          </w:tcPr>
          <w:p>
            <w:pPr>
              <w:pStyle w:val="TableContents"/>
              <w:bidi w:val="0"/>
              <w:spacing w:before="0" w:after="0"/>
              <w:jc w:val="right"/>
              <w:rPr>
                <w:color w:val="000000"/>
              </w:rPr>
            </w:pPr>
            <w:r>
              <w:rPr>
                <w:color w:val="000000"/>
              </w:rPr>
              <w:t>199,100</w:t>
            </w:r>
          </w:p>
        </w:tc>
        <w:tc>
          <w:tcPr>
            <w:tcW w:w="75" w:type="dxa"/>
            <w:tcBorders/>
            <w:vAlign w:val="bottom"/>
          </w:tcPr>
          <w:p>
            <w:pPr>
              <w:pStyle w:val="TableContents"/>
              <w:bidi w:val="0"/>
              <w:spacing w:before="0" w:after="283"/>
              <w:jc w:val="left"/>
              <w:rPr/>
            </w:pPr>
            <w:r>
              <w:rPr/>
              <w:t> </w:t>
            </w:r>
          </w:p>
        </w:tc>
      </w:tr>
      <w:tr>
        <w:trPr/>
        <w:tc>
          <w:tcPr>
            <w:tcW w:w="7700" w:type="dxa"/>
            <w:tcBorders/>
            <w:shd w:fill="CCEEFF" w:val="clear"/>
            <w:vAlign w:val="bottom"/>
          </w:tcPr>
          <w:p>
            <w:pPr>
              <w:pStyle w:val="TableContents"/>
              <w:bidi w:val="0"/>
              <w:spacing w:before="0" w:after="0"/>
              <w:jc w:val="left"/>
              <w:rPr>
                <w:color w:val="000000"/>
              </w:rPr>
            </w:pPr>
            <w:r>
              <w:rPr>
                <w:color w:val="000000"/>
              </w:rPr>
              <w:t>Restricted cash</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color w:val="000000"/>
              </w:rPr>
            </w:pPr>
            <w:r>
              <w:rPr>
                <w:color w:val="000000"/>
              </w:rPr>
              <w:t>51,326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1711" w:type="dxa"/>
            <w:tcBorders/>
            <w:shd w:fill="CCEEFF" w:val="clear"/>
            <w:vAlign w:val="bottom"/>
          </w:tcPr>
          <w:p>
            <w:pPr>
              <w:pStyle w:val="TableContents"/>
              <w:bidi w:val="0"/>
              <w:spacing w:before="0" w:after="0"/>
              <w:jc w:val="right"/>
              <w:rPr>
                <w:color w:val="000000"/>
              </w:rPr>
            </w:pPr>
            <w:r>
              <w:rPr>
                <w:color w:val="000000"/>
              </w:rPr>
              <w:t>50,520</w:t>
            </w:r>
          </w:p>
        </w:tc>
        <w:tc>
          <w:tcPr>
            <w:tcW w:w="75" w:type="dxa"/>
            <w:tcBorders/>
            <w:shd w:fill="CCEEFF" w:val="clear"/>
            <w:vAlign w:val="bottom"/>
          </w:tcPr>
          <w:p>
            <w:pPr>
              <w:pStyle w:val="TableContents"/>
              <w:bidi w:val="0"/>
              <w:spacing w:before="0" w:after="283"/>
              <w:jc w:val="left"/>
              <w:rPr/>
            </w:pPr>
            <w:r>
              <w:rPr/>
              <w:t> </w:t>
            </w:r>
          </w:p>
        </w:tc>
      </w:tr>
      <w:tr>
        <w:trPr/>
        <w:tc>
          <w:tcPr>
            <w:tcW w:w="7700" w:type="dxa"/>
            <w:tcBorders/>
            <w:vAlign w:val="bottom"/>
          </w:tcPr>
          <w:p>
            <w:pPr>
              <w:pStyle w:val="TableContents"/>
              <w:bidi w:val="0"/>
              <w:spacing w:before="0" w:after="0"/>
              <w:jc w:val="left"/>
              <w:rPr>
                <w:color w:val="000000"/>
              </w:rPr>
            </w:pPr>
            <w:r>
              <w:rPr>
                <w:color w:val="000000"/>
              </w:rPr>
              <w:t>Accounts receivable, net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pPr>
            <w:r>
              <w:rPr/>
              <w:t>50,500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1711" w:type="dxa"/>
            <w:tcBorders/>
            <w:vAlign w:val="bottom"/>
          </w:tcPr>
          <w:p>
            <w:pPr>
              <w:pStyle w:val="TableContents"/>
              <w:bidi w:val="0"/>
              <w:spacing w:before="0" w:after="0"/>
              <w:jc w:val="right"/>
              <w:rPr/>
            </w:pPr>
            <w:r>
              <w:rPr/>
              <w:t>49,887</w:t>
            </w:r>
          </w:p>
        </w:tc>
        <w:tc>
          <w:tcPr>
            <w:tcW w:w="75" w:type="dxa"/>
            <w:tcBorders/>
            <w:vAlign w:val="bottom"/>
          </w:tcPr>
          <w:p>
            <w:pPr>
              <w:pStyle w:val="TableContents"/>
              <w:bidi w:val="0"/>
              <w:spacing w:before="0" w:after="283"/>
              <w:jc w:val="left"/>
              <w:rPr/>
            </w:pPr>
            <w:r>
              <w:rPr/>
              <w:t> </w:t>
            </w:r>
          </w:p>
        </w:tc>
      </w:tr>
      <w:tr>
        <w:trPr/>
        <w:tc>
          <w:tcPr>
            <w:tcW w:w="7700" w:type="dxa"/>
            <w:tcBorders/>
            <w:shd w:fill="CCEEFF" w:val="clear"/>
            <w:vAlign w:val="bottom"/>
          </w:tcPr>
          <w:p>
            <w:pPr>
              <w:pStyle w:val="TableContents"/>
              <w:bidi w:val="0"/>
              <w:spacing w:before="0" w:after="0"/>
              <w:jc w:val="left"/>
              <w:rPr>
                <w:color w:val="000000"/>
              </w:rPr>
            </w:pPr>
            <w:r>
              <w:rPr>
                <w:color w:val="000000"/>
              </w:rPr>
              <w:t>Inventories</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color w:val="000000"/>
              </w:rPr>
            </w:pPr>
            <w:r>
              <w:rPr>
                <w:color w:val="000000"/>
              </w:rPr>
              <w:t>22,357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1711" w:type="dxa"/>
            <w:tcBorders/>
            <w:shd w:fill="CCEEFF" w:val="clear"/>
            <w:vAlign w:val="bottom"/>
          </w:tcPr>
          <w:p>
            <w:pPr>
              <w:pStyle w:val="TableContents"/>
              <w:bidi w:val="0"/>
              <w:spacing w:before="0" w:after="0"/>
              <w:jc w:val="right"/>
              <w:rPr>
                <w:color w:val="000000"/>
              </w:rPr>
            </w:pPr>
            <w:r>
              <w:rPr>
                <w:color w:val="000000"/>
              </w:rPr>
              <w:t>14,600</w:t>
            </w:r>
          </w:p>
        </w:tc>
        <w:tc>
          <w:tcPr>
            <w:tcW w:w="75" w:type="dxa"/>
            <w:tcBorders/>
            <w:shd w:fill="CCEEFF" w:val="clear"/>
            <w:vAlign w:val="bottom"/>
          </w:tcPr>
          <w:p>
            <w:pPr>
              <w:pStyle w:val="TableContents"/>
              <w:bidi w:val="0"/>
              <w:spacing w:before="0" w:after="283"/>
              <w:jc w:val="left"/>
              <w:rPr/>
            </w:pPr>
            <w:r>
              <w:rPr/>
              <w:t> </w:t>
            </w:r>
          </w:p>
        </w:tc>
      </w:tr>
      <w:tr>
        <w:trPr/>
        <w:tc>
          <w:tcPr>
            <w:tcW w:w="7700" w:type="dxa"/>
            <w:tcBorders/>
            <w:vAlign w:val="bottom"/>
          </w:tcPr>
          <w:p>
            <w:pPr>
              <w:pStyle w:val="TableContents"/>
              <w:bidi w:val="0"/>
              <w:spacing w:before="0" w:after="0"/>
              <w:jc w:val="left"/>
              <w:rPr>
                <w:color w:val="000000"/>
              </w:rPr>
            </w:pPr>
            <w:r>
              <w:rPr>
                <w:color w:val="000000"/>
              </w:rPr>
              <w:t>Prepaid expenses and other current assets</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pPr>
            <w:r>
              <w:rPr/>
              <w:t>20,483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1711" w:type="dxa"/>
            <w:tcBorders/>
            <w:vAlign w:val="bottom"/>
          </w:tcPr>
          <w:p>
            <w:pPr>
              <w:pStyle w:val="TableContents"/>
              <w:bidi w:val="0"/>
              <w:spacing w:before="0" w:after="0"/>
              <w:jc w:val="right"/>
              <w:rPr/>
            </w:pPr>
            <w:r>
              <w:rPr/>
              <w:t>33,623</w:t>
            </w:r>
          </w:p>
        </w:tc>
        <w:tc>
          <w:tcPr>
            <w:tcW w:w="75" w:type="dxa"/>
            <w:tcBorders/>
            <w:vAlign w:val="bottom"/>
          </w:tcPr>
          <w:p>
            <w:pPr>
              <w:pStyle w:val="TableContents"/>
              <w:bidi w:val="0"/>
              <w:spacing w:before="0" w:after="283"/>
              <w:jc w:val="left"/>
              <w:rPr/>
            </w:pPr>
            <w:r>
              <w:rPr/>
              <w:t> </w:t>
            </w:r>
          </w:p>
        </w:tc>
      </w:tr>
      <w:tr>
        <w:trPr/>
        <w:tc>
          <w:tcPr>
            <w:tcW w:w="7700" w:type="dxa"/>
            <w:tcBorders/>
            <w:shd w:fill="CCEEFF" w:val="clear"/>
            <w:vAlign w:val="bottom"/>
          </w:tcPr>
          <w:p>
            <w:pPr>
              <w:pStyle w:val="TableContents"/>
              <w:bidi w:val="0"/>
              <w:spacing w:before="0" w:after="0"/>
              <w:jc w:val="left"/>
              <w:rPr>
                <w:color w:val="000000"/>
              </w:rPr>
            </w:pPr>
            <w:r>
              <w:rPr>
                <w:color w:val="000000"/>
              </w:rPr>
              <w:t>Derivative assets and other financial instruments</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pPr>
            <w:r>
              <w:rPr/>
              <w:t>22,954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1711" w:type="dxa"/>
            <w:tcBorders/>
            <w:shd w:fill="CCEEFF" w:val="clear"/>
            <w:vAlign w:val="bottom"/>
          </w:tcPr>
          <w:p>
            <w:pPr>
              <w:pStyle w:val="TableContents"/>
              <w:bidi w:val="0"/>
              <w:spacing w:before="0" w:after="0"/>
              <w:jc w:val="right"/>
              <w:rPr/>
            </w:pPr>
            <w:r>
              <w:rPr/>
              <w:t>5,234</w:t>
            </w:r>
          </w:p>
        </w:tc>
        <w:tc>
          <w:tcPr>
            <w:tcW w:w="75" w:type="dxa"/>
            <w:tcBorders/>
            <w:shd w:fill="CCEEFF" w:val="clear"/>
            <w:vAlign w:val="bottom"/>
          </w:tcPr>
          <w:p>
            <w:pPr>
              <w:pStyle w:val="TableContents"/>
              <w:bidi w:val="0"/>
              <w:spacing w:before="0" w:after="283"/>
              <w:jc w:val="left"/>
              <w:rPr/>
            </w:pPr>
            <w:r>
              <w:rPr/>
              <w:t> </w:t>
            </w:r>
          </w:p>
        </w:tc>
      </w:tr>
      <w:tr>
        <w:trPr/>
        <w:tc>
          <w:tcPr>
            <w:tcW w:w="7700" w:type="dxa"/>
            <w:tcBorders/>
            <w:vAlign w:val="bottom"/>
          </w:tcPr>
          <w:p>
            <w:pPr>
              <w:pStyle w:val="TableContents"/>
              <w:bidi w:val="0"/>
              <w:spacing w:before="0" w:after="0"/>
              <w:jc w:val="left"/>
              <w:rPr>
                <w:color w:val="000000"/>
              </w:rPr>
            </w:pPr>
            <w:r>
              <w:rPr>
                <w:color w:val="000000"/>
              </w:rPr>
              <w:t>Due from related parties</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1,309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4" w:type="dxa"/>
            <w:tcBorders>
              <w:bottom w:val="single" w:sz="12" w:space="0" w:color="000000"/>
            </w:tcBorders>
            <w:tcMar>
              <w:bottom w:w="28" w:type="dxa"/>
            </w:tcMar>
            <w:vAlign w:val="bottom"/>
          </w:tcPr>
          <w:p>
            <w:pPr>
              <w:pStyle w:val="TableContents"/>
              <w:bidi w:val="0"/>
              <w:spacing w:before="0" w:after="283"/>
              <w:jc w:val="left"/>
              <w:rPr/>
            </w:pPr>
            <w:r>
              <w:rPr/>
              <w:t> </w:t>
            </w:r>
          </w:p>
        </w:tc>
        <w:tc>
          <w:tcPr>
            <w:tcW w:w="1711"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148</w:t>
            </w:r>
          </w:p>
        </w:tc>
        <w:tc>
          <w:tcPr>
            <w:tcW w:w="75" w:type="dxa"/>
            <w:tcBorders/>
            <w:vAlign w:val="bottom"/>
          </w:tcPr>
          <w:p>
            <w:pPr>
              <w:pStyle w:val="TableContents"/>
              <w:bidi w:val="0"/>
              <w:spacing w:before="0" w:after="283"/>
              <w:jc w:val="left"/>
              <w:rPr/>
            </w:pPr>
            <w:r>
              <w:rPr/>
              <w:t> </w:t>
            </w:r>
          </w:p>
        </w:tc>
      </w:tr>
      <w:tr>
        <w:trPr/>
        <w:tc>
          <w:tcPr>
            <w:tcW w:w="7700" w:type="dxa"/>
            <w:tcBorders/>
            <w:shd w:fill="CCEEFF" w:val="clear"/>
            <w:vAlign w:val="bottom"/>
          </w:tcPr>
          <w:p>
            <w:pPr>
              <w:pStyle w:val="TableContents"/>
              <w:bidi w:val="0"/>
              <w:spacing w:before="0" w:after="0"/>
              <w:jc w:val="left"/>
              <w:rPr>
                <w:b/>
                <w:color w:val="000000"/>
              </w:rPr>
            </w:pPr>
            <w:r>
              <w:rPr>
                <w:b/>
                <w:color w:val="000000"/>
              </w:rPr>
              <w:t>Total current assets</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0"/>
              <w:jc w:val="left"/>
              <w:rPr>
                <w:b/>
                <w:color w:val="000000"/>
              </w:rPr>
            </w:pPr>
            <w:r>
              <w:rPr>
                <w:b/>
                <w:color w:val="000000"/>
              </w:rPr>
              <w:t>$</w:t>
            </w:r>
          </w:p>
        </w:tc>
        <w:tc>
          <w:tcPr>
            <w:tcW w:w="980" w:type="dxa"/>
            <w:tcBorders>
              <w:bottom w:val="single" w:sz="12" w:space="0" w:color="000000"/>
            </w:tcBorders>
            <w:shd w:fill="CCEEFF" w:val="clear"/>
            <w:tcMar>
              <w:bottom w:w="28" w:type="dxa"/>
            </w:tcMar>
            <w:vAlign w:val="bottom"/>
          </w:tcPr>
          <w:p>
            <w:pPr>
              <w:pStyle w:val="TableContents"/>
              <w:bidi w:val="0"/>
              <w:spacing w:before="0" w:after="0"/>
              <w:jc w:val="right"/>
              <w:rPr>
                <w:b/>
                <w:color w:val="000000"/>
              </w:rPr>
            </w:pPr>
            <w:r>
              <w:rPr>
                <w:b/>
                <w:color w:val="000000"/>
              </w:rPr>
              <w:t>667,978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4" w:type="dxa"/>
            <w:tcBorders>
              <w:bottom w:val="single" w:sz="12" w:space="0" w:color="000000"/>
            </w:tcBorders>
            <w:shd w:fill="CCEEFF" w:val="clear"/>
            <w:tcMar>
              <w:bottom w:w="28" w:type="dxa"/>
            </w:tcMar>
            <w:vAlign w:val="bottom"/>
          </w:tcPr>
          <w:p>
            <w:pPr>
              <w:pStyle w:val="TableContents"/>
              <w:bidi w:val="0"/>
              <w:spacing w:before="0" w:after="0"/>
              <w:jc w:val="left"/>
              <w:rPr>
                <w:b/>
                <w:color w:val="000000"/>
              </w:rPr>
            </w:pPr>
            <w:r>
              <w:rPr>
                <w:b/>
                <w:color w:val="000000"/>
              </w:rPr>
              <w:t>$</w:t>
            </w:r>
          </w:p>
        </w:tc>
        <w:tc>
          <w:tcPr>
            <w:tcW w:w="1711" w:type="dxa"/>
            <w:tcBorders>
              <w:bottom w:val="single" w:sz="12" w:space="0" w:color="000000"/>
            </w:tcBorders>
            <w:shd w:fill="CCEEFF" w:val="clear"/>
            <w:tcMar>
              <w:bottom w:w="28" w:type="dxa"/>
            </w:tcMar>
            <w:vAlign w:val="bottom"/>
          </w:tcPr>
          <w:p>
            <w:pPr>
              <w:pStyle w:val="TableContents"/>
              <w:bidi w:val="0"/>
              <w:spacing w:before="0" w:after="0"/>
              <w:jc w:val="right"/>
              <w:rPr>
                <w:b/>
                <w:color w:val="000000"/>
              </w:rPr>
            </w:pPr>
            <w:r>
              <w:rPr>
                <w:b/>
                <w:color w:val="000000"/>
              </w:rPr>
              <w:t>626,988</w:t>
            </w:r>
          </w:p>
        </w:tc>
        <w:tc>
          <w:tcPr>
            <w:tcW w:w="75" w:type="dxa"/>
            <w:tcBorders/>
            <w:shd w:fill="CCEEFF" w:val="clear"/>
            <w:vAlign w:val="bottom"/>
          </w:tcPr>
          <w:p>
            <w:pPr>
              <w:pStyle w:val="TableContents"/>
              <w:bidi w:val="0"/>
              <w:spacing w:before="0" w:after="283"/>
              <w:jc w:val="left"/>
              <w:rPr/>
            </w:pPr>
            <w:r>
              <w:rPr/>
              <w:t> </w:t>
            </w:r>
          </w:p>
        </w:tc>
      </w:tr>
      <w:tr>
        <w:trPr/>
        <w:tc>
          <w:tcPr>
            <w:tcW w:w="7700" w:type="dxa"/>
            <w:tcBorders/>
            <w:vAlign w:val="bottom"/>
          </w:tcPr>
          <w:p>
            <w:pPr>
              <w:pStyle w:val="TableContents"/>
              <w:bidi w:val="0"/>
              <w:spacing w:before="0" w:after="0"/>
              <w:jc w:val="left"/>
              <w:rPr>
                <w:b/>
                <w:color w:val="000000"/>
              </w:rPr>
            </w:pPr>
            <w:r>
              <w:rPr>
                <w:b/>
                <w:color w:val="000000"/>
              </w:rPr>
              <w:t>NON - CURRENT ASSETS</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1711" w:type="dxa"/>
            <w:tcBorders/>
            <w:vAlign w:val="bottom"/>
          </w:tcPr>
          <w:p>
            <w:pPr>
              <w:pStyle w:val="TableContents"/>
              <w:bidi w:val="0"/>
              <w:spacing w:before="0" w:after="283"/>
              <w:jc w:val="right"/>
              <w:rPr/>
            </w:pPr>
            <w:r>
              <w:rPr/>
              <w:t> </w:t>
            </w:r>
          </w:p>
        </w:tc>
        <w:tc>
          <w:tcPr>
            <w:tcW w:w="75" w:type="dxa"/>
            <w:tcBorders/>
            <w:vAlign w:val="bottom"/>
          </w:tcPr>
          <w:p>
            <w:pPr>
              <w:pStyle w:val="TableContents"/>
              <w:bidi w:val="0"/>
              <w:spacing w:before="0" w:after="283"/>
              <w:jc w:val="left"/>
              <w:rPr/>
            </w:pPr>
            <w:r>
              <w:rPr/>
              <w:t> </w:t>
            </w:r>
          </w:p>
        </w:tc>
      </w:tr>
      <w:tr>
        <w:trPr/>
        <w:tc>
          <w:tcPr>
            <w:tcW w:w="7700" w:type="dxa"/>
            <w:tcBorders/>
            <w:shd w:fill="CCEEFF" w:val="clear"/>
            <w:vAlign w:val="bottom"/>
          </w:tcPr>
          <w:p>
            <w:pPr>
              <w:pStyle w:val="TableContents"/>
              <w:bidi w:val="0"/>
              <w:spacing w:before="0" w:after="0"/>
              <w:jc w:val="left"/>
              <w:rPr>
                <w:color w:val="000000"/>
              </w:rPr>
            </w:pPr>
            <w:r>
              <w:rPr>
                <w:color w:val="000000"/>
              </w:rPr>
              <w:t>Vessels in operation</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980" w:type="dxa"/>
            <w:tcBorders/>
            <w:shd w:fill="CCEEFF" w:val="clear"/>
            <w:vAlign w:val="bottom"/>
          </w:tcPr>
          <w:p>
            <w:pPr>
              <w:pStyle w:val="TableContents"/>
              <w:bidi w:val="0"/>
              <w:spacing w:before="0" w:after="0"/>
              <w:jc w:val="right"/>
              <w:rPr>
                <w:color w:val="000000"/>
              </w:rPr>
            </w:pPr>
            <w:r>
              <w:rPr>
                <w:color w:val="000000"/>
              </w:rPr>
              <w:t>1,966,440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w:t>
            </w:r>
          </w:p>
        </w:tc>
        <w:tc>
          <w:tcPr>
            <w:tcW w:w="1711" w:type="dxa"/>
            <w:tcBorders/>
            <w:shd w:fill="CCEEFF" w:val="clear"/>
            <w:vAlign w:val="bottom"/>
          </w:tcPr>
          <w:p>
            <w:pPr>
              <w:pStyle w:val="TableContents"/>
              <w:bidi w:val="0"/>
              <w:spacing w:before="0" w:after="0"/>
              <w:jc w:val="right"/>
              <w:rPr>
                <w:color w:val="000000"/>
              </w:rPr>
            </w:pPr>
            <w:r>
              <w:rPr>
                <w:color w:val="000000"/>
              </w:rPr>
              <w:t>1,962,888</w:t>
            </w:r>
          </w:p>
        </w:tc>
        <w:tc>
          <w:tcPr>
            <w:tcW w:w="75" w:type="dxa"/>
            <w:tcBorders/>
            <w:shd w:fill="CCEEFF" w:val="clear"/>
            <w:vAlign w:val="bottom"/>
          </w:tcPr>
          <w:p>
            <w:pPr>
              <w:pStyle w:val="TableContents"/>
              <w:bidi w:val="0"/>
              <w:spacing w:before="0" w:after="283"/>
              <w:jc w:val="left"/>
              <w:rPr/>
            </w:pPr>
            <w:r>
              <w:rPr/>
              <w:t> </w:t>
            </w:r>
          </w:p>
        </w:tc>
      </w:tr>
      <w:tr>
        <w:trPr/>
        <w:tc>
          <w:tcPr>
            <w:tcW w:w="7700" w:type="dxa"/>
            <w:tcBorders/>
            <w:vAlign w:val="bottom"/>
          </w:tcPr>
          <w:p>
            <w:pPr>
              <w:pStyle w:val="TableContents"/>
              <w:bidi w:val="0"/>
              <w:spacing w:before="0" w:after="0"/>
              <w:jc w:val="left"/>
              <w:rPr>
                <w:color w:val="000000"/>
              </w:rPr>
            </w:pPr>
            <w:r>
              <w:rPr>
                <w:color w:val="000000"/>
              </w:rPr>
              <w:t>Advances for vessels' acquisitions, vessels under construction and other additions</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color w:val="000000"/>
              </w:rPr>
            </w:pPr>
            <w:r>
              <w:rPr>
                <w:color w:val="000000"/>
              </w:rPr>
              <w:t>129,383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1711" w:type="dxa"/>
            <w:tcBorders/>
            <w:vAlign w:val="bottom"/>
          </w:tcPr>
          <w:p>
            <w:pPr>
              <w:pStyle w:val="TableContents"/>
              <w:bidi w:val="0"/>
              <w:spacing w:before="0" w:after="0"/>
              <w:jc w:val="right"/>
              <w:rPr>
                <w:color w:val="000000"/>
              </w:rPr>
            </w:pPr>
            <w:r>
              <w:rPr>
                <w:color w:val="000000"/>
              </w:rPr>
              <w:t>35,961</w:t>
            </w:r>
          </w:p>
        </w:tc>
        <w:tc>
          <w:tcPr>
            <w:tcW w:w="75" w:type="dxa"/>
            <w:tcBorders/>
            <w:vAlign w:val="bottom"/>
          </w:tcPr>
          <w:p>
            <w:pPr>
              <w:pStyle w:val="TableContents"/>
              <w:bidi w:val="0"/>
              <w:spacing w:before="0" w:after="283"/>
              <w:jc w:val="left"/>
              <w:rPr/>
            </w:pPr>
            <w:r>
              <w:rPr/>
              <w:t> </w:t>
            </w:r>
          </w:p>
        </w:tc>
      </w:tr>
      <w:tr>
        <w:trPr/>
        <w:tc>
          <w:tcPr>
            <w:tcW w:w="7700" w:type="dxa"/>
            <w:tcBorders/>
            <w:shd w:fill="CCEEFF" w:val="clear"/>
            <w:vAlign w:val="bottom"/>
          </w:tcPr>
          <w:p>
            <w:pPr>
              <w:pStyle w:val="TableContents"/>
              <w:bidi w:val="0"/>
              <w:spacing w:before="0" w:after="0"/>
              <w:jc w:val="left"/>
              <w:rPr>
                <w:color w:val="000000"/>
              </w:rPr>
            </w:pPr>
            <w:r>
              <w:rPr>
                <w:color w:val="000000"/>
              </w:rPr>
              <w:t>Deferred dry dock and special survey costs, net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color w:val="000000"/>
              </w:rPr>
            </w:pPr>
            <w:r>
              <w:rPr>
                <w:color w:val="000000"/>
              </w:rPr>
              <w:t>111,766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1711" w:type="dxa"/>
            <w:tcBorders/>
            <w:shd w:fill="CCEEFF" w:val="clear"/>
            <w:vAlign w:val="bottom"/>
          </w:tcPr>
          <w:p>
            <w:pPr>
              <w:pStyle w:val="TableContents"/>
              <w:bidi w:val="0"/>
              <w:spacing w:before="0" w:after="0"/>
              <w:jc w:val="right"/>
              <w:rPr>
                <w:color w:val="000000"/>
              </w:rPr>
            </w:pPr>
            <w:r>
              <w:rPr>
                <w:color w:val="000000"/>
              </w:rPr>
              <w:t>110,936</w:t>
            </w:r>
          </w:p>
        </w:tc>
        <w:tc>
          <w:tcPr>
            <w:tcW w:w="75" w:type="dxa"/>
            <w:tcBorders/>
            <w:shd w:fill="CCEEFF" w:val="clear"/>
            <w:vAlign w:val="bottom"/>
          </w:tcPr>
          <w:p>
            <w:pPr>
              <w:pStyle w:val="TableContents"/>
              <w:bidi w:val="0"/>
              <w:spacing w:before="0" w:after="283"/>
              <w:jc w:val="left"/>
              <w:rPr/>
            </w:pPr>
            <w:r>
              <w:rPr/>
              <w:t> </w:t>
            </w:r>
          </w:p>
        </w:tc>
      </w:tr>
      <w:tr>
        <w:trPr/>
        <w:tc>
          <w:tcPr>
            <w:tcW w:w="7700" w:type="dxa"/>
            <w:tcBorders/>
            <w:vAlign w:val="bottom"/>
          </w:tcPr>
          <w:p>
            <w:pPr>
              <w:pStyle w:val="TableContents"/>
              <w:bidi w:val="0"/>
              <w:spacing w:before="0" w:after="0"/>
              <w:jc w:val="left"/>
              <w:rPr>
                <w:color w:val="000000"/>
              </w:rPr>
            </w:pPr>
            <w:r>
              <w:rPr>
                <w:color w:val="000000"/>
              </w:rPr>
              <w:t>Other non - current assets</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color w:val="000000"/>
              </w:rPr>
            </w:pPr>
            <w:r>
              <w:rPr>
                <w:color w:val="000000"/>
              </w:rPr>
              <w:t>8,565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1711" w:type="dxa"/>
            <w:tcBorders/>
            <w:vAlign w:val="bottom"/>
          </w:tcPr>
          <w:p>
            <w:pPr>
              <w:pStyle w:val="TableContents"/>
              <w:bidi w:val="0"/>
              <w:spacing w:before="0" w:after="0"/>
              <w:jc w:val="right"/>
              <w:rPr>
                <w:color w:val="000000"/>
              </w:rPr>
            </w:pPr>
            <w:r>
              <w:rPr>
                <w:color w:val="000000"/>
              </w:rPr>
              <w:t>10,830</w:t>
            </w:r>
          </w:p>
        </w:tc>
        <w:tc>
          <w:tcPr>
            <w:tcW w:w="75" w:type="dxa"/>
            <w:tcBorders/>
            <w:vAlign w:val="bottom"/>
          </w:tcPr>
          <w:p>
            <w:pPr>
              <w:pStyle w:val="TableContents"/>
              <w:bidi w:val="0"/>
              <w:spacing w:before="0" w:after="283"/>
              <w:jc w:val="left"/>
              <w:rPr/>
            </w:pPr>
            <w:r>
              <w:rPr/>
              <w:t> </w:t>
            </w:r>
          </w:p>
        </w:tc>
      </w:tr>
      <w:tr>
        <w:trPr/>
        <w:tc>
          <w:tcPr>
            <w:tcW w:w="7700" w:type="dxa"/>
            <w:tcBorders/>
            <w:shd w:fill="CCEEFF" w:val="clear"/>
            <w:vAlign w:val="bottom"/>
          </w:tcPr>
          <w:p>
            <w:pPr>
              <w:pStyle w:val="TableContents"/>
              <w:bidi w:val="0"/>
              <w:spacing w:before="0" w:after="0"/>
              <w:jc w:val="left"/>
              <w:rPr>
                <w:color w:val="000000"/>
              </w:rPr>
            </w:pPr>
            <w:r>
              <w:rPr>
                <w:color w:val="000000"/>
              </w:rPr>
              <w:t>Restricted cash and other instruments, net of current portion</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98,664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711"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113,600</w:t>
            </w:r>
          </w:p>
        </w:tc>
        <w:tc>
          <w:tcPr>
            <w:tcW w:w="75" w:type="dxa"/>
            <w:tcBorders/>
            <w:shd w:fill="CCEEFF" w:val="clear"/>
            <w:vAlign w:val="bottom"/>
          </w:tcPr>
          <w:p>
            <w:pPr>
              <w:pStyle w:val="TableContents"/>
              <w:bidi w:val="0"/>
              <w:spacing w:before="0" w:after="283"/>
              <w:jc w:val="left"/>
              <w:rPr/>
            </w:pPr>
            <w:r>
              <w:rPr/>
              <w:t> </w:t>
            </w:r>
          </w:p>
        </w:tc>
      </w:tr>
      <w:tr>
        <w:trPr/>
        <w:tc>
          <w:tcPr>
            <w:tcW w:w="7700" w:type="dxa"/>
            <w:tcBorders/>
            <w:vAlign w:val="bottom"/>
          </w:tcPr>
          <w:p>
            <w:pPr>
              <w:pStyle w:val="TableContents"/>
              <w:bidi w:val="0"/>
              <w:spacing w:before="0" w:after="0"/>
              <w:jc w:val="left"/>
              <w:rPr>
                <w:b/>
                <w:color w:val="000000"/>
              </w:rPr>
            </w:pPr>
            <w:r>
              <w:rPr>
                <w:b/>
                <w:color w:val="000000"/>
              </w:rPr>
              <w:t>Total non - current assets</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tcMar>
              <w:bottom w:w="28" w:type="dxa"/>
            </w:tcMar>
            <w:vAlign w:val="bottom"/>
          </w:tcPr>
          <w:p>
            <w:pPr>
              <w:pStyle w:val="TableContents"/>
              <w:bidi w:val="0"/>
              <w:spacing w:before="0" w:after="0"/>
              <w:jc w:val="right"/>
              <w:rPr>
                <w:b/>
                <w:color w:val="000000"/>
              </w:rPr>
            </w:pPr>
            <w:r>
              <w:rPr>
                <w:b/>
                <w:color w:val="000000"/>
              </w:rPr>
              <w:t>2,314,818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4" w:type="dxa"/>
            <w:tcBorders>
              <w:bottom w:val="single" w:sz="12" w:space="0" w:color="000000"/>
            </w:tcBorders>
            <w:tcMar>
              <w:bottom w:w="28" w:type="dxa"/>
            </w:tcMar>
            <w:vAlign w:val="bottom"/>
          </w:tcPr>
          <w:p>
            <w:pPr>
              <w:pStyle w:val="TableContents"/>
              <w:bidi w:val="0"/>
              <w:spacing w:before="0" w:after="283"/>
              <w:jc w:val="left"/>
              <w:rPr/>
            </w:pPr>
            <w:r>
              <w:rPr/>
              <w:t> </w:t>
            </w:r>
          </w:p>
        </w:tc>
        <w:tc>
          <w:tcPr>
            <w:tcW w:w="1711" w:type="dxa"/>
            <w:tcBorders>
              <w:bottom w:val="single" w:sz="12" w:space="0" w:color="000000"/>
            </w:tcBorders>
            <w:tcMar>
              <w:bottom w:w="28" w:type="dxa"/>
            </w:tcMar>
            <w:vAlign w:val="bottom"/>
          </w:tcPr>
          <w:p>
            <w:pPr>
              <w:pStyle w:val="TableContents"/>
              <w:bidi w:val="0"/>
              <w:spacing w:before="0" w:after="0"/>
              <w:jc w:val="right"/>
              <w:rPr>
                <w:b/>
                <w:color w:val="000000"/>
              </w:rPr>
            </w:pPr>
            <w:r>
              <w:rPr>
                <w:b/>
                <w:color w:val="000000"/>
              </w:rPr>
              <w:t>2,234,215</w:t>
            </w:r>
          </w:p>
        </w:tc>
        <w:tc>
          <w:tcPr>
            <w:tcW w:w="75" w:type="dxa"/>
            <w:tcBorders/>
            <w:vAlign w:val="bottom"/>
          </w:tcPr>
          <w:p>
            <w:pPr>
              <w:pStyle w:val="TableContents"/>
              <w:bidi w:val="0"/>
              <w:spacing w:before="0" w:after="283"/>
              <w:jc w:val="left"/>
              <w:rPr/>
            </w:pPr>
            <w:r>
              <w:rPr/>
              <w:t> </w:t>
            </w:r>
          </w:p>
        </w:tc>
      </w:tr>
      <w:tr>
        <w:trPr/>
        <w:tc>
          <w:tcPr>
            <w:tcW w:w="7700" w:type="dxa"/>
            <w:tcBorders/>
            <w:shd w:fill="CCEEFF" w:val="clear"/>
            <w:vAlign w:val="bottom"/>
          </w:tcPr>
          <w:p>
            <w:pPr>
              <w:pStyle w:val="TableContents"/>
              <w:bidi w:val="0"/>
              <w:spacing w:before="0" w:after="0"/>
              <w:jc w:val="left"/>
              <w:rPr>
                <w:b/>
                <w:color w:val="000000"/>
              </w:rPr>
            </w:pPr>
            <w:r>
              <w:rPr>
                <w:b/>
                <w:color w:val="000000"/>
              </w:rPr>
              <w:t>TOTAL ASSETS</w:t>
            </w:r>
          </w:p>
        </w:tc>
        <w:tc>
          <w:tcPr>
            <w:tcW w:w="60" w:type="dxa"/>
            <w:tcBorders/>
            <w:shd w:fill="CCEEFF" w:val="clear"/>
            <w:vAlign w:val="bottom"/>
          </w:tcPr>
          <w:p>
            <w:pPr>
              <w:pStyle w:val="TableContents"/>
              <w:bidi w:val="0"/>
              <w:spacing w:before="0" w:after="283"/>
              <w:jc w:val="lef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b/>
                <w:color w:val="000000"/>
              </w:rPr>
            </w:pPr>
            <w:r>
              <w:rPr>
                <w:b/>
                <w:color w:val="000000"/>
              </w:rPr>
              <w:t>$</w:t>
            </w:r>
          </w:p>
        </w:tc>
        <w:tc>
          <w:tcPr>
            <w:tcW w:w="980" w:type="dxa"/>
            <w:tcBorders>
              <w:bottom w:val="double" w:sz="8" w:space="0" w:color="000000"/>
            </w:tcBorders>
            <w:shd w:fill="CCEEFF" w:val="clear"/>
            <w:tcMar>
              <w:bottom w:w="28" w:type="dxa"/>
            </w:tcMar>
            <w:vAlign w:val="bottom"/>
          </w:tcPr>
          <w:p>
            <w:pPr>
              <w:pStyle w:val="TableContents"/>
              <w:bidi w:val="0"/>
              <w:spacing w:before="0" w:after="0"/>
              <w:jc w:val="right"/>
              <w:rPr>
                <w:b/>
                <w:color w:val="000000"/>
              </w:rPr>
            </w:pPr>
            <w:r>
              <w:rPr>
                <w:b/>
                <w:color w:val="000000"/>
              </w:rPr>
              <w:t>2,982,796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4" w:type="dxa"/>
            <w:tcBorders>
              <w:bottom w:val="double" w:sz="8" w:space="0" w:color="000000"/>
            </w:tcBorders>
            <w:shd w:fill="CCEEFF" w:val="clear"/>
            <w:tcMar>
              <w:bottom w:w="28" w:type="dxa"/>
            </w:tcMar>
            <w:vAlign w:val="bottom"/>
          </w:tcPr>
          <w:p>
            <w:pPr>
              <w:pStyle w:val="TableContents"/>
              <w:bidi w:val="0"/>
              <w:spacing w:before="0" w:after="0"/>
              <w:jc w:val="left"/>
              <w:rPr>
                <w:b/>
                <w:color w:val="000000"/>
              </w:rPr>
            </w:pPr>
            <w:r>
              <w:rPr>
                <w:b/>
                <w:color w:val="000000"/>
              </w:rPr>
              <w:t>$</w:t>
            </w:r>
          </w:p>
        </w:tc>
        <w:tc>
          <w:tcPr>
            <w:tcW w:w="1711" w:type="dxa"/>
            <w:tcBorders>
              <w:bottom w:val="double" w:sz="8" w:space="0" w:color="000000"/>
            </w:tcBorders>
            <w:shd w:fill="CCEEFF" w:val="clear"/>
            <w:tcMar>
              <w:bottom w:w="28" w:type="dxa"/>
            </w:tcMar>
            <w:vAlign w:val="bottom"/>
          </w:tcPr>
          <w:p>
            <w:pPr>
              <w:pStyle w:val="TableContents"/>
              <w:bidi w:val="0"/>
              <w:spacing w:before="0" w:after="0"/>
              <w:jc w:val="right"/>
              <w:rPr>
                <w:b/>
                <w:color w:val="000000"/>
              </w:rPr>
            </w:pPr>
            <w:r>
              <w:rPr>
                <w:b/>
                <w:color w:val="000000"/>
              </w:rPr>
              <w:t>2,861,203</w:t>
            </w:r>
          </w:p>
        </w:tc>
        <w:tc>
          <w:tcPr>
            <w:tcW w:w="75" w:type="dxa"/>
            <w:tcBorders/>
            <w:shd w:fill="CCEEFF" w:val="clear"/>
            <w:vAlign w:val="bottom"/>
          </w:tcPr>
          <w:p>
            <w:pPr>
              <w:pStyle w:val="TableContents"/>
              <w:bidi w:val="0"/>
              <w:spacing w:before="0" w:after="283"/>
              <w:jc w:val="left"/>
              <w:rPr/>
            </w:pPr>
            <w:r>
              <w:rPr/>
              <w:t> </w:t>
            </w:r>
          </w:p>
        </w:tc>
      </w:tr>
      <w:tr>
        <w:trPr/>
        <w:tc>
          <w:tcPr>
            <w:tcW w:w="7700" w:type="dxa"/>
            <w:tcBorders/>
            <w:vAlign w:val="bottom"/>
          </w:tcPr>
          <w:p>
            <w:pPr>
              <w:pStyle w:val="TableContents"/>
              <w:bidi w:val="0"/>
              <w:spacing w:before="0" w:after="0"/>
              <w:jc w:val="left"/>
              <w:rPr>
                <w:b/>
                <w:color w:val="000000"/>
              </w:rPr>
            </w:pPr>
            <w:r>
              <w:rPr>
                <w:b/>
                <w:color w:val="000000"/>
              </w:rPr>
              <w:t>LIABILITIES AND SHAREHOLDERS' EQUITY</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1711" w:type="dxa"/>
            <w:tcBorders/>
            <w:vAlign w:val="bottom"/>
          </w:tcPr>
          <w:p>
            <w:pPr>
              <w:pStyle w:val="TableContents"/>
              <w:bidi w:val="0"/>
              <w:spacing w:before="0" w:after="283"/>
              <w:jc w:val="right"/>
              <w:rPr/>
            </w:pPr>
            <w:r>
              <w:rPr/>
              <w:t> </w:t>
            </w:r>
          </w:p>
        </w:tc>
        <w:tc>
          <w:tcPr>
            <w:tcW w:w="75" w:type="dxa"/>
            <w:tcBorders/>
            <w:vAlign w:val="bottom"/>
          </w:tcPr>
          <w:p>
            <w:pPr>
              <w:pStyle w:val="TableContents"/>
              <w:bidi w:val="0"/>
              <w:spacing w:before="0" w:after="283"/>
              <w:jc w:val="left"/>
              <w:rPr/>
            </w:pPr>
            <w:r>
              <w:rPr/>
              <w:t> </w:t>
            </w:r>
          </w:p>
        </w:tc>
      </w:tr>
      <w:tr>
        <w:trPr/>
        <w:tc>
          <w:tcPr>
            <w:tcW w:w="7700" w:type="dxa"/>
            <w:tcBorders/>
            <w:shd w:fill="CCEEFF" w:val="clear"/>
            <w:vAlign w:val="bottom"/>
          </w:tcPr>
          <w:p>
            <w:pPr>
              <w:pStyle w:val="TableContents"/>
              <w:bidi w:val="0"/>
              <w:spacing w:before="0" w:after="0"/>
              <w:jc w:val="left"/>
              <w:rPr>
                <w:b/>
                <w:color w:val="000000"/>
              </w:rPr>
            </w:pPr>
            <w:r>
              <w:rPr>
                <w:b/>
                <w:color w:val="000000"/>
              </w:rPr>
              <w:t>CURRENT LIABILITIES</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1711" w:type="dxa"/>
            <w:tcBorders/>
            <w:shd w:fill="CCEEFF" w:val="clear"/>
            <w:vAlign w:val="bottom"/>
          </w:tcPr>
          <w:p>
            <w:pPr>
              <w:pStyle w:val="TableContents"/>
              <w:bidi w:val="0"/>
              <w:spacing w:before="0" w:after="283"/>
              <w:jc w:val="right"/>
              <w:rPr/>
            </w:pPr>
            <w:r>
              <w:rPr/>
              <w:t> </w:t>
            </w:r>
          </w:p>
        </w:tc>
        <w:tc>
          <w:tcPr>
            <w:tcW w:w="75" w:type="dxa"/>
            <w:tcBorders/>
            <w:shd w:fill="CCEEFF" w:val="clear"/>
            <w:vAlign w:val="bottom"/>
          </w:tcPr>
          <w:p>
            <w:pPr>
              <w:pStyle w:val="TableContents"/>
              <w:bidi w:val="0"/>
              <w:spacing w:before="0" w:after="283"/>
              <w:jc w:val="left"/>
              <w:rPr/>
            </w:pPr>
            <w:r>
              <w:rPr/>
              <w:t> </w:t>
            </w:r>
          </w:p>
        </w:tc>
      </w:tr>
      <w:tr>
        <w:trPr/>
        <w:tc>
          <w:tcPr>
            <w:tcW w:w="7700" w:type="dxa"/>
            <w:tcBorders/>
            <w:vAlign w:val="bottom"/>
          </w:tcPr>
          <w:p>
            <w:pPr>
              <w:pStyle w:val="TableContents"/>
              <w:bidi w:val="0"/>
              <w:spacing w:before="0" w:after="0"/>
              <w:jc w:val="left"/>
              <w:rPr>
                <w:color w:val="000000"/>
              </w:rPr>
            </w:pPr>
            <w:r>
              <w:rPr>
                <w:color w:val="000000"/>
              </w:rPr>
              <w:t>Accounts payable</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0"/>
              <w:jc w:val="left"/>
              <w:rPr>
                <w:color w:val="000000"/>
              </w:rPr>
            </w:pPr>
            <w:r>
              <w:rPr>
                <w:color w:val="000000"/>
              </w:rPr>
              <w:t>$</w:t>
            </w:r>
          </w:p>
        </w:tc>
        <w:tc>
          <w:tcPr>
            <w:tcW w:w="980" w:type="dxa"/>
            <w:tcBorders/>
            <w:vAlign w:val="bottom"/>
          </w:tcPr>
          <w:p>
            <w:pPr>
              <w:pStyle w:val="TableContents"/>
              <w:bidi w:val="0"/>
              <w:spacing w:before="0" w:after="0"/>
              <w:jc w:val="right"/>
              <w:rPr>
                <w:color w:val="000000"/>
              </w:rPr>
            </w:pPr>
            <w:r>
              <w:rPr>
                <w:color w:val="000000"/>
              </w:rPr>
              <w:t>71,639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0"/>
              <w:jc w:val="left"/>
              <w:rPr>
                <w:color w:val="000000"/>
              </w:rPr>
            </w:pPr>
            <w:r>
              <w:rPr>
                <w:color w:val="000000"/>
              </w:rPr>
              <w:t>$</w:t>
            </w:r>
          </w:p>
        </w:tc>
        <w:tc>
          <w:tcPr>
            <w:tcW w:w="1711" w:type="dxa"/>
            <w:tcBorders/>
            <w:vAlign w:val="bottom"/>
          </w:tcPr>
          <w:p>
            <w:pPr>
              <w:pStyle w:val="TableContents"/>
              <w:bidi w:val="0"/>
              <w:spacing w:before="0" w:after="0"/>
              <w:jc w:val="right"/>
              <w:rPr>
                <w:color w:val="000000"/>
              </w:rPr>
            </w:pPr>
            <w:r>
              <w:rPr>
                <w:color w:val="000000"/>
              </w:rPr>
              <w:t>61,912</w:t>
            </w:r>
          </w:p>
        </w:tc>
        <w:tc>
          <w:tcPr>
            <w:tcW w:w="75" w:type="dxa"/>
            <w:tcBorders/>
            <w:vAlign w:val="bottom"/>
          </w:tcPr>
          <w:p>
            <w:pPr>
              <w:pStyle w:val="TableContents"/>
              <w:bidi w:val="0"/>
              <w:spacing w:before="0" w:after="283"/>
              <w:jc w:val="left"/>
              <w:rPr/>
            </w:pPr>
            <w:r>
              <w:rPr/>
              <w:t> </w:t>
            </w:r>
          </w:p>
        </w:tc>
      </w:tr>
      <w:tr>
        <w:trPr/>
        <w:tc>
          <w:tcPr>
            <w:tcW w:w="7700" w:type="dxa"/>
            <w:tcBorders/>
            <w:shd w:fill="CCEEFF" w:val="clear"/>
            <w:vAlign w:val="bottom"/>
          </w:tcPr>
          <w:p>
            <w:pPr>
              <w:pStyle w:val="TableContents"/>
              <w:bidi w:val="0"/>
              <w:spacing w:before="0" w:after="0"/>
              <w:jc w:val="left"/>
              <w:rPr>
                <w:color w:val="000000"/>
              </w:rPr>
            </w:pPr>
            <w:r>
              <w:rPr>
                <w:color w:val="000000"/>
              </w:rPr>
              <w:t>Accrued liabilities</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color w:val="000000"/>
              </w:rPr>
            </w:pPr>
            <w:r>
              <w:rPr>
                <w:color w:val="000000"/>
              </w:rPr>
              <w:t>41,637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1711" w:type="dxa"/>
            <w:tcBorders/>
            <w:shd w:fill="CCEEFF" w:val="clear"/>
            <w:vAlign w:val="bottom"/>
          </w:tcPr>
          <w:p>
            <w:pPr>
              <w:pStyle w:val="TableContents"/>
              <w:bidi w:val="0"/>
              <w:spacing w:before="0" w:after="0"/>
              <w:jc w:val="right"/>
              <w:rPr>
                <w:color w:val="000000"/>
              </w:rPr>
            </w:pPr>
            <w:r>
              <w:rPr>
                <w:color w:val="000000"/>
              </w:rPr>
              <w:t>47,727</w:t>
            </w:r>
          </w:p>
        </w:tc>
        <w:tc>
          <w:tcPr>
            <w:tcW w:w="75" w:type="dxa"/>
            <w:tcBorders/>
            <w:shd w:fill="CCEEFF" w:val="clear"/>
            <w:vAlign w:val="bottom"/>
          </w:tcPr>
          <w:p>
            <w:pPr>
              <w:pStyle w:val="TableContents"/>
              <w:bidi w:val="0"/>
              <w:spacing w:before="0" w:after="283"/>
              <w:jc w:val="left"/>
              <w:rPr/>
            </w:pPr>
            <w:r>
              <w:rPr/>
              <w:t> </w:t>
            </w:r>
          </w:p>
        </w:tc>
      </w:tr>
      <w:tr>
        <w:trPr/>
        <w:tc>
          <w:tcPr>
            <w:tcW w:w="7700" w:type="dxa"/>
            <w:tcBorders/>
            <w:vAlign w:val="bottom"/>
          </w:tcPr>
          <w:p>
            <w:pPr>
              <w:pStyle w:val="TableContents"/>
              <w:bidi w:val="0"/>
              <w:spacing w:before="0" w:after="0"/>
              <w:jc w:val="left"/>
              <w:rPr>
                <w:color w:val="000000"/>
              </w:rPr>
            </w:pPr>
            <w:r>
              <w:rPr>
                <w:color w:val="000000"/>
              </w:rPr>
              <w:t>Current portion of long-term debt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color w:val="000000"/>
              </w:rPr>
            </w:pPr>
            <w:r>
              <w:rPr>
                <w:color w:val="000000"/>
              </w:rPr>
              <w:t>154,504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1711" w:type="dxa"/>
            <w:tcBorders/>
            <w:vAlign w:val="bottom"/>
          </w:tcPr>
          <w:p>
            <w:pPr>
              <w:pStyle w:val="TableContents"/>
              <w:bidi w:val="0"/>
              <w:spacing w:before="0" w:after="0"/>
              <w:jc w:val="right"/>
              <w:rPr>
                <w:color w:val="000000"/>
              </w:rPr>
            </w:pPr>
            <w:r>
              <w:rPr>
                <w:color w:val="000000"/>
              </w:rPr>
              <w:t>147,567</w:t>
            </w:r>
          </w:p>
        </w:tc>
        <w:tc>
          <w:tcPr>
            <w:tcW w:w="75" w:type="dxa"/>
            <w:tcBorders/>
            <w:vAlign w:val="bottom"/>
          </w:tcPr>
          <w:p>
            <w:pPr>
              <w:pStyle w:val="TableContents"/>
              <w:bidi w:val="0"/>
              <w:spacing w:before="0" w:after="283"/>
              <w:jc w:val="left"/>
              <w:rPr/>
            </w:pPr>
            <w:r>
              <w:rPr/>
              <w:t> </w:t>
            </w:r>
          </w:p>
        </w:tc>
      </w:tr>
      <w:tr>
        <w:trPr/>
        <w:tc>
          <w:tcPr>
            <w:tcW w:w="7700" w:type="dxa"/>
            <w:tcBorders/>
            <w:shd w:fill="CCEEFF" w:val="clear"/>
            <w:vAlign w:val="bottom"/>
          </w:tcPr>
          <w:p>
            <w:pPr>
              <w:pStyle w:val="TableContents"/>
              <w:bidi w:val="0"/>
              <w:spacing w:before="0" w:after="0"/>
              <w:jc w:val="left"/>
              <w:rPr>
                <w:color w:val="000000"/>
              </w:rPr>
            </w:pPr>
            <w:r>
              <w:rPr>
                <w:color w:val="000000"/>
              </w:rPr>
              <w:t>Current portion of deferred revenue</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color w:val="000000"/>
              </w:rPr>
            </w:pPr>
            <w:r>
              <w:rPr>
                <w:color w:val="000000"/>
              </w:rPr>
              <w:t>45,482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1711" w:type="dxa"/>
            <w:tcBorders/>
            <w:shd w:fill="CCEEFF" w:val="clear"/>
            <w:vAlign w:val="bottom"/>
          </w:tcPr>
          <w:p>
            <w:pPr>
              <w:pStyle w:val="TableContents"/>
              <w:bidi w:val="0"/>
              <w:spacing w:before="0" w:after="0"/>
              <w:jc w:val="right"/>
              <w:rPr>
                <w:color w:val="000000"/>
              </w:rPr>
            </w:pPr>
            <w:r>
              <w:rPr>
                <w:color w:val="000000"/>
              </w:rPr>
              <w:t>48,885</w:t>
            </w:r>
          </w:p>
        </w:tc>
        <w:tc>
          <w:tcPr>
            <w:tcW w:w="75" w:type="dxa"/>
            <w:tcBorders/>
            <w:shd w:fill="CCEEFF" w:val="clear"/>
            <w:vAlign w:val="bottom"/>
          </w:tcPr>
          <w:p>
            <w:pPr>
              <w:pStyle w:val="TableContents"/>
              <w:bidi w:val="0"/>
              <w:spacing w:before="0" w:after="283"/>
              <w:jc w:val="left"/>
              <w:rPr/>
            </w:pPr>
            <w:r>
              <w:rPr/>
              <w:t> </w:t>
            </w:r>
          </w:p>
        </w:tc>
      </w:tr>
      <w:tr>
        <w:trPr/>
        <w:tc>
          <w:tcPr>
            <w:tcW w:w="7700" w:type="dxa"/>
            <w:tcBorders/>
            <w:vAlign w:val="bottom"/>
          </w:tcPr>
          <w:p>
            <w:pPr>
              <w:pStyle w:val="TableContents"/>
              <w:bidi w:val="0"/>
              <w:spacing w:before="0" w:after="0"/>
              <w:jc w:val="left"/>
              <w:rPr>
                <w:color w:val="000000"/>
              </w:rPr>
            </w:pPr>
            <w:r>
              <w:rPr>
                <w:color w:val="000000"/>
              </w:rPr>
              <w:t>Due to related parties</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740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4" w:type="dxa"/>
            <w:tcBorders>
              <w:bottom w:val="single" w:sz="12" w:space="0" w:color="000000"/>
            </w:tcBorders>
            <w:tcMar>
              <w:bottom w:w="28" w:type="dxa"/>
            </w:tcMar>
            <w:vAlign w:val="bottom"/>
          </w:tcPr>
          <w:p>
            <w:pPr>
              <w:pStyle w:val="TableContents"/>
              <w:bidi w:val="0"/>
              <w:spacing w:before="0" w:after="283"/>
              <w:jc w:val="left"/>
              <w:rPr/>
            </w:pPr>
            <w:r>
              <w:rPr/>
              <w:t> </w:t>
            </w:r>
          </w:p>
        </w:tc>
        <w:tc>
          <w:tcPr>
            <w:tcW w:w="1711"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692</w:t>
            </w:r>
          </w:p>
        </w:tc>
        <w:tc>
          <w:tcPr>
            <w:tcW w:w="75" w:type="dxa"/>
            <w:tcBorders/>
            <w:vAlign w:val="bottom"/>
          </w:tcPr>
          <w:p>
            <w:pPr>
              <w:pStyle w:val="TableContents"/>
              <w:bidi w:val="0"/>
              <w:spacing w:before="0" w:after="283"/>
              <w:jc w:val="left"/>
              <w:rPr/>
            </w:pPr>
            <w:r>
              <w:rPr/>
              <w:t> </w:t>
            </w:r>
          </w:p>
        </w:tc>
      </w:tr>
      <w:tr>
        <w:trPr/>
        <w:tc>
          <w:tcPr>
            <w:tcW w:w="7700" w:type="dxa"/>
            <w:tcBorders/>
            <w:shd w:fill="CCEEFF" w:val="clear"/>
            <w:vAlign w:val="bottom"/>
          </w:tcPr>
          <w:p>
            <w:pPr>
              <w:pStyle w:val="TableContents"/>
              <w:bidi w:val="0"/>
              <w:spacing w:before="0" w:after="0"/>
              <w:jc w:val="left"/>
              <w:rPr>
                <w:b/>
                <w:color w:val="000000"/>
              </w:rPr>
            </w:pPr>
            <w:r>
              <w:rPr>
                <w:b/>
                <w:color w:val="000000"/>
              </w:rPr>
              <w:t>Total current liabilities</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0"/>
              <w:jc w:val="left"/>
              <w:rPr>
                <w:b/>
                <w:color w:val="000000"/>
              </w:rPr>
            </w:pPr>
            <w:r>
              <w:rPr>
                <w:b/>
                <w:color w:val="000000"/>
              </w:rPr>
              <w:t>$</w:t>
            </w:r>
          </w:p>
        </w:tc>
        <w:tc>
          <w:tcPr>
            <w:tcW w:w="980" w:type="dxa"/>
            <w:tcBorders>
              <w:bottom w:val="single" w:sz="12" w:space="0" w:color="000000"/>
            </w:tcBorders>
            <w:shd w:fill="CCEEFF" w:val="clear"/>
            <w:tcMar>
              <w:bottom w:w="28" w:type="dxa"/>
            </w:tcMar>
            <w:vAlign w:val="bottom"/>
          </w:tcPr>
          <w:p>
            <w:pPr>
              <w:pStyle w:val="TableContents"/>
              <w:bidi w:val="0"/>
              <w:spacing w:before="0" w:after="0"/>
              <w:jc w:val="right"/>
              <w:rPr>
                <w:b/>
                <w:color w:val="000000"/>
              </w:rPr>
            </w:pPr>
            <w:r>
              <w:rPr>
                <w:b/>
                <w:color w:val="000000"/>
              </w:rPr>
              <w:t>314,002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4" w:type="dxa"/>
            <w:tcBorders>
              <w:bottom w:val="single" w:sz="12" w:space="0" w:color="000000"/>
            </w:tcBorders>
            <w:shd w:fill="CCEEFF" w:val="clear"/>
            <w:tcMar>
              <w:bottom w:w="28" w:type="dxa"/>
            </w:tcMar>
            <w:vAlign w:val="bottom"/>
          </w:tcPr>
          <w:p>
            <w:pPr>
              <w:pStyle w:val="TableContents"/>
              <w:bidi w:val="0"/>
              <w:spacing w:before="0" w:after="0"/>
              <w:jc w:val="left"/>
              <w:rPr>
                <w:b/>
                <w:color w:val="000000"/>
              </w:rPr>
            </w:pPr>
            <w:r>
              <w:rPr>
                <w:b/>
                <w:color w:val="000000"/>
              </w:rPr>
              <w:t>$</w:t>
            </w:r>
          </w:p>
        </w:tc>
        <w:tc>
          <w:tcPr>
            <w:tcW w:w="1711" w:type="dxa"/>
            <w:tcBorders>
              <w:bottom w:val="single" w:sz="12" w:space="0" w:color="000000"/>
            </w:tcBorders>
            <w:shd w:fill="CCEEFF" w:val="clear"/>
            <w:tcMar>
              <w:bottom w:w="28" w:type="dxa"/>
            </w:tcMar>
            <w:vAlign w:val="bottom"/>
          </w:tcPr>
          <w:p>
            <w:pPr>
              <w:pStyle w:val="TableContents"/>
              <w:bidi w:val="0"/>
              <w:spacing w:before="0" w:after="0"/>
              <w:jc w:val="right"/>
              <w:rPr>
                <w:b/>
                <w:color w:val="000000"/>
              </w:rPr>
            </w:pPr>
            <w:r>
              <w:rPr>
                <w:b/>
                <w:color w:val="000000"/>
              </w:rPr>
              <w:t>306,783</w:t>
            </w:r>
          </w:p>
        </w:tc>
        <w:tc>
          <w:tcPr>
            <w:tcW w:w="75" w:type="dxa"/>
            <w:tcBorders/>
            <w:shd w:fill="CCEEFF" w:val="clear"/>
            <w:vAlign w:val="bottom"/>
          </w:tcPr>
          <w:p>
            <w:pPr>
              <w:pStyle w:val="TableContents"/>
              <w:bidi w:val="0"/>
              <w:spacing w:before="0" w:after="283"/>
              <w:jc w:val="left"/>
              <w:rPr/>
            </w:pPr>
            <w:r>
              <w:rPr/>
              <w:t> </w:t>
            </w:r>
          </w:p>
        </w:tc>
      </w:tr>
      <w:tr>
        <w:trPr/>
        <w:tc>
          <w:tcPr>
            <w:tcW w:w="7700" w:type="dxa"/>
            <w:tcBorders/>
            <w:vAlign w:val="bottom"/>
          </w:tcPr>
          <w:p>
            <w:pPr>
              <w:pStyle w:val="TableContents"/>
              <w:bidi w:val="0"/>
              <w:spacing w:before="0" w:after="0"/>
              <w:jc w:val="left"/>
              <w:rPr>
                <w:b/>
                <w:color w:val="000000"/>
              </w:rPr>
            </w:pPr>
            <w:r>
              <w:rPr>
                <w:b/>
                <w:color w:val="000000"/>
              </w:rPr>
              <w:t>LONG-TERM LIABILITIES</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1711" w:type="dxa"/>
            <w:tcBorders/>
            <w:vAlign w:val="bottom"/>
          </w:tcPr>
          <w:p>
            <w:pPr>
              <w:pStyle w:val="TableContents"/>
              <w:bidi w:val="0"/>
              <w:spacing w:before="0" w:after="283"/>
              <w:jc w:val="right"/>
              <w:rPr/>
            </w:pPr>
            <w:r>
              <w:rPr/>
              <w:t> </w:t>
            </w:r>
          </w:p>
        </w:tc>
        <w:tc>
          <w:tcPr>
            <w:tcW w:w="75" w:type="dxa"/>
            <w:tcBorders/>
            <w:vAlign w:val="bottom"/>
          </w:tcPr>
          <w:p>
            <w:pPr>
              <w:pStyle w:val="TableContents"/>
              <w:bidi w:val="0"/>
              <w:spacing w:before="0" w:after="283"/>
              <w:jc w:val="left"/>
              <w:rPr/>
            </w:pPr>
            <w:r>
              <w:rPr/>
              <w:t> </w:t>
            </w:r>
          </w:p>
        </w:tc>
      </w:tr>
      <w:tr>
        <w:trPr/>
        <w:tc>
          <w:tcPr>
            <w:tcW w:w="7700" w:type="dxa"/>
            <w:tcBorders/>
            <w:shd w:fill="CCEEFF" w:val="clear"/>
            <w:vAlign w:val="bottom"/>
          </w:tcPr>
          <w:p>
            <w:pPr>
              <w:pStyle w:val="TableContents"/>
              <w:bidi w:val="0"/>
              <w:spacing w:before="0" w:after="0"/>
              <w:jc w:val="left"/>
              <w:rPr>
                <w:color w:val="000000"/>
              </w:rPr>
            </w:pPr>
            <w:r>
              <w:rPr>
                <w:color w:val="000000"/>
              </w:rPr>
              <w:t>Long - term debt, net of current portion and deferred financing costs</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980" w:type="dxa"/>
            <w:tcBorders/>
            <w:shd w:fill="CCEEFF" w:val="clear"/>
            <w:vAlign w:val="bottom"/>
          </w:tcPr>
          <w:p>
            <w:pPr>
              <w:pStyle w:val="TableContents"/>
              <w:bidi w:val="0"/>
              <w:spacing w:before="0" w:after="0"/>
              <w:jc w:val="right"/>
              <w:rPr>
                <w:color w:val="000000"/>
              </w:rPr>
            </w:pPr>
            <w:r>
              <w:rPr>
                <w:color w:val="000000"/>
              </w:rPr>
              <w:t>517,260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0"/>
              <w:jc w:val="left"/>
              <w:rPr>
                <w:color w:val="000000"/>
              </w:rPr>
            </w:pPr>
            <w:r>
              <w:rPr>
                <w:color w:val="000000"/>
              </w:rPr>
              <w:t>$</w:t>
            </w:r>
          </w:p>
        </w:tc>
        <w:tc>
          <w:tcPr>
            <w:tcW w:w="1711" w:type="dxa"/>
            <w:tcBorders/>
            <w:shd w:fill="CCEEFF" w:val="clear"/>
            <w:vAlign w:val="bottom"/>
          </w:tcPr>
          <w:p>
            <w:pPr>
              <w:pStyle w:val="TableContents"/>
              <w:bidi w:val="0"/>
              <w:spacing w:before="0" w:after="0"/>
              <w:jc w:val="right"/>
              <w:rPr>
                <w:color w:val="000000"/>
              </w:rPr>
            </w:pPr>
            <w:r>
              <w:rPr>
                <w:color w:val="000000"/>
              </w:rPr>
              <w:t>541,575</w:t>
            </w:r>
          </w:p>
        </w:tc>
        <w:tc>
          <w:tcPr>
            <w:tcW w:w="75" w:type="dxa"/>
            <w:tcBorders/>
            <w:shd w:fill="CCEEFF" w:val="clear"/>
            <w:vAlign w:val="bottom"/>
          </w:tcPr>
          <w:p>
            <w:pPr>
              <w:pStyle w:val="TableContents"/>
              <w:bidi w:val="0"/>
              <w:spacing w:before="0" w:after="283"/>
              <w:jc w:val="left"/>
              <w:rPr/>
            </w:pPr>
            <w:r>
              <w:rPr/>
              <w:t> </w:t>
            </w:r>
          </w:p>
        </w:tc>
      </w:tr>
      <w:tr>
        <w:trPr/>
        <w:tc>
          <w:tcPr>
            <w:tcW w:w="7700" w:type="dxa"/>
            <w:tcBorders/>
            <w:vAlign w:val="bottom"/>
          </w:tcPr>
          <w:p>
            <w:pPr>
              <w:pStyle w:val="TableContents"/>
              <w:bidi w:val="0"/>
              <w:spacing w:before="0" w:after="0"/>
              <w:jc w:val="left"/>
              <w:rPr>
                <w:color w:val="000000"/>
              </w:rPr>
            </w:pPr>
            <w:r>
              <w:rPr>
                <w:color w:val="000000"/>
              </w:rPr>
              <w:t>Intangible liabilities-charter agreements</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color w:val="000000"/>
              </w:rPr>
            </w:pPr>
            <w:r>
              <w:rPr>
                <w:color w:val="000000"/>
              </w:rPr>
              <w:t>96,443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1711" w:type="dxa"/>
            <w:tcBorders/>
            <w:vAlign w:val="bottom"/>
          </w:tcPr>
          <w:p>
            <w:pPr>
              <w:pStyle w:val="TableContents"/>
              <w:bidi w:val="0"/>
              <w:spacing w:before="0" w:after="0"/>
              <w:jc w:val="right"/>
              <w:rPr>
                <w:color w:val="000000"/>
              </w:rPr>
            </w:pPr>
            <w:r>
              <w:rPr>
                <w:color w:val="000000"/>
              </w:rPr>
              <w:t>90,054</w:t>
            </w:r>
          </w:p>
        </w:tc>
        <w:tc>
          <w:tcPr>
            <w:tcW w:w="75" w:type="dxa"/>
            <w:tcBorders/>
            <w:vAlign w:val="bottom"/>
          </w:tcPr>
          <w:p>
            <w:pPr>
              <w:pStyle w:val="TableContents"/>
              <w:bidi w:val="0"/>
              <w:spacing w:before="0" w:after="283"/>
              <w:jc w:val="left"/>
              <w:rPr/>
            </w:pPr>
            <w:r>
              <w:rPr/>
              <w:t> </w:t>
            </w:r>
          </w:p>
        </w:tc>
      </w:tr>
      <w:tr>
        <w:trPr/>
        <w:tc>
          <w:tcPr>
            <w:tcW w:w="7700" w:type="dxa"/>
            <w:tcBorders/>
            <w:shd w:fill="CCEEFF" w:val="clear"/>
            <w:vAlign w:val="bottom"/>
          </w:tcPr>
          <w:p>
            <w:pPr>
              <w:pStyle w:val="TableContents"/>
              <w:bidi w:val="0"/>
              <w:spacing w:before="0" w:after="0"/>
              <w:jc w:val="left"/>
              <w:rPr>
                <w:color w:val="000000"/>
              </w:rPr>
            </w:pPr>
            <w:r>
              <w:rPr>
                <w:color w:val="000000"/>
              </w:rPr>
              <w:t>Deferred revenue, net of current portion</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108,383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711"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121,707</w:t>
            </w:r>
          </w:p>
        </w:tc>
        <w:tc>
          <w:tcPr>
            <w:tcW w:w="75" w:type="dxa"/>
            <w:tcBorders/>
            <w:shd w:fill="CCEEFF" w:val="clear"/>
            <w:vAlign w:val="bottom"/>
          </w:tcPr>
          <w:p>
            <w:pPr>
              <w:pStyle w:val="TableContents"/>
              <w:bidi w:val="0"/>
              <w:spacing w:before="0" w:after="283"/>
              <w:jc w:val="left"/>
              <w:rPr/>
            </w:pPr>
            <w:r>
              <w:rPr/>
              <w:t> </w:t>
            </w:r>
          </w:p>
        </w:tc>
      </w:tr>
      <w:tr>
        <w:trPr/>
        <w:tc>
          <w:tcPr>
            <w:tcW w:w="7700" w:type="dxa"/>
            <w:tcBorders/>
            <w:vAlign w:val="bottom"/>
          </w:tcPr>
          <w:p>
            <w:pPr>
              <w:pStyle w:val="TableContents"/>
              <w:bidi w:val="0"/>
              <w:spacing w:before="0" w:after="0"/>
              <w:jc w:val="left"/>
              <w:rPr>
                <w:b/>
                <w:color w:val="000000"/>
              </w:rPr>
            </w:pPr>
            <w:r>
              <w:rPr>
                <w:b/>
                <w:color w:val="000000"/>
              </w:rPr>
              <w:t>Total non - current liabilities</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tcMar>
              <w:bottom w:w="28" w:type="dxa"/>
            </w:tcMar>
            <w:vAlign w:val="bottom"/>
          </w:tcPr>
          <w:p>
            <w:pPr>
              <w:pStyle w:val="TableContents"/>
              <w:bidi w:val="0"/>
              <w:spacing w:before="0" w:after="0"/>
              <w:jc w:val="right"/>
              <w:rPr>
                <w:b/>
                <w:color w:val="000000"/>
              </w:rPr>
            </w:pPr>
            <w:r>
              <w:rPr>
                <w:b/>
                <w:color w:val="000000"/>
              </w:rPr>
              <w:t>722,086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4" w:type="dxa"/>
            <w:tcBorders>
              <w:bottom w:val="single" w:sz="12" w:space="0" w:color="000000"/>
            </w:tcBorders>
            <w:tcMar>
              <w:bottom w:w="28" w:type="dxa"/>
            </w:tcMar>
            <w:vAlign w:val="bottom"/>
          </w:tcPr>
          <w:p>
            <w:pPr>
              <w:pStyle w:val="TableContents"/>
              <w:bidi w:val="0"/>
              <w:spacing w:before="0" w:after="283"/>
              <w:jc w:val="left"/>
              <w:rPr/>
            </w:pPr>
            <w:r>
              <w:rPr/>
              <w:t> </w:t>
            </w:r>
          </w:p>
        </w:tc>
        <w:tc>
          <w:tcPr>
            <w:tcW w:w="1711" w:type="dxa"/>
            <w:tcBorders>
              <w:bottom w:val="single" w:sz="12" w:space="0" w:color="000000"/>
            </w:tcBorders>
            <w:tcMar>
              <w:bottom w:w="28" w:type="dxa"/>
            </w:tcMar>
            <w:vAlign w:val="bottom"/>
          </w:tcPr>
          <w:p>
            <w:pPr>
              <w:pStyle w:val="TableContents"/>
              <w:bidi w:val="0"/>
              <w:spacing w:before="0" w:after="0"/>
              <w:jc w:val="right"/>
              <w:rPr>
                <w:b/>
                <w:color w:val="000000"/>
              </w:rPr>
            </w:pPr>
            <w:r>
              <w:rPr>
                <w:b/>
                <w:color w:val="000000"/>
              </w:rPr>
              <w:t>753,336</w:t>
            </w:r>
          </w:p>
        </w:tc>
        <w:tc>
          <w:tcPr>
            <w:tcW w:w="75" w:type="dxa"/>
            <w:tcBorders/>
            <w:vAlign w:val="bottom"/>
          </w:tcPr>
          <w:p>
            <w:pPr>
              <w:pStyle w:val="TableContents"/>
              <w:bidi w:val="0"/>
              <w:spacing w:before="0" w:after="283"/>
              <w:jc w:val="left"/>
              <w:rPr/>
            </w:pPr>
            <w:r>
              <w:rPr/>
              <w:t> </w:t>
            </w:r>
          </w:p>
        </w:tc>
      </w:tr>
      <w:tr>
        <w:trPr/>
        <w:tc>
          <w:tcPr>
            <w:tcW w:w="7700" w:type="dxa"/>
            <w:tcBorders/>
            <w:shd w:fill="CCEEFF" w:val="clear"/>
            <w:vAlign w:val="bottom"/>
          </w:tcPr>
          <w:p>
            <w:pPr>
              <w:pStyle w:val="TableContents"/>
              <w:bidi w:val="0"/>
              <w:spacing w:before="0" w:after="0"/>
              <w:jc w:val="left"/>
              <w:rPr>
                <w:b/>
                <w:color w:val="000000"/>
              </w:rPr>
            </w:pPr>
            <w:r>
              <w:rPr>
                <w:b/>
                <w:color w:val="000000"/>
              </w:rPr>
              <w:t>Total liabilities</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0"/>
              <w:jc w:val="left"/>
              <w:rPr>
                <w:b/>
                <w:color w:val="000000"/>
              </w:rPr>
            </w:pPr>
            <w:r>
              <w:rPr>
                <w:b/>
                <w:color w:val="000000"/>
              </w:rPr>
              <w:t>$</w:t>
            </w:r>
          </w:p>
        </w:tc>
        <w:tc>
          <w:tcPr>
            <w:tcW w:w="980" w:type="dxa"/>
            <w:tcBorders>
              <w:bottom w:val="single" w:sz="12" w:space="0" w:color="000000"/>
            </w:tcBorders>
            <w:shd w:fill="CCEEFF" w:val="clear"/>
            <w:tcMar>
              <w:bottom w:w="28" w:type="dxa"/>
            </w:tcMar>
            <w:vAlign w:val="bottom"/>
          </w:tcPr>
          <w:p>
            <w:pPr>
              <w:pStyle w:val="TableContents"/>
              <w:bidi w:val="0"/>
              <w:spacing w:before="0" w:after="0"/>
              <w:jc w:val="right"/>
              <w:rPr>
                <w:b/>
                <w:color w:val="000000"/>
              </w:rPr>
            </w:pPr>
            <w:r>
              <w:rPr>
                <w:b/>
                <w:color w:val="000000"/>
              </w:rPr>
              <w:t>1,036,088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4" w:type="dxa"/>
            <w:tcBorders>
              <w:bottom w:val="single" w:sz="12" w:space="0" w:color="000000"/>
            </w:tcBorders>
            <w:shd w:fill="CCEEFF" w:val="clear"/>
            <w:tcMar>
              <w:bottom w:w="28" w:type="dxa"/>
            </w:tcMar>
            <w:vAlign w:val="bottom"/>
          </w:tcPr>
          <w:p>
            <w:pPr>
              <w:pStyle w:val="TableContents"/>
              <w:bidi w:val="0"/>
              <w:spacing w:before="0" w:after="0"/>
              <w:jc w:val="left"/>
              <w:rPr>
                <w:b/>
                <w:color w:val="000000"/>
              </w:rPr>
            </w:pPr>
            <w:r>
              <w:rPr>
                <w:b/>
                <w:color w:val="000000"/>
              </w:rPr>
              <w:t>$</w:t>
            </w:r>
          </w:p>
        </w:tc>
        <w:tc>
          <w:tcPr>
            <w:tcW w:w="1711" w:type="dxa"/>
            <w:tcBorders>
              <w:bottom w:val="single" w:sz="12" w:space="0" w:color="000000"/>
            </w:tcBorders>
            <w:shd w:fill="CCEEFF" w:val="clear"/>
            <w:tcMar>
              <w:bottom w:w="28" w:type="dxa"/>
            </w:tcMar>
            <w:vAlign w:val="bottom"/>
          </w:tcPr>
          <w:p>
            <w:pPr>
              <w:pStyle w:val="TableContents"/>
              <w:bidi w:val="0"/>
              <w:spacing w:before="0" w:after="0"/>
              <w:jc w:val="right"/>
              <w:rPr>
                <w:b/>
                <w:color w:val="000000"/>
              </w:rPr>
            </w:pPr>
            <w:r>
              <w:rPr>
                <w:b/>
                <w:color w:val="000000"/>
              </w:rPr>
              <w:t>1,060,119</w:t>
            </w:r>
          </w:p>
        </w:tc>
        <w:tc>
          <w:tcPr>
            <w:tcW w:w="75" w:type="dxa"/>
            <w:tcBorders/>
            <w:shd w:fill="CCEEFF" w:val="clear"/>
            <w:vAlign w:val="bottom"/>
          </w:tcPr>
          <w:p>
            <w:pPr>
              <w:pStyle w:val="TableContents"/>
              <w:bidi w:val="0"/>
              <w:spacing w:before="0" w:after="283"/>
              <w:jc w:val="left"/>
              <w:rPr/>
            </w:pPr>
            <w:r>
              <w:rPr/>
              <w:t> </w:t>
            </w:r>
          </w:p>
        </w:tc>
      </w:tr>
      <w:tr>
        <w:trPr/>
        <w:tc>
          <w:tcPr>
            <w:tcW w:w="7700" w:type="dxa"/>
            <w:tcBorders/>
            <w:vAlign w:val="bottom"/>
          </w:tcPr>
          <w:p>
            <w:pPr>
              <w:pStyle w:val="TableContents"/>
              <w:bidi w:val="0"/>
              <w:spacing w:before="0" w:after="0"/>
              <w:jc w:val="left"/>
              <w:rPr>
                <w:b/>
                <w:color w:val="000000"/>
              </w:rPr>
            </w:pPr>
            <w:r>
              <w:rPr>
                <w:b/>
                <w:color w:val="000000"/>
              </w:rPr>
              <w:t>Commitments and Contingencies</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1711" w:type="dxa"/>
            <w:tcBorders/>
            <w:vAlign w:val="bottom"/>
          </w:tcPr>
          <w:p>
            <w:pPr>
              <w:pStyle w:val="TableContents"/>
              <w:bidi w:val="0"/>
              <w:spacing w:before="0" w:after="0"/>
              <w:jc w:val="right"/>
              <w:rPr/>
            </w:pPr>
            <w:r>
              <w:rPr/>
              <w:t>-</w:t>
            </w:r>
          </w:p>
        </w:tc>
        <w:tc>
          <w:tcPr>
            <w:tcW w:w="75" w:type="dxa"/>
            <w:tcBorders/>
            <w:vAlign w:val="bottom"/>
          </w:tcPr>
          <w:p>
            <w:pPr>
              <w:pStyle w:val="TableContents"/>
              <w:bidi w:val="0"/>
              <w:spacing w:before="0" w:after="283"/>
              <w:jc w:val="left"/>
              <w:rPr/>
            </w:pPr>
            <w:r>
              <w:rPr/>
              <w:t> </w:t>
            </w:r>
          </w:p>
        </w:tc>
      </w:tr>
      <w:tr>
        <w:trPr/>
        <w:tc>
          <w:tcPr>
            <w:tcW w:w="7700" w:type="dxa"/>
            <w:tcBorders/>
            <w:shd w:fill="CCEEFF" w:val="clear"/>
            <w:vAlign w:val="bottom"/>
          </w:tcPr>
          <w:p>
            <w:pPr>
              <w:pStyle w:val="TableContents"/>
              <w:bidi w:val="0"/>
              <w:spacing w:before="0" w:after="0"/>
              <w:jc w:val="left"/>
              <w:rPr>
                <w:b/>
                <w:color w:val="000000"/>
              </w:rPr>
            </w:pPr>
            <w:r>
              <w:rPr>
                <w:b/>
                <w:color w:val="000000"/>
              </w:rPr>
              <w:t>SHAREHOLDERS' EQUITY</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1711" w:type="dxa"/>
            <w:tcBorders/>
            <w:shd w:fill="CCEEFF" w:val="clear"/>
            <w:vAlign w:val="bottom"/>
          </w:tcPr>
          <w:p>
            <w:pPr>
              <w:pStyle w:val="TableContents"/>
              <w:bidi w:val="0"/>
              <w:spacing w:before="0" w:after="283"/>
              <w:jc w:val="right"/>
              <w:rPr/>
            </w:pPr>
            <w:r>
              <w:rPr/>
              <w:t> </w:t>
            </w:r>
          </w:p>
        </w:tc>
        <w:tc>
          <w:tcPr>
            <w:tcW w:w="75" w:type="dxa"/>
            <w:tcBorders/>
            <w:shd w:fill="CCEEFF" w:val="clear"/>
            <w:vAlign w:val="bottom"/>
          </w:tcPr>
          <w:p>
            <w:pPr>
              <w:pStyle w:val="TableContents"/>
              <w:bidi w:val="0"/>
              <w:spacing w:before="0" w:after="283"/>
              <w:jc w:val="left"/>
              <w:rPr/>
            </w:pPr>
            <w:r>
              <w:rPr/>
              <w:t> </w:t>
            </w:r>
          </w:p>
        </w:tc>
      </w:tr>
      <w:tr>
        <w:trPr/>
        <w:tc>
          <w:tcPr>
            <w:tcW w:w="7700" w:type="dxa"/>
            <w:tcBorders/>
            <w:vAlign w:val="bottom"/>
          </w:tcPr>
          <w:p>
            <w:pPr>
              <w:pStyle w:val="TableContents"/>
              <w:bidi w:val="0"/>
              <w:spacing w:before="0" w:after="0"/>
              <w:ind w:left="180" w:right="0" w:hanging="180"/>
              <w:jc w:val="left"/>
              <w:rPr>
                <w:color w:val="000000"/>
              </w:rPr>
            </w:pPr>
            <w:r>
              <w:rPr>
                <w:color w:val="000000"/>
              </w:rPr>
              <w:t>Class A common shares – authorized 214,000,000 shares with a $0.01 par value 36,035,434 shares issued and outstanding (2025 – 35,913,628 shares)</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0"/>
              <w:jc w:val="left"/>
              <w:rPr>
                <w:color w:val="000000"/>
              </w:rPr>
            </w:pPr>
            <w:r>
              <w:rPr>
                <w:color w:val="000000"/>
              </w:rPr>
              <w:t>$</w:t>
            </w:r>
          </w:p>
        </w:tc>
        <w:tc>
          <w:tcPr>
            <w:tcW w:w="980" w:type="dxa"/>
            <w:tcBorders/>
            <w:vAlign w:val="bottom"/>
          </w:tcPr>
          <w:p>
            <w:pPr>
              <w:pStyle w:val="TableContents"/>
              <w:bidi w:val="0"/>
              <w:spacing w:before="0" w:after="0"/>
              <w:jc w:val="right"/>
              <w:rPr>
                <w:color w:val="000000"/>
              </w:rPr>
            </w:pPr>
            <w:r>
              <w:rPr>
                <w:color w:val="000000"/>
              </w:rPr>
              <w:t>360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0"/>
              <w:jc w:val="left"/>
              <w:rPr>
                <w:color w:val="000000"/>
              </w:rPr>
            </w:pPr>
            <w:r>
              <w:rPr>
                <w:color w:val="000000"/>
              </w:rPr>
              <w:t>$</w:t>
            </w:r>
          </w:p>
        </w:tc>
        <w:tc>
          <w:tcPr>
            <w:tcW w:w="1711" w:type="dxa"/>
            <w:tcBorders/>
            <w:vAlign w:val="bottom"/>
          </w:tcPr>
          <w:p>
            <w:pPr>
              <w:pStyle w:val="TableContents"/>
              <w:bidi w:val="0"/>
              <w:spacing w:before="0" w:after="0"/>
              <w:jc w:val="right"/>
              <w:rPr>
                <w:color w:val="000000"/>
              </w:rPr>
            </w:pPr>
            <w:r>
              <w:rPr>
                <w:color w:val="000000"/>
              </w:rPr>
              <w:t>359</w:t>
            </w:r>
          </w:p>
        </w:tc>
        <w:tc>
          <w:tcPr>
            <w:tcW w:w="75" w:type="dxa"/>
            <w:tcBorders/>
            <w:vAlign w:val="bottom"/>
          </w:tcPr>
          <w:p>
            <w:pPr>
              <w:pStyle w:val="TableContents"/>
              <w:bidi w:val="0"/>
              <w:spacing w:before="0" w:after="283"/>
              <w:jc w:val="left"/>
              <w:rPr/>
            </w:pPr>
            <w:r>
              <w:rPr/>
              <w:t> </w:t>
            </w:r>
          </w:p>
        </w:tc>
      </w:tr>
      <w:tr>
        <w:trPr/>
        <w:tc>
          <w:tcPr>
            <w:tcW w:w="7700" w:type="dxa"/>
            <w:tcBorders/>
            <w:shd w:fill="CCEEFF" w:val="clear"/>
            <w:vAlign w:val="bottom"/>
          </w:tcPr>
          <w:p>
            <w:pPr>
              <w:pStyle w:val="TableContents"/>
              <w:bidi w:val="0"/>
              <w:spacing w:before="0" w:after="0"/>
              <w:ind w:left="180" w:right="0" w:hanging="180"/>
              <w:jc w:val="left"/>
              <w:rPr>
                <w:color w:val="000000"/>
              </w:rPr>
            </w:pPr>
            <w:r>
              <w:rPr>
                <w:color w:val="000000"/>
              </w:rPr>
              <w:t>Series B Preferred Shares – authorized 104,000 shares with a $0.01 par value 43,592 shares issued and outstanding (2025 – 43,592 shares)</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1711" w:type="dxa"/>
            <w:tcBorders/>
            <w:shd w:fill="CCEEFF" w:val="clear"/>
            <w:vAlign w:val="bottom"/>
          </w:tcPr>
          <w:p>
            <w:pPr>
              <w:pStyle w:val="TableContents"/>
              <w:bidi w:val="0"/>
              <w:spacing w:before="0" w:after="0"/>
              <w:jc w:val="right"/>
              <w:rPr>
                <w:color w:val="000000"/>
              </w:rPr>
            </w:pPr>
            <w:r>
              <w:rPr>
                <w:color w:val="000000"/>
              </w:rPr>
              <w:t>-</w:t>
            </w:r>
          </w:p>
        </w:tc>
        <w:tc>
          <w:tcPr>
            <w:tcW w:w="75" w:type="dxa"/>
            <w:tcBorders/>
            <w:shd w:fill="CCEEFF" w:val="clear"/>
            <w:vAlign w:val="bottom"/>
          </w:tcPr>
          <w:p>
            <w:pPr>
              <w:pStyle w:val="TableContents"/>
              <w:bidi w:val="0"/>
              <w:spacing w:before="0" w:after="283"/>
              <w:jc w:val="left"/>
              <w:rPr/>
            </w:pPr>
            <w:r>
              <w:rPr/>
              <w:t> </w:t>
            </w:r>
          </w:p>
        </w:tc>
      </w:tr>
      <w:tr>
        <w:trPr/>
        <w:tc>
          <w:tcPr>
            <w:tcW w:w="7700" w:type="dxa"/>
            <w:tcBorders/>
            <w:vAlign w:val="bottom"/>
          </w:tcPr>
          <w:p>
            <w:pPr>
              <w:pStyle w:val="TableContents"/>
              <w:bidi w:val="0"/>
              <w:spacing w:before="0" w:after="0"/>
              <w:jc w:val="left"/>
              <w:rPr>
                <w:color w:val="000000"/>
              </w:rPr>
            </w:pPr>
            <w:r>
              <w:rPr>
                <w:color w:val="000000"/>
              </w:rPr>
              <w:t>Additional paid in capital</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color w:val="000000"/>
              </w:rPr>
            </w:pPr>
            <w:r>
              <w:rPr>
                <w:color w:val="000000"/>
              </w:rPr>
              <w:t>705,328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1711" w:type="dxa"/>
            <w:tcBorders/>
            <w:vAlign w:val="bottom"/>
          </w:tcPr>
          <w:p>
            <w:pPr>
              <w:pStyle w:val="TableContents"/>
              <w:bidi w:val="0"/>
              <w:spacing w:before="0" w:after="0"/>
              <w:jc w:val="right"/>
              <w:rPr>
                <w:color w:val="000000"/>
              </w:rPr>
            </w:pPr>
            <w:r>
              <w:rPr>
                <w:color w:val="000000"/>
              </w:rPr>
              <w:t>694,331</w:t>
            </w:r>
          </w:p>
        </w:tc>
        <w:tc>
          <w:tcPr>
            <w:tcW w:w="75" w:type="dxa"/>
            <w:tcBorders/>
            <w:vAlign w:val="bottom"/>
          </w:tcPr>
          <w:p>
            <w:pPr>
              <w:pStyle w:val="TableContents"/>
              <w:bidi w:val="0"/>
              <w:spacing w:before="0" w:after="283"/>
              <w:jc w:val="left"/>
              <w:rPr/>
            </w:pPr>
            <w:r>
              <w:rPr/>
              <w:t> </w:t>
            </w:r>
          </w:p>
        </w:tc>
      </w:tr>
      <w:tr>
        <w:trPr/>
        <w:tc>
          <w:tcPr>
            <w:tcW w:w="7700" w:type="dxa"/>
            <w:tcBorders/>
            <w:shd w:fill="CCEEFF" w:val="clear"/>
            <w:vAlign w:val="bottom"/>
          </w:tcPr>
          <w:p>
            <w:pPr>
              <w:pStyle w:val="TableContents"/>
              <w:bidi w:val="0"/>
              <w:spacing w:before="0" w:after="0"/>
              <w:jc w:val="left"/>
              <w:rPr>
                <w:color w:val="000000"/>
              </w:rPr>
            </w:pPr>
            <w:r>
              <w:rPr>
                <w:color w:val="000000"/>
              </w:rPr>
              <w:t>Retained earnings</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color w:val="000000"/>
              </w:rPr>
            </w:pPr>
            <w:r>
              <w:rPr>
                <w:color w:val="000000"/>
              </w:rPr>
              <w:t>1,240,348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1711" w:type="dxa"/>
            <w:tcBorders/>
            <w:shd w:fill="CCEEFF" w:val="clear"/>
            <w:vAlign w:val="bottom"/>
          </w:tcPr>
          <w:p>
            <w:pPr>
              <w:pStyle w:val="TableContents"/>
              <w:bidi w:val="0"/>
              <w:spacing w:before="0" w:after="0"/>
              <w:jc w:val="right"/>
              <w:rPr>
                <w:color w:val="000000"/>
              </w:rPr>
            </w:pPr>
            <w:r>
              <w:rPr>
                <w:color w:val="000000"/>
              </w:rPr>
              <w:t>1,104,617</w:t>
            </w:r>
          </w:p>
        </w:tc>
        <w:tc>
          <w:tcPr>
            <w:tcW w:w="75" w:type="dxa"/>
            <w:tcBorders/>
            <w:shd w:fill="CCEEFF" w:val="clear"/>
            <w:vAlign w:val="bottom"/>
          </w:tcPr>
          <w:p>
            <w:pPr>
              <w:pStyle w:val="TableContents"/>
              <w:bidi w:val="0"/>
              <w:spacing w:before="0" w:after="283"/>
              <w:jc w:val="left"/>
              <w:rPr/>
            </w:pPr>
            <w:r>
              <w:rPr/>
              <w:t> </w:t>
            </w:r>
          </w:p>
        </w:tc>
      </w:tr>
      <w:tr>
        <w:trPr/>
        <w:tc>
          <w:tcPr>
            <w:tcW w:w="7700" w:type="dxa"/>
            <w:tcBorders/>
            <w:vAlign w:val="bottom"/>
          </w:tcPr>
          <w:p>
            <w:pPr>
              <w:pStyle w:val="TableContents"/>
              <w:bidi w:val="0"/>
              <w:spacing w:before="0" w:after="0"/>
              <w:jc w:val="left"/>
              <w:rPr>
                <w:color w:val="000000"/>
              </w:rPr>
            </w:pPr>
            <w:r>
              <w:rPr>
                <w:color w:val="000000"/>
              </w:rPr>
              <w:t>Accumulated other comprehensive income</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672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4" w:type="dxa"/>
            <w:tcBorders>
              <w:bottom w:val="single" w:sz="12" w:space="0" w:color="000000"/>
            </w:tcBorders>
            <w:tcMar>
              <w:bottom w:w="28" w:type="dxa"/>
            </w:tcMar>
            <w:vAlign w:val="bottom"/>
          </w:tcPr>
          <w:p>
            <w:pPr>
              <w:pStyle w:val="TableContents"/>
              <w:bidi w:val="0"/>
              <w:spacing w:before="0" w:after="283"/>
              <w:jc w:val="left"/>
              <w:rPr/>
            </w:pPr>
            <w:r>
              <w:rPr/>
              <w:t> </w:t>
            </w:r>
          </w:p>
        </w:tc>
        <w:tc>
          <w:tcPr>
            <w:tcW w:w="1711"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1,777</w:t>
            </w:r>
          </w:p>
        </w:tc>
        <w:tc>
          <w:tcPr>
            <w:tcW w:w="75" w:type="dxa"/>
            <w:tcBorders/>
            <w:vAlign w:val="bottom"/>
          </w:tcPr>
          <w:p>
            <w:pPr>
              <w:pStyle w:val="TableContents"/>
              <w:bidi w:val="0"/>
              <w:spacing w:before="0" w:after="283"/>
              <w:jc w:val="left"/>
              <w:rPr/>
            </w:pPr>
            <w:r>
              <w:rPr/>
              <w:t> </w:t>
            </w:r>
          </w:p>
        </w:tc>
      </w:tr>
      <w:tr>
        <w:trPr/>
        <w:tc>
          <w:tcPr>
            <w:tcW w:w="7700" w:type="dxa"/>
            <w:tcBorders/>
            <w:shd w:fill="CCEEFF" w:val="clear"/>
            <w:vAlign w:val="bottom"/>
          </w:tcPr>
          <w:p>
            <w:pPr>
              <w:pStyle w:val="TableContents"/>
              <w:bidi w:val="0"/>
              <w:spacing w:before="0" w:after="0"/>
              <w:jc w:val="left"/>
              <w:rPr>
                <w:b/>
                <w:color w:val="000000"/>
              </w:rPr>
            </w:pPr>
            <w:r>
              <w:rPr>
                <w:b/>
                <w:color w:val="000000"/>
              </w:rPr>
              <w:t>Total shareholders' equity</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bottom"/>
          </w:tcPr>
          <w:p>
            <w:pPr>
              <w:pStyle w:val="TableContents"/>
              <w:bidi w:val="0"/>
              <w:spacing w:before="0" w:after="0"/>
              <w:jc w:val="right"/>
              <w:rPr>
                <w:b/>
                <w:color w:val="000000"/>
              </w:rPr>
            </w:pPr>
            <w:r>
              <w:rPr>
                <w:b/>
                <w:color w:val="000000"/>
              </w:rPr>
              <w:t>1,946,708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711" w:type="dxa"/>
            <w:tcBorders>
              <w:bottom w:val="single" w:sz="12" w:space="0" w:color="000000"/>
            </w:tcBorders>
            <w:shd w:fill="CCEEFF" w:val="clear"/>
            <w:tcMar>
              <w:bottom w:w="28" w:type="dxa"/>
            </w:tcMar>
            <w:vAlign w:val="bottom"/>
          </w:tcPr>
          <w:p>
            <w:pPr>
              <w:pStyle w:val="TableContents"/>
              <w:bidi w:val="0"/>
              <w:spacing w:before="0" w:after="0"/>
              <w:jc w:val="right"/>
              <w:rPr>
                <w:b/>
                <w:color w:val="000000"/>
              </w:rPr>
            </w:pPr>
            <w:r>
              <w:rPr>
                <w:b/>
                <w:color w:val="000000"/>
              </w:rPr>
              <w:t>1,801,084</w:t>
            </w:r>
          </w:p>
        </w:tc>
        <w:tc>
          <w:tcPr>
            <w:tcW w:w="75" w:type="dxa"/>
            <w:tcBorders/>
            <w:shd w:fill="CCEEFF" w:val="clear"/>
            <w:vAlign w:val="bottom"/>
          </w:tcPr>
          <w:p>
            <w:pPr>
              <w:pStyle w:val="TableContents"/>
              <w:bidi w:val="0"/>
              <w:spacing w:before="0" w:after="283"/>
              <w:jc w:val="left"/>
              <w:rPr/>
            </w:pPr>
            <w:r>
              <w:rPr/>
              <w:t> </w:t>
            </w:r>
          </w:p>
        </w:tc>
      </w:tr>
      <w:tr>
        <w:trPr/>
        <w:tc>
          <w:tcPr>
            <w:tcW w:w="7700" w:type="dxa"/>
            <w:tcBorders/>
            <w:vAlign w:val="bottom"/>
          </w:tcPr>
          <w:p>
            <w:pPr>
              <w:pStyle w:val="TableContents"/>
              <w:bidi w:val="0"/>
              <w:spacing w:before="0" w:after="0"/>
              <w:jc w:val="left"/>
              <w:rPr>
                <w:b/>
                <w:color w:val="000000"/>
              </w:rPr>
            </w:pPr>
            <w:r>
              <w:rPr>
                <w:b/>
                <w:color w:val="000000"/>
              </w:rPr>
              <w:t>TOTAL LIABILITIES AND SHAREHOLDERS' EQUITY</w:t>
            </w:r>
          </w:p>
        </w:tc>
        <w:tc>
          <w:tcPr>
            <w:tcW w:w="60" w:type="dxa"/>
            <w:tcBorders/>
            <w:vAlign w:val="bottom"/>
          </w:tcPr>
          <w:p>
            <w:pPr>
              <w:pStyle w:val="TableContents"/>
              <w:bidi w:val="0"/>
              <w:spacing w:before="0" w:after="283"/>
              <w:jc w:val="lef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b/>
                <w:color w:val="000000"/>
              </w:rPr>
            </w:pPr>
            <w:r>
              <w:rPr>
                <w:b/>
                <w:color w:val="000000"/>
              </w:rPr>
              <w:t>$</w:t>
            </w:r>
          </w:p>
        </w:tc>
        <w:tc>
          <w:tcPr>
            <w:tcW w:w="980" w:type="dxa"/>
            <w:tcBorders>
              <w:bottom w:val="double" w:sz="8" w:space="0" w:color="000000"/>
            </w:tcBorders>
            <w:tcMar>
              <w:bottom w:w="28" w:type="dxa"/>
            </w:tcMar>
            <w:vAlign w:val="bottom"/>
          </w:tcPr>
          <w:p>
            <w:pPr>
              <w:pStyle w:val="TableContents"/>
              <w:bidi w:val="0"/>
              <w:spacing w:before="0" w:after="0"/>
              <w:jc w:val="right"/>
              <w:rPr>
                <w:b/>
                <w:color w:val="000000"/>
              </w:rPr>
            </w:pPr>
            <w:r>
              <w:rPr>
                <w:b/>
                <w:color w:val="000000"/>
              </w:rPr>
              <w:t>2,982,796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4" w:type="dxa"/>
            <w:tcBorders>
              <w:bottom w:val="double" w:sz="8" w:space="0" w:color="000000"/>
            </w:tcBorders>
            <w:tcMar>
              <w:bottom w:w="28" w:type="dxa"/>
            </w:tcMar>
            <w:vAlign w:val="bottom"/>
          </w:tcPr>
          <w:p>
            <w:pPr>
              <w:pStyle w:val="TableContents"/>
              <w:bidi w:val="0"/>
              <w:spacing w:before="0" w:after="0"/>
              <w:jc w:val="left"/>
              <w:rPr>
                <w:b/>
                <w:color w:val="000000"/>
              </w:rPr>
            </w:pPr>
            <w:r>
              <w:rPr>
                <w:b/>
                <w:color w:val="000000"/>
              </w:rPr>
              <w:t>$</w:t>
            </w:r>
          </w:p>
        </w:tc>
        <w:tc>
          <w:tcPr>
            <w:tcW w:w="1711" w:type="dxa"/>
            <w:tcBorders>
              <w:bottom w:val="double" w:sz="8" w:space="0" w:color="000000"/>
            </w:tcBorders>
            <w:tcMar>
              <w:bottom w:w="28" w:type="dxa"/>
            </w:tcMar>
            <w:vAlign w:val="bottom"/>
          </w:tcPr>
          <w:p>
            <w:pPr>
              <w:pStyle w:val="TableContents"/>
              <w:bidi w:val="0"/>
              <w:spacing w:before="0" w:after="0"/>
              <w:jc w:val="right"/>
              <w:rPr>
                <w:b/>
                <w:color w:val="000000"/>
              </w:rPr>
            </w:pPr>
            <w:r>
              <w:rPr>
                <w:b/>
                <w:color w:val="000000"/>
              </w:rPr>
              <w:t>2,861,203</w:t>
            </w:r>
          </w:p>
        </w:tc>
        <w:tc>
          <w:tcPr>
            <w:tcW w:w="75"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Page 15</w:t>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Global Ship Lease, Inc.</w:t>
      </w:r>
    </w:p>
    <w:p>
      <w:pPr>
        <w:pStyle w:val="TextBody"/>
        <w:bidi w:val="0"/>
        <w:spacing w:before="0" w:after="0"/>
        <w:jc w:val="center"/>
        <w:rPr>
          <w:rFonts w:ascii="Times New Roman" w:hAnsi="Times New Roman"/>
          <w:color w:val="000000"/>
          <w:sz w:val="20"/>
        </w:rPr>
      </w:pPr>
      <w:r>
        <w:rPr>
          <w:rFonts w:ascii="Times New Roman" w:hAnsi="Times New Roman"/>
          <w:b/>
          <w:color w:val="000000"/>
          <w:sz w:val="20"/>
        </w:rPr>
        <w:t>Interim Unaudited Condensed Consolidated</w:t>
      </w:r>
      <w:r>
        <w:rPr>
          <w:rFonts w:ascii="Times New Roman" w:hAnsi="Times New Roman"/>
          <w:color w:val="000000"/>
          <w:sz w:val="20"/>
        </w:rPr>
        <w:t> </w:t>
      </w:r>
      <w:r>
        <w:rPr>
          <w:rFonts w:ascii="Times New Roman" w:hAnsi="Times New Roman"/>
          <w:b/>
          <w:color w:val="000000"/>
          <w:sz w:val="20"/>
        </w:rPr>
        <w:t>Statements of Income</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(Expressed in thousands of U.S. dollars)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53" w:name="z6138203b20584150850b8c29fdcd67d7"/>
      <w:bookmarkStart w:id="154" w:name="z6138203b20584150850b8c29fdcd67d7"/>
      <w:bookmarkEnd w:id="154"/>
    </w:p>
    <w:tbl>
      <w:tblPr>
        <w:tblW w:w="11210" w:type="dxa"/>
        <w:jc w:val="left"/>
        <w:tblInd w:w="0" w:type="dxa"/>
        <w:tblLayout w:type="fixed"/>
        <w:tblCellMar>
          <w:top w:w="0" w:type="dxa"/>
          <w:left w:w="0" w:type="dxa"/>
          <w:bottom w:w="0" w:type="dxa"/>
          <w:right w:w="0" w:type="dxa"/>
        </w:tblCellMar>
      </w:tblPr>
      <w:tblGrid>
        <w:gridCol w:w="6815"/>
        <w:gridCol w:w="60"/>
        <w:gridCol w:w="140"/>
        <w:gridCol w:w="800"/>
        <w:gridCol w:w="95"/>
        <w:gridCol w:w="60"/>
        <w:gridCol w:w="140"/>
        <w:gridCol w:w="800"/>
        <w:gridCol w:w="95"/>
        <w:gridCol w:w="60"/>
        <w:gridCol w:w="140"/>
        <w:gridCol w:w="800"/>
        <w:gridCol w:w="95"/>
        <w:gridCol w:w="60"/>
        <w:gridCol w:w="140"/>
        <w:gridCol w:w="800"/>
        <w:gridCol w:w="110"/>
      </w:tblGrid>
      <w:tr>
        <w:trPr/>
        <w:tc>
          <w:tcPr>
            <w:tcW w:w="68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35"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Three months ended June 30,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35"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Six months ended June 30,</w:t>
            </w:r>
          </w:p>
        </w:tc>
        <w:tc>
          <w:tcPr>
            <w:tcW w:w="110" w:type="dxa"/>
            <w:tcBorders/>
            <w:vAlign w:val="bottom"/>
          </w:tcPr>
          <w:p>
            <w:pPr>
              <w:pStyle w:val="TableContents"/>
              <w:bidi w:val="0"/>
              <w:spacing w:before="0" w:after="283"/>
              <w:jc w:val="left"/>
              <w:rPr/>
            </w:pPr>
            <w:r>
              <w:rPr/>
              <w:t> </w:t>
            </w:r>
          </w:p>
        </w:tc>
      </w:tr>
      <w:tr>
        <w:trPr/>
        <w:tc>
          <w:tcPr>
            <w:tcW w:w="68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bottom"/>
          </w:tcPr>
          <w:p>
            <w:pPr>
              <w:pStyle w:val="TableContents"/>
              <w:bidi w:val="0"/>
              <w:spacing w:before="0" w:after="0"/>
              <w:jc w:val="right"/>
              <w:rPr>
                <w:b/>
                <w:color w:val="000000"/>
              </w:rPr>
            </w:pPr>
            <w:r>
              <w:rPr>
                <w:b/>
                <w:color w:val="000000"/>
              </w:rPr>
              <w:t>2026</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bottom"/>
          </w:tcPr>
          <w:p>
            <w:pPr>
              <w:pStyle w:val="TableContents"/>
              <w:bidi w:val="0"/>
              <w:spacing w:before="0" w:after="0"/>
              <w:jc w:val="right"/>
              <w:rPr>
                <w:b/>
                <w:color w:val="000000"/>
              </w:rPr>
            </w:pPr>
            <w:r>
              <w:rPr>
                <w:b/>
                <w:color w:val="000000"/>
              </w:rPr>
              <w:t>2025</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bottom"/>
          </w:tcPr>
          <w:p>
            <w:pPr>
              <w:pStyle w:val="TableContents"/>
              <w:bidi w:val="0"/>
              <w:spacing w:before="0" w:after="0"/>
              <w:jc w:val="right"/>
              <w:rPr>
                <w:b/>
                <w:color w:val="000000"/>
              </w:rPr>
            </w:pPr>
            <w:r>
              <w:rPr>
                <w:b/>
                <w:color w:val="000000"/>
              </w:rPr>
              <w:t>2026</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bottom"/>
          </w:tcPr>
          <w:p>
            <w:pPr>
              <w:pStyle w:val="TableContents"/>
              <w:bidi w:val="0"/>
              <w:spacing w:before="0" w:after="0"/>
              <w:jc w:val="right"/>
              <w:rPr>
                <w:b/>
                <w:color w:val="000000"/>
              </w:rPr>
            </w:pPr>
            <w:r>
              <w:rPr>
                <w:b/>
                <w:color w:val="000000"/>
              </w:rPr>
              <w:t>2025</w:t>
            </w:r>
          </w:p>
        </w:tc>
        <w:tc>
          <w:tcPr>
            <w:tcW w:w="110" w:type="dxa"/>
            <w:tcBorders/>
            <w:vAlign w:val="bottom"/>
          </w:tcPr>
          <w:p>
            <w:pPr>
              <w:pStyle w:val="TableContents"/>
              <w:bidi w:val="0"/>
              <w:spacing w:before="0" w:after="283"/>
              <w:jc w:val="left"/>
              <w:rPr/>
            </w:pPr>
            <w:r>
              <w:rPr/>
              <w:t> </w:t>
            </w:r>
          </w:p>
        </w:tc>
      </w:tr>
      <w:tr>
        <w:trPr/>
        <w:tc>
          <w:tcPr>
            <w:tcW w:w="6815" w:type="dxa"/>
            <w:tcBorders/>
            <w:vAlign w:val="bottom"/>
          </w:tcPr>
          <w:p>
            <w:pPr>
              <w:pStyle w:val="TableContents"/>
              <w:bidi w:val="0"/>
              <w:spacing w:before="0" w:after="0"/>
              <w:jc w:val="left"/>
              <w:rPr>
                <w:b/>
                <w:color w:val="000000"/>
              </w:rPr>
            </w:pPr>
            <w:r>
              <w:rPr>
                <w:b/>
                <w:color w:val="000000"/>
              </w:rPr>
              <w:t>OPERATING REVENUES</w:t>
            </w:r>
          </w:p>
        </w:tc>
        <w:tc>
          <w:tcPr>
            <w:tcW w:w="60" w:type="dxa"/>
            <w:tcBorders/>
            <w:vAlign w:val="bottom"/>
          </w:tcPr>
          <w:p>
            <w:pPr>
              <w:pStyle w:val="TableContents"/>
              <w:bidi w:val="0"/>
              <w:spacing w:before="0" w:after="283"/>
              <w:jc w:val="left"/>
              <w:rPr/>
            </w:pPr>
            <w:r>
              <w:rPr/>
              <w:t> </w:t>
            </w:r>
          </w:p>
        </w:tc>
        <w:tc>
          <w:tcPr>
            <w:tcW w:w="940"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r>
      <w:tr>
        <w:trPr/>
        <w:tc>
          <w:tcPr>
            <w:tcW w:w="6815" w:type="dxa"/>
            <w:tcBorders/>
            <w:shd w:fill="CCEEFF" w:val="clear"/>
            <w:vAlign w:val="bottom"/>
          </w:tcPr>
          <w:p>
            <w:pPr>
              <w:pStyle w:val="TableContents"/>
              <w:bidi w:val="0"/>
              <w:spacing w:before="0" w:after="0"/>
              <w:jc w:val="left"/>
              <w:rPr>
                <w:color w:val="000000"/>
              </w:rPr>
            </w:pPr>
            <w:r>
              <w:rPr>
                <w:color w:val="000000"/>
              </w:rPr>
              <w:t>Time charter revenues</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800" w:type="dxa"/>
            <w:tcBorders/>
            <w:shd w:fill="CCEEFF" w:val="clear"/>
            <w:vAlign w:val="bottom"/>
          </w:tcPr>
          <w:p>
            <w:pPr>
              <w:pStyle w:val="TableContents"/>
              <w:bidi w:val="0"/>
              <w:spacing w:before="0" w:after="0"/>
              <w:jc w:val="right"/>
              <w:rPr>
                <w:color w:val="000000"/>
              </w:rPr>
            </w:pPr>
            <w:r>
              <w:rPr>
                <w:color w:val="000000"/>
              </w:rPr>
              <w:t>192,264</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800" w:type="dxa"/>
            <w:tcBorders/>
            <w:shd w:fill="CCEEFF" w:val="clear"/>
            <w:vAlign w:val="bottom"/>
          </w:tcPr>
          <w:p>
            <w:pPr>
              <w:pStyle w:val="TableContents"/>
              <w:bidi w:val="0"/>
              <w:spacing w:before="0" w:after="0"/>
              <w:jc w:val="right"/>
              <w:rPr>
                <w:color w:val="000000"/>
              </w:rPr>
            </w:pPr>
            <w:r>
              <w:rPr>
                <w:color w:val="000000"/>
              </w:rPr>
              <w:t>188,540</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800" w:type="dxa"/>
            <w:tcBorders/>
            <w:shd w:fill="CCEEFF" w:val="clear"/>
            <w:vAlign w:val="bottom"/>
          </w:tcPr>
          <w:p>
            <w:pPr>
              <w:pStyle w:val="TableContents"/>
              <w:bidi w:val="0"/>
              <w:spacing w:before="0" w:after="0"/>
              <w:jc w:val="right"/>
              <w:rPr>
                <w:color w:val="000000"/>
              </w:rPr>
            </w:pPr>
            <w:r>
              <w:rPr>
                <w:color w:val="000000"/>
              </w:rPr>
              <w:t>384,096</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800" w:type="dxa"/>
            <w:tcBorders/>
            <w:shd w:fill="CCEEFF" w:val="clear"/>
            <w:vAlign w:val="bottom"/>
          </w:tcPr>
          <w:p>
            <w:pPr>
              <w:pStyle w:val="TableContents"/>
              <w:bidi w:val="0"/>
              <w:spacing w:before="0" w:after="0"/>
              <w:jc w:val="right"/>
              <w:rPr>
                <w:color w:val="000000"/>
              </w:rPr>
            </w:pPr>
            <w:r>
              <w:rPr>
                <w:color w:val="000000"/>
              </w:rPr>
              <w:t>376,301</w:t>
            </w:r>
          </w:p>
        </w:tc>
        <w:tc>
          <w:tcPr>
            <w:tcW w:w="110" w:type="dxa"/>
            <w:tcBorders/>
            <w:shd w:fill="CCEEFF" w:val="clear"/>
            <w:vAlign w:val="bottom"/>
          </w:tcPr>
          <w:p>
            <w:pPr>
              <w:pStyle w:val="TableContents"/>
              <w:bidi w:val="0"/>
              <w:spacing w:before="0" w:after="283"/>
              <w:jc w:val="left"/>
              <w:rPr/>
            </w:pPr>
            <w:r>
              <w:rPr/>
              <w:t> </w:t>
            </w:r>
          </w:p>
        </w:tc>
      </w:tr>
      <w:tr>
        <w:trPr/>
        <w:tc>
          <w:tcPr>
            <w:tcW w:w="6815" w:type="dxa"/>
            <w:tcBorders/>
            <w:vAlign w:val="bottom"/>
          </w:tcPr>
          <w:p>
            <w:pPr>
              <w:pStyle w:val="TableContents"/>
              <w:bidi w:val="0"/>
              <w:spacing w:before="0" w:after="0"/>
              <w:jc w:val="left"/>
              <w:rPr>
                <w:color w:val="000000"/>
              </w:rPr>
            </w:pPr>
            <w:r>
              <w:rPr>
                <w:color w:val="000000"/>
              </w:rPr>
              <w:t>Amortization of intangible liabilities-charter agreements</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6,425</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3,319</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12,672</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6,533</w:t>
            </w:r>
          </w:p>
        </w:tc>
        <w:tc>
          <w:tcPr>
            <w:tcW w:w="110" w:type="dxa"/>
            <w:tcBorders/>
            <w:vAlign w:val="bottom"/>
          </w:tcPr>
          <w:p>
            <w:pPr>
              <w:pStyle w:val="TableContents"/>
              <w:bidi w:val="0"/>
              <w:spacing w:before="0" w:after="283"/>
              <w:jc w:val="left"/>
              <w:rPr/>
            </w:pPr>
            <w:r>
              <w:rPr/>
              <w:t> </w:t>
            </w:r>
          </w:p>
        </w:tc>
      </w:tr>
      <w:tr>
        <w:trPr/>
        <w:tc>
          <w:tcPr>
            <w:tcW w:w="6815" w:type="dxa"/>
            <w:tcBorders/>
            <w:shd w:fill="CCEEFF" w:val="clear"/>
            <w:vAlign w:val="bottom"/>
          </w:tcPr>
          <w:p>
            <w:pPr>
              <w:pStyle w:val="TableContents"/>
              <w:bidi w:val="0"/>
              <w:spacing w:before="0" w:after="0"/>
              <w:jc w:val="left"/>
              <w:rPr>
                <w:b/>
                <w:color w:val="000000"/>
              </w:rPr>
            </w:pPr>
            <w:r>
              <w:rPr>
                <w:b/>
                <w:color w:val="000000"/>
              </w:rPr>
              <w:t>Total Operating Revenues</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bottom"/>
          </w:tcPr>
          <w:p>
            <w:pPr>
              <w:pStyle w:val="TableContents"/>
              <w:bidi w:val="0"/>
              <w:spacing w:before="0" w:after="0"/>
              <w:jc w:val="right"/>
              <w:rPr>
                <w:b/>
                <w:color w:val="000000"/>
              </w:rPr>
            </w:pPr>
            <w:r>
              <w:rPr>
                <w:b/>
                <w:color w:val="000000"/>
              </w:rPr>
              <w:t>198,689</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bottom"/>
          </w:tcPr>
          <w:p>
            <w:pPr>
              <w:pStyle w:val="TableContents"/>
              <w:bidi w:val="0"/>
              <w:spacing w:before="0" w:after="0"/>
              <w:jc w:val="right"/>
              <w:rPr>
                <w:b/>
                <w:color w:val="000000"/>
              </w:rPr>
            </w:pPr>
            <w:r>
              <w:rPr>
                <w:b/>
                <w:color w:val="000000"/>
              </w:rPr>
              <w:t>191,859</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bottom"/>
          </w:tcPr>
          <w:p>
            <w:pPr>
              <w:pStyle w:val="TableContents"/>
              <w:bidi w:val="0"/>
              <w:spacing w:before="0" w:after="0"/>
              <w:jc w:val="right"/>
              <w:rPr>
                <w:b/>
                <w:color w:val="000000"/>
              </w:rPr>
            </w:pPr>
            <w:r>
              <w:rPr>
                <w:b/>
                <w:color w:val="000000"/>
              </w:rPr>
              <w:t>396,768</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bottom"/>
          </w:tcPr>
          <w:p>
            <w:pPr>
              <w:pStyle w:val="TableContents"/>
              <w:bidi w:val="0"/>
              <w:spacing w:before="0" w:after="0"/>
              <w:jc w:val="right"/>
              <w:rPr>
                <w:b/>
                <w:color w:val="000000"/>
              </w:rPr>
            </w:pPr>
            <w:r>
              <w:rPr>
                <w:b/>
                <w:color w:val="000000"/>
              </w:rPr>
              <w:t>382,834</w:t>
            </w:r>
          </w:p>
        </w:tc>
        <w:tc>
          <w:tcPr>
            <w:tcW w:w="110" w:type="dxa"/>
            <w:tcBorders/>
            <w:shd w:fill="CCEEFF" w:val="clear"/>
            <w:vAlign w:val="bottom"/>
          </w:tcPr>
          <w:p>
            <w:pPr>
              <w:pStyle w:val="TableContents"/>
              <w:bidi w:val="0"/>
              <w:spacing w:before="0" w:after="283"/>
              <w:jc w:val="left"/>
              <w:rPr/>
            </w:pPr>
            <w:r>
              <w:rPr/>
              <w:t> </w:t>
            </w:r>
          </w:p>
        </w:tc>
      </w:tr>
      <w:tr>
        <w:trPr/>
        <w:tc>
          <w:tcPr>
            <w:tcW w:w="68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110" w:type="dxa"/>
            <w:tcBorders/>
            <w:vAlign w:val="bottom"/>
          </w:tcPr>
          <w:p>
            <w:pPr>
              <w:pStyle w:val="TableContents"/>
              <w:bidi w:val="0"/>
              <w:spacing w:before="0" w:after="283"/>
              <w:jc w:val="left"/>
              <w:rPr/>
            </w:pPr>
            <w:r>
              <w:rPr/>
              <w:t> </w:t>
            </w:r>
          </w:p>
        </w:tc>
      </w:tr>
      <w:tr>
        <w:trPr/>
        <w:tc>
          <w:tcPr>
            <w:tcW w:w="68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110" w:type="dxa"/>
            <w:tcBorders/>
            <w:shd w:fill="CCEEFF" w:val="clear"/>
            <w:vAlign w:val="bottom"/>
          </w:tcPr>
          <w:p>
            <w:pPr>
              <w:pStyle w:val="TableContents"/>
              <w:bidi w:val="0"/>
              <w:spacing w:before="0" w:after="283"/>
              <w:jc w:val="left"/>
              <w:rPr/>
            </w:pPr>
            <w:r>
              <w:rPr/>
              <w:t> </w:t>
            </w:r>
          </w:p>
        </w:tc>
      </w:tr>
      <w:tr>
        <w:trPr/>
        <w:tc>
          <w:tcPr>
            <w:tcW w:w="6815" w:type="dxa"/>
            <w:tcBorders/>
            <w:vAlign w:val="bottom"/>
          </w:tcPr>
          <w:p>
            <w:pPr>
              <w:pStyle w:val="TableContents"/>
              <w:bidi w:val="0"/>
              <w:spacing w:before="0" w:after="0"/>
              <w:jc w:val="left"/>
              <w:rPr>
                <w:b/>
                <w:color w:val="000000"/>
              </w:rPr>
            </w:pPr>
            <w:r>
              <w:rPr>
                <w:b/>
                <w:color w:val="000000"/>
              </w:rPr>
              <w:t>OPERATING EXPENSES:</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110" w:type="dxa"/>
            <w:tcBorders/>
            <w:vAlign w:val="bottom"/>
          </w:tcPr>
          <w:p>
            <w:pPr>
              <w:pStyle w:val="TableContents"/>
              <w:bidi w:val="0"/>
              <w:spacing w:before="0" w:after="283"/>
              <w:jc w:val="left"/>
              <w:rPr/>
            </w:pPr>
            <w:r>
              <w:rPr/>
              <w:t> </w:t>
            </w:r>
          </w:p>
        </w:tc>
      </w:tr>
      <w:tr>
        <w:trPr/>
        <w:tc>
          <w:tcPr>
            <w:tcW w:w="6815" w:type="dxa"/>
            <w:tcBorders/>
            <w:shd w:fill="CCEEFF" w:val="clear"/>
            <w:vAlign w:val="bottom"/>
          </w:tcPr>
          <w:p>
            <w:pPr>
              <w:pStyle w:val="TableContents"/>
              <w:bidi w:val="0"/>
              <w:spacing w:before="0" w:after="0"/>
              <w:jc w:val="left"/>
              <w:rPr>
                <w:color w:val="000000"/>
              </w:rPr>
            </w:pPr>
            <w:r>
              <w:rPr>
                <w:color w:val="000000"/>
              </w:rPr>
              <w:t>Vessel operating expenses (including $6,457 and $5,858 for each of the three month periods ended June 30, 2026 and 2025, respectively, and $12,989 and $11,466 for each of the six month periods ended June 30, 2026 and 2025, respectively, to related party)</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color w:val="000000"/>
              </w:rPr>
            </w:pPr>
            <w:r>
              <w:rPr>
                <w:color w:val="000000"/>
              </w:rPr>
              <w:t>56,994</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color w:val="000000"/>
              </w:rPr>
            </w:pPr>
            <w:r>
              <w:rPr>
                <w:color w:val="000000"/>
              </w:rPr>
              <w:t>50,511</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color w:val="000000"/>
              </w:rPr>
            </w:pPr>
            <w:r>
              <w:rPr>
                <w:color w:val="000000"/>
              </w:rPr>
              <w:t>109,712</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color w:val="000000"/>
              </w:rPr>
            </w:pPr>
            <w:r>
              <w:rPr>
                <w:color w:val="000000"/>
              </w:rPr>
              <w:t>100,519</w:t>
            </w:r>
          </w:p>
        </w:tc>
        <w:tc>
          <w:tcPr>
            <w:tcW w:w="110" w:type="dxa"/>
            <w:tcBorders/>
            <w:shd w:fill="CCEEFF" w:val="clear"/>
            <w:vAlign w:val="bottom"/>
          </w:tcPr>
          <w:p>
            <w:pPr>
              <w:pStyle w:val="TableContents"/>
              <w:bidi w:val="0"/>
              <w:spacing w:before="0" w:after="283"/>
              <w:jc w:val="left"/>
              <w:rPr/>
            </w:pPr>
            <w:r>
              <w:rPr/>
              <w:t> </w:t>
            </w:r>
          </w:p>
        </w:tc>
      </w:tr>
      <w:tr>
        <w:trPr/>
        <w:tc>
          <w:tcPr>
            <w:tcW w:w="6815" w:type="dxa"/>
            <w:tcBorders/>
            <w:vAlign w:val="bottom"/>
          </w:tcPr>
          <w:p>
            <w:pPr>
              <w:pStyle w:val="TableContents"/>
              <w:bidi w:val="0"/>
              <w:spacing w:before="0" w:after="0"/>
              <w:jc w:val="left"/>
              <w:rPr>
                <w:color w:val="000000"/>
              </w:rPr>
            </w:pPr>
            <w:r>
              <w:rPr>
                <w:color w:val="000000"/>
              </w:rPr>
              <w:t>Time charter and voyage expenses (including $2,269 and $1,787 for each of the three month periods ended June 30, 2026 and 2025, respectively, and $4,477 and $3,719 for each of the six month periods ended June 30, 2026 and 2025, respectively, to related party)</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color w:val="000000"/>
              </w:rPr>
            </w:pPr>
            <w:r>
              <w:rPr>
                <w:color w:val="000000"/>
              </w:rPr>
              <w:t>6,464</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color w:val="000000"/>
              </w:rPr>
            </w:pPr>
            <w:r>
              <w:rPr>
                <w:color w:val="000000"/>
              </w:rPr>
              <w:t>5,074</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color w:val="000000"/>
              </w:rPr>
            </w:pPr>
            <w:r>
              <w:rPr>
                <w:color w:val="000000"/>
              </w:rPr>
              <w:t>12,088</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color w:val="000000"/>
              </w:rPr>
            </w:pPr>
            <w:r>
              <w:rPr>
                <w:color w:val="000000"/>
              </w:rPr>
              <w:t>11,603</w:t>
            </w:r>
          </w:p>
        </w:tc>
        <w:tc>
          <w:tcPr>
            <w:tcW w:w="110" w:type="dxa"/>
            <w:tcBorders/>
            <w:vAlign w:val="bottom"/>
          </w:tcPr>
          <w:p>
            <w:pPr>
              <w:pStyle w:val="TableContents"/>
              <w:bidi w:val="0"/>
              <w:spacing w:before="0" w:after="283"/>
              <w:jc w:val="left"/>
              <w:rPr/>
            </w:pPr>
            <w:r>
              <w:rPr/>
              <w:t> </w:t>
            </w:r>
          </w:p>
        </w:tc>
      </w:tr>
      <w:tr>
        <w:trPr/>
        <w:tc>
          <w:tcPr>
            <w:tcW w:w="6815" w:type="dxa"/>
            <w:tcBorders/>
            <w:shd w:fill="CCEEFF" w:val="clear"/>
            <w:vAlign w:val="bottom"/>
          </w:tcPr>
          <w:p>
            <w:pPr>
              <w:pStyle w:val="TableContents"/>
              <w:bidi w:val="0"/>
              <w:spacing w:before="0" w:after="0"/>
              <w:jc w:val="left"/>
              <w:rPr>
                <w:color w:val="000000"/>
              </w:rPr>
            </w:pPr>
            <w:r>
              <w:rPr>
                <w:color w:val="000000"/>
              </w:rPr>
              <w:t>Depreciation and amortization</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color w:val="000000"/>
              </w:rPr>
            </w:pPr>
            <w:r>
              <w:rPr>
                <w:color w:val="000000"/>
              </w:rPr>
              <w:t>34,189</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color w:val="000000"/>
              </w:rPr>
            </w:pPr>
            <w:r>
              <w:rPr>
                <w:color w:val="000000"/>
              </w:rPr>
              <w:t>30,328</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color w:val="000000"/>
              </w:rPr>
            </w:pPr>
            <w:r>
              <w:rPr>
                <w:color w:val="000000"/>
              </w:rPr>
              <w:t>67,661</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color w:val="000000"/>
              </w:rPr>
            </w:pPr>
            <w:r>
              <w:rPr>
                <w:color w:val="000000"/>
              </w:rPr>
              <w:t>60,121</w:t>
            </w:r>
          </w:p>
        </w:tc>
        <w:tc>
          <w:tcPr>
            <w:tcW w:w="110" w:type="dxa"/>
            <w:tcBorders/>
            <w:shd w:fill="CCEEFF" w:val="clear"/>
            <w:vAlign w:val="bottom"/>
          </w:tcPr>
          <w:p>
            <w:pPr>
              <w:pStyle w:val="TableContents"/>
              <w:bidi w:val="0"/>
              <w:spacing w:before="0" w:after="283"/>
              <w:jc w:val="left"/>
              <w:rPr/>
            </w:pPr>
            <w:r>
              <w:rPr/>
              <w:t> </w:t>
            </w:r>
          </w:p>
        </w:tc>
      </w:tr>
      <w:tr>
        <w:trPr/>
        <w:tc>
          <w:tcPr>
            <w:tcW w:w="6815" w:type="dxa"/>
            <w:tcBorders/>
            <w:vAlign w:val="bottom"/>
          </w:tcPr>
          <w:p>
            <w:pPr>
              <w:pStyle w:val="TableContents"/>
              <w:bidi w:val="0"/>
              <w:spacing w:before="0" w:after="0"/>
              <w:jc w:val="left"/>
              <w:rPr/>
            </w:pPr>
            <w:r>
              <w:rPr/>
              <w:t>General and administrative expenses</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pPr>
            <w:r>
              <w:rPr/>
              <w:t>7,175</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pPr>
            <w:r>
              <w:rPr/>
              <w:t>4,069</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color w:val="000000"/>
              </w:rPr>
            </w:pPr>
            <w:r>
              <w:rPr>
                <w:color w:val="000000"/>
              </w:rPr>
              <w:t>16,022</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color w:val="000000"/>
              </w:rPr>
            </w:pPr>
            <w:r>
              <w:rPr>
                <w:color w:val="000000"/>
              </w:rPr>
              <w:t>8,674</w:t>
            </w:r>
          </w:p>
        </w:tc>
        <w:tc>
          <w:tcPr>
            <w:tcW w:w="110" w:type="dxa"/>
            <w:tcBorders/>
            <w:vAlign w:val="bottom"/>
          </w:tcPr>
          <w:p>
            <w:pPr>
              <w:pStyle w:val="TableContents"/>
              <w:bidi w:val="0"/>
              <w:spacing w:before="0" w:after="283"/>
              <w:jc w:val="left"/>
              <w:rPr/>
            </w:pPr>
            <w:r>
              <w:rPr/>
              <w:t> </w:t>
            </w:r>
          </w:p>
        </w:tc>
      </w:tr>
      <w:tr>
        <w:trPr/>
        <w:tc>
          <w:tcPr>
            <w:tcW w:w="6815" w:type="dxa"/>
            <w:tcBorders/>
            <w:shd w:fill="CCEEFF" w:val="clear"/>
            <w:vAlign w:val="bottom"/>
          </w:tcPr>
          <w:p>
            <w:pPr>
              <w:pStyle w:val="TableContents"/>
              <w:bidi w:val="0"/>
              <w:spacing w:before="0" w:after="0"/>
              <w:jc w:val="left"/>
              <w:rPr>
                <w:color w:val="000000"/>
              </w:rPr>
            </w:pPr>
            <w:r>
              <w:rPr>
                <w:color w:val="000000"/>
              </w:rPr>
              <w:t>Loss/(gain) on sale of vessels</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115</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(28,343</w:t>
            </w:r>
          </w:p>
        </w:tc>
        <w:tc>
          <w:tcPr>
            <w:tcW w:w="110" w:type="dxa"/>
            <w:tcBorders/>
            <w:shd w:fill="CCEEFF" w:val="clear"/>
            <w:vAlign w:val="bottom"/>
          </w:tcPr>
          <w:p>
            <w:pPr>
              <w:pStyle w:val="TableContents"/>
              <w:bidi w:val="0"/>
              <w:spacing w:before="0" w:after="0"/>
              <w:jc w:val="left"/>
              <w:rPr>
                <w:color w:val="000000"/>
              </w:rPr>
            </w:pPr>
            <w:r>
              <w:rPr>
                <w:color w:val="000000"/>
              </w:rPr>
              <w:t>)</w:t>
            </w:r>
          </w:p>
        </w:tc>
      </w:tr>
      <w:tr>
        <w:trPr/>
        <w:tc>
          <w:tcPr>
            <w:tcW w:w="6815" w:type="dxa"/>
            <w:tcBorders/>
            <w:vAlign w:val="bottom"/>
          </w:tcPr>
          <w:p>
            <w:pPr>
              <w:pStyle w:val="TableContents"/>
              <w:bidi w:val="0"/>
              <w:spacing w:before="0" w:after="0"/>
              <w:jc w:val="left"/>
              <w:rPr>
                <w:b/>
                <w:color w:val="000000"/>
              </w:rPr>
            </w:pPr>
            <w:r>
              <w:rPr>
                <w:b/>
                <w:color w:val="000000"/>
              </w:rPr>
              <w:t>Operating Income</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tcMar>
              <w:bottom w:w="28" w:type="dxa"/>
            </w:tcMar>
            <w:vAlign w:val="bottom"/>
          </w:tcPr>
          <w:p>
            <w:pPr>
              <w:pStyle w:val="TableContents"/>
              <w:bidi w:val="0"/>
              <w:spacing w:before="0" w:after="0"/>
              <w:jc w:val="right"/>
              <w:rPr>
                <w:b/>
                <w:color w:val="000000"/>
              </w:rPr>
            </w:pPr>
            <w:r>
              <w:rPr>
                <w:b/>
                <w:color w:val="000000"/>
              </w:rPr>
              <w:t>93,867</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tcMar>
              <w:bottom w:w="28" w:type="dxa"/>
            </w:tcMar>
            <w:vAlign w:val="bottom"/>
          </w:tcPr>
          <w:p>
            <w:pPr>
              <w:pStyle w:val="TableContents"/>
              <w:bidi w:val="0"/>
              <w:spacing w:before="0" w:after="0"/>
              <w:jc w:val="right"/>
              <w:rPr>
                <w:b/>
                <w:color w:val="000000"/>
              </w:rPr>
            </w:pPr>
            <w:r>
              <w:rPr>
                <w:b/>
                <w:color w:val="000000"/>
              </w:rPr>
              <w:t>101,762</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tcMar>
              <w:bottom w:w="28" w:type="dxa"/>
            </w:tcMar>
            <w:vAlign w:val="bottom"/>
          </w:tcPr>
          <w:p>
            <w:pPr>
              <w:pStyle w:val="TableContents"/>
              <w:bidi w:val="0"/>
              <w:spacing w:before="0" w:after="0"/>
              <w:jc w:val="right"/>
              <w:rPr>
                <w:b/>
                <w:color w:val="000000"/>
              </w:rPr>
            </w:pPr>
            <w:r>
              <w:rPr>
                <w:b/>
                <w:color w:val="000000"/>
              </w:rPr>
              <w:t>191,285</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tcMar>
              <w:bottom w:w="28" w:type="dxa"/>
            </w:tcMar>
            <w:vAlign w:val="bottom"/>
          </w:tcPr>
          <w:p>
            <w:pPr>
              <w:pStyle w:val="TableContents"/>
              <w:bidi w:val="0"/>
              <w:spacing w:before="0" w:after="0"/>
              <w:jc w:val="right"/>
              <w:rPr>
                <w:b/>
                <w:color w:val="000000"/>
              </w:rPr>
            </w:pPr>
            <w:r>
              <w:rPr>
                <w:b/>
                <w:color w:val="000000"/>
              </w:rPr>
              <w:t>230,260</w:t>
            </w:r>
          </w:p>
        </w:tc>
        <w:tc>
          <w:tcPr>
            <w:tcW w:w="110" w:type="dxa"/>
            <w:tcBorders/>
            <w:vAlign w:val="bottom"/>
          </w:tcPr>
          <w:p>
            <w:pPr>
              <w:pStyle w:val="TableContents"/>
              <w:bidi w:val="0"/>
              <w:spacing w:before="0" w:after="283"/>
              <w:jc w:val="left"/>
              <w:rPr/>
            </w:pPr>
            <w:r>
              <w:rPr/>
              <w:t> </w:t>
            </w:r>
          </w:p>
        </w:tc>
      </w:tr>
      <w:tr>
        <w:trPr/>
        <w:tc>
          <w:tcPr>
            <w:tcW w:w="68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110" w:type="dxa"/>
            <w:tcBorders/>
            <w:shd w:fill="CCEEFF" w:val="clear"/>
            <w:vAlign w:val="bottom"/>
          </w:tcPr>
          <w:p>
            <w:pPr>
              <w:pStyle w:val="TableContents"/>
              <w:bidi w:val="0"/>
              <w:spacing w:before="0" w:after="283"/>
              <w:jc w:val="left"/>
              <w:rPr/>
            </w:pPr>
            <w:r>
              <w:rPr/>
              <w:t> </w:t>
            </w:r>
          </w:p>
        </w:tc>
      </w:tr>
      <w:tr>
        <w:trPr/>
        <w:tc>
          <w:tcPr>
            <w:tcW w:w="68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110" w:type="dxa"/>
            <w:tcBorders/>
            <w:vAlign w:val="bottom"/>
          </w:tcPr>
          <w:p>
            <w:pPr>
              <w:pStyle w:val="TableContents"/>
              <w:bidi w:val="0"/>
              <w:spacing w:before="0" w:after="283"/>
              <w:jc w:val="left"/>
              <w:rPr/>
            </w:pPr>
            <w:r>
              <w:rPr/>
              <w:t> </w:t>
            </w:r>
          </w:p>
        </w:tc>
      </w:tr>
      <w:tr>
        <w:trPr/>
        <w:tc>
          <w:tcPr>
            <w:tcW w:w="6815" w:type="dxa"/>
            <w:tcBorders/>
            <w:shd w:fill="CCEEFF" w:val="clear"/>
            <w:vAlign w:val="bottom"/>
          </w:tcPr>
          <w:p>
            <w:pPr>
              <w:pStyle w:val="TableContents"/>
              <w:bidi w:val="0"/>
              <w:spacing w:before="0" w:after="0"/>
              <w:jc w:val="left"/>
              <w:rPr>
                <w:b/>
                <w:color w:val="000000"/>
              </w:rPr>
            </w:pPr>
            <w:r>
              <w:rPr>
                <w:b/>
                <w:color w:val="000000"/>
              </w:rPr>
              <w:t>NON-OPERATING INCOME/(EXPENSES)</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110" w:type="dxa"/>
            <w:tcBorders/>
            <w:shd w:fill="CCEEFF" w:val="clear"/>
            <w:vAlign w:val="bottom"/>
          </w:tcPr>
          <w:p>
            <w:pPr>
              <w:pStyle w:val="TableContents"/>
              <w:bidi w:val="0"/>
              <w:spacing w:before="0" w:after="283"/>
              <w:jc w:val="left"/>
              <w:rPr/>
            </w:pPr>
            <w:r>
              <w:rPr/>
              <w:t> </w:t>
            </w:r>
          </w:p>
        </w:tc>
      </w:tr>
      <w:tr>
        <w:trPr/>
        <w:tc>
          <w:tcPr>
            <w:tcW w:w="6815" w:type="dxa"/>
            <w:tcBorders/>
            <w:vAlign w:val="bottom"/>
          </w:tcPr>
          <w:p>
            <w:pPr>
              <w:pStyle w:val="TableContents"/>
              <w:bidi w:val="0"/>
              <w:spacing w:before="0" w:after="0"/>
              <w:jc w:val="left"/>
              <w:rPr>
                <w:color w:val="000000"/>
              </w:rPr>
            </w:pPr>
            <w:r>
              <w:rPr>
                <w:color w:val="000000"/>
              </w:rPr>
              <w:t>Interest income</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color w:val="000000"/>
              </w:rPr>
            </w:pPr>
            <w:r>
              <w:rPr>
                <w:color w:val="000000"/>
              </w:rPr>
              <w:t>5,606</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color w:val="000000"/>
              </w:rPr>
            </w:pPr>
            <w:r>
              <w:rPr>
                <w:color w:val="000000"/>
              </w:rPr>
              <w:t>4,676</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color w:val="000000"/>
              </w:rPr>
            </w:pPr>
            <w:r>
              <w:rPr>
                <w:color w:val="000000"/>
              </w:rPr>
              <w:t>11,272</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color w:val="000000"/>
              </w:rPr>
            </w:pPr>
            <w:r>
              <w:rPr>
                <w:color w:val="000000"/>
              </w:rPr>
              <w:t>7,871</w:t>
            </w:r>
          </w:p>
        </w:tc>
        <w:tc>
          <w:tcPr>
            <w:tcW w:w="110" w:type="dxa"/>
            <w:tcBorders/>
            <w:vAlign w:val="bottom"/>
          </w:tcPr>
          <w:p>
            <w:pPr>
              <w:pStyle w:val="TableContents"/>
              <w:bidi w:val="0"/>
              <w:spacing w:before="0" w:after="283"/>
              <w:jc w:val="left"/>
              <w:rPr/>
            </w:pPr>
            <w:r>
              <w:rPr/>
              <w:t> </w:t>
            </w:r>
          </w:p>
        </w:tc>
      </w:tr>
      <w:tr>
        <w:trPr/>
        <w:tc>
          <w:tcPr>
            <w:tcW w:w="6815" w:type="dxa"/>
            <w:tcBorders/>
            <w:shd w:fill="CCEEFF" w:val="clear"/>
            <w:vAlign w:val="bottom"/>
          </w:tcPr>
          <w:p>
            <w:pPr>
              <w:pStyle w:val="TableContents"/>
              <w:bidi w:val="0"/>
              <w:spacing w:before="0" w:after="0"/>
              <w:jc w:val="left"/>
              <w:rPr>
                <w:color w:val="000000"/>
              </w:rPr>
            </w:pPr>
            <w:r>
              <w:rPr>
                <w:color w:val="000000"/>
              </w:rPr>
              <w:t>Interest and other finance expenses</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color w:val="000000"/>
              </w:rPr>
            </w:pPr>
            <w:r>
              <w:rPr>
                <w:color w:val="000000"/>
              </w:rPr>
              <w:t>(9,440</w:t>
            </w:r>
          </w:p>
        </w:tc>
        <w:tc>
          <w:tcPr>
            <w:tcW w:w="9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color w:val="000000"/>
              </w:rPr>
            </w:pPr>
            <w:r>
              <w:rPr>
                <w:color w:val="000000"/>
              </w:rPr>
              <w:t>(10,596</w:t>
            </w:r>
          </w:p>
        </w:tc>
        <w:tc>
          <w:tcPr>
            <w:tcW w:w="9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color w:val="000000"/>
              </w:rPr>
            </w:pPr>
            <w:r>
              <w:rPr>
                <w:color w:val="000000"/>
              </w:rPr>
              <w:t>(18,779</w:t>
            </w:r>
          </w:p>
        </w:tc>
        <w:tc>
          <w:tcPr>
            <w:tcW w:w="9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color w:val="000000"/>
              </w:rPr>
            </w:pPr>
            <w:r>
              <w:rPr>
                <w:color w:val="000000"/>
              </w:rPr>
              <w:t>(20,463</w:t>
            </w:r>
          </w:p>
        </w:tc>
        <w:tc>
          <w:tcPr>
            <w:tcW w:w="110" w:type="dxa"/>
            <w:tcBorders/>
            <w:shd w:fill="CCEEFF" w:val="clear"/>
            <w:vAlign w:val="bottom"/>
          </w:tcPr>
          <w:p>
            <w:pPr>
              <w:pStyle w:val="TableContents"/>
              <w:bidi w:val="0"/>
              <w:spacing w:before="0" w:after="0"/>
              <w:jc w:val="left"/>
              <w:rPr>
                <w:color w:val="000000"/>
              </w:rPr>
            </w:pPr>
            <w:r>
              <w:rPr>
                <w:color w:val="000000"/>
              </w:rPr>
              <w:t>)</w:t>
            </w:r>
          </w:p>
        </w:tc>
      </w:tr>
      <w:tr>
        <w:trPr/>
        <w:tc>
          <w:tcPr>
            <w:tcW w:w="6815" w:type="dxa"/>
            <w:tcBorders/>
            <w:vAlign w:val="bottom"/>
          </w:tcPr>
          <w:p>
            <w:pPr>
              <w:pStyle w:val="TableContents"/>
              <w:bidi w:val="0"/>
              <w:spacing w:before="0" w:after="0"/>
              <w:jc w:val="left"/>
              <w:rPr>
                <w:color w:val="000000"/>
              </w:rPr>
            </w:pPr>
            <w:r>
              <w:rPr>
                <w:color w:val="000000"/>
              </w:rPr>
              <w:t>Other income, net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color w:val="000000"/>
              </w:rPr>
            </w:pPr>
            <w:r>
              <w:rPr>
                <w:color w:val="000000"/>
              </w:rPr>
              <w:t>1,870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color w:val="000000"/>
              </w:rPr>
            </w:pPr>
            <w:r>
              <w:rPr>
                <w:color w:val="000000"/>
              </w:rPr>
              <w:t>803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color w:val="000000"/>
              </w:rPr>
            </w:pPr>
            <w:r>
              <w:rPr>
                <w:color w:val="000000"/>
              </w:rPr>
              <w:t>2,854</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color w:val="000000"/>
              </w:rPr>
            </w:pPr>
            <w:r>
              <w:rPr>
                <w:color w:val="000000"/>
              </w:rPr>
              <w:t>3,994</w:t>
            </w:r>
          </w:p>
        </w:tc>
        <w:tc>
          <w:tcPr>
            <w:tcW w:w="110" w:type="dxa"/>
            <w:tcBorders/>
            <w:vAlign w:val="bottom"/>
          </w:tcPr>
          <w:p>
            <w:pPr>
              <w:pStyle w:val="TableContents"/>
              <w:bidi w:val="0"/>
              <w:spacing w:before="0" w:after="283"/>
              <w:jc w:val="left"/>
              <w:rPr/>
            </w:pPr>
            <w:r>
              <w:rPr/>
              <w:t> </w:t>
            </w:r>
          </w:p>
        </w:tc>
      </w:tr>
      <w:tr>
        <w:trPr/>
        <w:tc>
          <w:tcPr>
            <w:tcW w:w="6815" w:type="dxa"/>
            <w:tcBorders/>
            <w:shd w:fill="CCEEFF" w:val="clear"/>
            <w:vAlign w:val="bottom"/>
          </w:tcPr>
          <w:p>
            <w:pPr>
              <w:pStyle w:val="TableContents"/>
              <w:bidi w:val="0"/>
              <w:spacing w:before="0" w:after="0"/>
              <w:jc w:val="left"/>
              <w:rPr>
                <w:color w:val="000000"/>
              </w:rPr>
            </w:pPr>
            <w:r>
              <w:rPr>
                <w:color w:val="000000"/>
              </w:rPr>
              <w:t>Fair value adjustment on derivative asset and other financial instruments</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(227</w:t>
            </w:r>
          </w:p>
        </w:tc>
        <w:tc>
          <w:tcPr>
            <w:tcW w:w="9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(1,208</w:t>
            </w:r>
          </w:p>
        </w:tc>
        <w:tc>
          <w:tcPr>
            <w:tcW w:w="9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(1,127</w:t>
            </w:r>
          </w:p>
        </w:tc>
        <w:tc>
          <w:tcPr>
            <w:tcW w:w="9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(2,831</w:t>
            </w:r>
          </w:p>
        </w:tc>
        <w:tc>
          <w:tcPr>
            <w:tcW w:w="110" w:type="dxa"/>
            <w:tcBorders/>
            <w:shd w:fill="CCEEFF" w:val="clear"/>
            <w:vAlign w:val="bottom"/>
          </w:tcPr>
          <w:p>
            <w:pPr>
              <w:pStyle w:val="TableContents"/>
              <w:bidi w:val="0"/>
              <w:spacing w:before="0" w:after="0"/>
              <w:jc w:val="left"/>
              <w:rPr>
                <w:color w:val="000000"/>
              </w:rPr>
            </w:pPr>
            <w:r>
              <w:rPr>
                <w:color w:val="000000"/>
              </w:rPr>
              <w:t>)</w:t>
            </w:r>
          </w:p>
        </w:tc>
      </w:tr>
      <w:tr>
        <w:trPr/>
        <w:tc>
          <w:tcPr>
            <w:tcW w:w="6815" w:type="dxa"/>
            <w:tcBorders/>
            <w:vAlign w:val="bottom"/>
          </w:tcPr>
          <w:p>
            <w:pPr>
              <w:pStyle w:val="TableContents"/>
              <w:bidi w:val="0"/>
              <w:spacing w:before="0" w:after="0"/>
              <w:jc w:val="left"/>
              <w:rPr>
                <w:b/>
                <w:color w:val="000000"/>
              </w:rPr>
            </w:pPr>
            <w:r>
              <w:rPr>
                <w:b/>
                <w:color w:val="000000"/>
              </w:rPr>
              <w:t>Total non-operating expenses</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tcMar>
              <w:bottom w:w="28" w:type="dxa"/>
            </w:tcMar>
            <w:vAlign w:val="bottom"/>
          </w:tcPr>
          <w:p>
            <w:pPr>
              <w:pStyle w:val="TableContents"/>
              <w:bidi w:val="0"/>
              <w:spacing w:before="0" w:after="0"/>
              <w:jc w:val="right"/>
              <w:rPr>
                <w:b/>
                <w:color w:val="000000"/>
              </w:rPr>
            </w:pPr>
            <w:r>
              <w:rPr>
                <w:b/>
                <w:color w:val="000000"/>
              </w:rPr>
              <w:t>(2,191</w:t>
            </w:r>
          </w:p>
        </w:tc>
        <w:tc>
          <w:tcPr>
            <w:tcW w:w="95" w:type="dxa"/>
            <w:tcBorders/>
            <w:vAlign w:val="bottom"/>
          </w:tcPr>
          <w:p>
            <w:pPr>
              <w:pStyle w:val="TableContents"/>
              <w:bidi w:val="0"/>
              <w:spacing w:before="0" w:after="0"/>
              <w:jc w:val="left"/>
              <w:rPr>
                <w:b/>
                <w:color w:val="000000"/>
              </w:rPr>
            </w:pPr>
            <w:r>
              <w:rPr>
                <w:b/>
                <w:color w:val="000000"/>
              </w:rPr>
              <w:t>)</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tcMar>
              <w:bottom w:w="28" w:type="dxa"/>
            </w:tcMar>
            <w:vAlign w:val="bottom"/>
          </w:tcPr>
          <w:p>
            <w:pPr>
              <w:pStyle w:val="TableContents"/>
              <w:bidi w:val="0"/>
              <w:spacing w:before="0" w:after="0"/>
              <w:jc w:val="right"/>
              <w:rPr>
                <w:b/>
                <w:color w:val="000000"/>
              </w:rPr>
            </w:pPr>
            <w:r>
              <w:rPr>
                <w:b/>
                <w:color w:val="000000"/>
              </w:rPr>
              <w:t>(6,325</w:t>
            </w:r>
          </w:p>
        </w:tc>
        <w:tc>
          <w:tcPr>
            <w:tcW w:w="95" w:type="dxa"/>
            <w:tcBorders/>
            <w:vAlign w:val="bottom"/>
          </w:tcPr>
          <w:p>
            <w:pPr>
              <w:pStyle w:val="TableContents"/>
              <w:bidi w:val="0"/>
              <w:spacing w:before="0" w:after="0"/>
              <w:jc w:val="left"/>
              <w:rPr>
                <w:b/>
                <w:color w:val="000000"/>
              </w:rPr>
            </w:pPr>
            <w:r>
              <w:rPr>
                <w:b/>
                <w:color w:val="000000"/>
              </w:rPr>
              <w:t>)</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tcMar>
              <w:bottom w:w="28" w:type="dxa"/>
            </w:tcMar>
            <w:vAlign w:val="bottom"/>
          </w:tcPr>
          <w:p>
            <w:pPr>
              <w:pStyle w:val="TableContents"/>
              <w:bidi w:val="0"/>
              <w:spacing w:before="0" w:after="0"/>
              <w:jc w:val="right"/>
              <w:rPr>
                <w:b/>
                <w:color w:val="000000"/>
              </w:rPr>
            </w:pPr>
            <w:r>
              <w:rPr>
                <w:b/>
                <w:color w:val="000000"/>
              </w:rPr>
              <w:t>(5,780</w:t>
            </w:r>
          </w:p>
        </w:tc>
        <w:tc>
          <w:tcPr>
            <w:tcW w:w="95" w:type="dxa"/>
            <w:tcBorders/>
            <w:vAlign w:val="bottom"/>
          </w:tcPr>
          <w:p>
            <w:pPr>
              <w:pStyle w:val="TableContents"/>
              <w:bidi w:val="0"/>
              <w:spacing w:before="0" w:after="0"/>
              <w:jc w:val="left"/>
              <w:rPr>
                <w:b/>
                <w:color w:val="000000"/>
              </w:rPr>
            </w:pPr>
            <w:r>
              <w:rPr>
                <w:b/>
                <w:color w:val="000000"/>
              </w:rPr>
              <w:t>)</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tcMar>
              <w:bottom w:w="28" w:type="dxa"/>
            </w:tcMar>
            <w:vAlign w:val="bottom"/>
          </w:tcPr>
          <w:p>
            <w:pPr>
              <w:pStyle w:val="TableContents"/>
              <w:bidi w:val="0"/>
              <w:spacing w:before="0" w:after="0"/>
              <w:jc w:val="right"/>
              <w:rPr>
                <w:b/>
                <w:color w:val="000000"/>
              </w:rPr>
            </w:pPr>
            <w:r>
              <w:rPr>
                <w:b/>
                <w:color w:val="000000"/>
              </w:rPr>
              <w:t>(11,429</w:t>
            </w:r>
          </w:p>
        </w:tc>
        <w:tc>
          <w:tcPr>
            <w:tcW w:w="110" w:type="dxa"/>
            <w:tcBorders/>
            <w:vAlign w:val="bottom"/>
          </w:tcPr>
          <w:p>
            <w:pPr>
              <w:pStyle w:val="TableContents"/>
              <w:bidi w:val="0"/>
              <w:spacing w:before="0" w:after="0"/>
              <w:jc w:val="left"/>
              <w:rPr>
                <w:b/>
                <w:color w:val="000000"/>
              </w:rPr>
            </w:pPr>
            <w:r>
              <w:rPr>
                <w:b/>
                <w:color w:val="000000"/>
              </w:rPr>
              <w:t>)</w:t>
            </w:r>
          </w:p>
        </w:tc>
      </w:tr>
      <w:tr>
        <w:trPr/>
        <w:tc>
          <w:tcPr>
            <w:tcW w:w="6815" w:type="dxa"/>
            <w:tcBorders/>
            <w:shd w:fill="CCEEFF" w:val="clear"/>
            <w:vAlign w:val="bottom"/>
          </w:tcPr>
          <w:p>
            <w:pPr>
              <w:pStyle w:val="TableContents"/>
              <w:bidi w:val="0"/>
              <w:spacing w:before="0" w:after="0"/>
              <w:jc w:val="left"/>
              <w:rPr>
                <w:b/>
                <w:color w:val="000000"/>
              </w:rPr>
            </w:pPr>
            <w:r>
              <w:rPr>
                <w:b/>
                <w:color w:val="000000"/>
              </w:rPr>
              <w:t>Income before income taxes</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bottom"/>
          </w:tcPr>
          <w:p>
            <w:pPr>
              <w:pStyle w:val="TableContents"/>
              <w:bidi w:val="0"/>
              <w:spacing w:before="0" w:after="0"/>
              <w:jc w:val="right"/>
              <w:rPr>
                <w:b/>
                <w:color w:val="000000"/>
              </w:rPr>
            </w:pPr>
            <w:r>
              <w:rPr>
                <w:b/>
                <w:color w:val="000000"/>
              </w:rPr>
              <w:t>91,676</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bottom"/>
          </w:tcPr>
          <w:p>
            <w:pPr>
              <w:pStyle w:val="TableContents"/>
              <w:bidi w:val="0"/>
              <w:spacing w:before="0" w:after="0"/>
              <w:jc w:val="right"/>
              <w:rPr>
                <w:b/>
                <w:color w:val="000000"/>
              </w:rPr>
            </w:pPr>
            <w:r>
              <w:rPr>
                <w:b/>
                <w:color w:val="000000"/>
              </w:rPr>
              <w:t>95,437</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bottom"/>
          </w:tcPr>
          <w:p>
            <w:pPr>
              <w:pStyle w:val="TableContents"/>
              <w:bidi w:val="0"/>
              <w:spacing w:before="0" w:after="0"/>
              <w:jc w:val="right"/>
              <w:rPr>
                <w:b/>
                <w:color w:val="000000"/>
              </w:rPr>
            </w:pPr>
            <w:r>
              <w:rPr>
                <w:b/>
                <w:color w:val="000000"/>
              </w:rPr>
              <w:t>185,505</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bottom"/>
          </w:tcPr>
          <w:p>
            <w:pPr>
              <w:pStyle w:val="TableContents"/>
              <w:bidi w:val="0"/>
              <w:spacing w:before="0" w:after="0"/>
              <w:jc w:val="right"/>
              <w:rPr>
                <w:b/>
                <w:color w:val="000000"/>
              </w:rPr>
            </w:pPr>
            <w:r>
              <w:rPr>
                <w:b/>
                <w:color w:val="000000"/>
              </w:rPr>
              <w:t>218,831</w:t>
            </w:r>
          </w:p>
        </w:tc>
        <w:tc>
          <w:tcPr>
            <w:tcW w:w="110" w:type="dxa"/>
            <w:tcBorders/>
            <w:shd w:fill="CCEEFF" w:val="clear"/>
            <w:vAlign w:val="bottom"/>
          </w:tcPr>
          <w:p>
            <w:pPr>
              <w:pStyle w:val="TableContents"/>
              <w:bidi w:val="0"/>
              <w:spacing w:before="0" w:after="283"/>
              <w:jc w:val="left"/>
              <w:rPr/>
            </w:pPr>
            <w:r>
              <w:rPr/>
              <w:t> </w:t>
            </w:r>
          </w:p>
        </w:tc>
      </w:tr>
      <w:tr>
        <w:trPr/>
        <w:tc>
          <w:tcPr>
            <w:tcW w:w="6815" w:type="dxa"/>
            <w:tcBorders/>
            <w:vAlign w:val="bottom"/>
          </w:tcPr>
          <w:p>
            <w:pPr>
              <w:pStyle w:val="TableContents"/>
              <w:bidi w:val="0"/>
              <w:spacing w:before="0" w:after="0"/>
              <w:jc w:val="left"/>
              <w:rPr>
                <w:color w:val="000000"/>
              </w:rPr>
            </w:pPr>
            <w:r>
              <w:rPr>
                <w:color w:val="000000"/>
              </w:rPr>
              <w:t>Income taxes</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110" w:type="dxa"/>
            <w:tcBorders/>
            <w:vAlign w:val="bottom"/>
          </w:tcPr>
          <w:p>
            <w:pPr>
              <w:pStyle w:val="TableContents"/>
              <w:bidi w:val="0"/>
              <w:spacing w:before="0" w:after="283"/>
              <w:jc w:val="left"/>
              <w:rPr/>
            </w:pPr>
            <w:r>
              <w:rPr/>
              <w:t> </w:t>
            </w:r>
          </w:p>
        </w:tc>
      </w:tr>
      <w:tr>
        <w:trPr/>
        <w:tc>
          <w:tcPr>
            <w:tcW w:w="6815" w:type="dxa"/>
            <w:tcBorders/>
            <w:shd w:fill="CCEEFF" w:val="clear"/>
            <w:vAlign w:val="bottom"/>
          </w:tcPr>
          <w:p>
            <w:pPr>
              <w:pStyle w:val="TableContents"/>
              <w:bidi w:val="0"/>
              <w:spacing w:before="0" w:after="0"/>
              <w:jc w:val="left"/>
              <w:rPr>
                <w:b/>
                <w:color w:val="000000"/>
              </w:rPr>
            </w:pPr>
            <w:r>
              <w:rPr>
                <w:b/>
                <w:color w:val="000000"/>
              </w:rPr>
              <w:t>Net Income</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bottom"/>
          </w:tcPr>
          <w:p>
            <w:pPr>
              <w:pStyle w:val="TableContents"/>
              <w:bidi w:val="0"/>
              <w:spacing w:before="0" w:after="0"/>
              <w:jc w:val="right"/>
              <w:rPr>
                <w:b/>
                <w:color w:val="000000"/>
              </w:rPr>
            </w:pPr>
            <w:r>
              <w:rPr>
                <w:b/>
                <w:color w:val="000000"/>
              </w:rPr>
              <w:t>91,676</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bottom"/>
          </w:tcPr>
          <w:p>
            <w:pPr>
              <w:pStyle w:val="TableContents"/>
              <w:bidi w:val="0"/>
              <w:spacing w:before="0" w:after="0"/>
              <w:jc w:val="right"/>
              <w:rPr>
                <w:b/>
                <w:color w:val="000000"/>
              </w:rPr>
            </w:pPr>
            <w:r>
              <w:rPr>
                <w:b/>
                <w:color w:val="000000"/>
              </w:rPr>
              <w:t>95,437</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bottom"/>
          </w:tcPr>
          <w:p>
            <w:pPr>
              <w:pStyle w:val="TableContents"/>
              <w:bidi w:val="0"/>
              <w:spacing w:before="0" w:after="0"/>
              <w:jc w:val="right"/>
              <w:rPr>
                <w:b/>
                <w:color w:val="000000"/>
              </w:rPr>
            </w:pPr>
            <w:r>
              <w:rPr>
                <w:b/>
                <w:color w:val="000000"/>
              </w:rPr>
              <w:t>185,505</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bottom"/>
          </w:tcPr>
          <w:p>
            <w:pPr>
              <w:pStyle w:val="TableContents"/>
              <w:bidi w:val="0"/>
              <w:spacing w:before="0" w:after="0"/>
              <w:jc w:val="right"/>
              <w:rPr>
                <w:b/>
                <w:color w:val="000000"/>
              </w:rPr>
            </w:pPr>
            <w:r>
              <w:rPr>
                <w:b/>
                <w:color w:val="000000"/>
              </w:rPr>
              <w:t>218,831</w:t>
            </w:r>
          </w:p>
        </w:tc>
        <w:tc>
          <w:tcPr>
            <w:tcW w:w="110" w:type="dxa"/>
            <w:tcBorders/>
            <w:shd w:fill="CCEEFF" w:val="clear"/>
            <w:vAlign w:val="bottom"/>
          </w:tcPr>
          <w:p>
            <w:pPr>
              <w:pStyle w:val="TableContents"/>
              <w:bidi w:val="0"/>
              <w:spacing w:before="0" w:after="283"/>
              <w:jc w:val="left"/>
              <w:rPr/>
            </w:pPr>
            <w:r>
              <w:rPr/>
              <w:t> </w:t>
            </w:r>
          </w:p>
        </w:tc>
      </w:tr>
      <w:tr>
        <w:trPr/>
        <w:tc>
          <w:tcPr>
            <w:tcW w:w="6815" w:type="dxa"/>
            <w:tcBorders/>
            <w:vAlign w:val="bottom"/>
          </w:tcPr>
          <w:p>
            <w:pPr>
              <w:pStyle w:val="TableContents"/>
              <w:bidi w:val="0"/>
              <w:spacing w:before="0" w:after="0"/>
              <w:jc w:val="left"/>
              <w:rPr>
                <w:color w:val="000000"/>
              </w:rPr>
            </w:pPr>
            <w:r>
              <w:rPr>
                <w:color w:val="000000"/>
              </w:rPr>
              <w:t>Earnings allocated to Series B Preferred Shares</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(2,384</w:t>
            </w:r>
          </w:p>
        </w:tc>
        <w:tc>
          <w:tcPr>
            <w:tcW w:w="9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(2,384</w:t>
            </w:r>
          </w:p>
        </w:tc>
        <w:tc>
          <w:tcPr>
            <w:tcW w:w="9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(4,768</w:t>
            </w:r>
          </w:p>
        </w:tc>
        <w:tc>
          <w:tcPr>
            <w:tcW w:w="9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(4,768</w:t>
            </w:r>
          </w:p>
        </w:tc>
        <w:tc>
          <w:tcPr>
            <w:tcW w:w="110" w:type="dxa"/>
            <w:tcBorders/>
            <w:vAlign w:val="bottom"/>
          </w:tcPr>
          <w:p>
            <w:pPr>
              <w:pStyle w:val="TableContents"/>
              <w:bidi w:val="0"/>
              <w:spacing w:before="0" w:after="0"/>
              <w:jc w:val="left"/>
              <w:rPr>
                <w:color w:val="000000"/>
              </w:rPr>
            </w:pPr>
            <w:r>
              <w:rPr>
                <w:color w:val="000000"/>
              </w:rPr>
              <w:t>)</w:t>
            </w:r>
          </w:p>
        </w:tc>
      </w:tr>
      <w:tr>
        <w:trPr/>
        <w:tc>
          <w:tcPr>
            <w:tcW w:w="6815" w:type="dxa"/>
            <w:tcBorders/>
            <w:shd w:fill="CCEEFF" w:val="clear"/>
            <w:vAlign w:val="bottom"/>
          </w:tcPr>
          <w:p>
            <w:pPr>
              <w:pStyle w:val="TableContents"/>
              <w:bidi w:val="0"/>
              <w:spacing w:before="0" w:after="0"/>
              <w:jc w:val="left"/>
              <w:rPr>
                <w:b/>
                <w:color w:val="000000"/>
              </w:rPr>
            </w:pPr>
            <w:r>
              <w:rPr>
                <w:b/>
                <w:color w:val="000000"/>
              </w:rPr>
              <w:t>Net Income available to Common Shareholders</w:t>
            </w:r>
          </w:p>
        </w:tc>
        <w:tc>
          <w:tcPr>
            <w:tcW w:w="60" w:type="dxa"/>
            <w:tcBorders/>
            <w:shd w:fill="CCEEFF" w:val="clear"/>
            <w:vAlign w:val="bottom"/>
          </w:tcPr>
          <w:p>
            <w:pPr>
              <w:pStyle w:val="TableContents"/>
              <w:bidi w:val="0"/>
              <w:spacing w:before="0" w:after="283"/>
              <w:jc w:val="lef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b/>
                <w:color w:val="000000"/>
              </w:rPr>
            </w:pPr>
            <w:r>
              <w:rPr>
                <w:b/>
                <w:color w:val="000000"/>
              </w:rPr>
              <w:t>$</w:t>
            </w:r>
          </w:p>
        </w:tc>
        <w:tc>
          <w:tcPr>
            <w:tcW w:w="800" w:type="dxa"/>
            <w:tcBorders>
              <w:bottom w:val="double" w:sz="8" w:space="0" w:color="000000"/>
            </w:tcBorders>
            <w:shd w:fill="CCEEFF" w:val="clear"/>
            <w:tcMar>
              <w:bottom w:w="28" w:type="dxa"/>
            </w:tcMar>
            <w:vAlign w:val="bottom"/>
          </w:tcPr>
          <w:p>
            <w:pPr>
              <w:pStyle w:val="TableContents"/>
              <w:bidi w:val="0"/>
              <w:spacing w:before="0" w:after="0"/>
              <w:jc w:val="right"/>
              <w:rPr>
                <w:b/>
                <w:color w:val="000000"/>
              </w:rPr>
            </w:pPr>
            <w:r>
              <w:rPr>
                <w:b/>
                <w:color w:val="000000"/>
              </w:rPr>
              <w:t>89,292</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b/>
                <w:color w:val="000000"/>
              </w:rPr>
            </w:pPr>
            <w:r>
              <w:rPr>
                <w:b/>
                <w:color w:val="000000"/>
              </w:rPr>
              <w:t>$</w:t>
            </w:r>
          </w:p>
        </w:tc>
        <w:tc>
          <w:tcPr>
            <w:tcW w:w="800" w:type="dxa"/>
            <w:tcBorders>
              <w:bottom w:val="double" w:sz="8" w:space="0" w:color="000000"/>
            </w:tcBorders>
            <w:shd w:fill="CCEEFF" w:val="clear"/>
            <w:tcMar>
              <w:bottom w:w="28" w:type="dxa"/>
            </w:tcMar>
            <w:vAlign w:val="bottom"/>
          </w:tcPr>
          <w:p>
            <w:pPr>
              <w:pStyle w:val="TableContents"/>
              <w:bidi w:val="0"/>
              <w:spacing w:before="0" w:after="0"/>
              <w:jc w:val="right"/>
              <w:rPr>
                <w:b/>
                <w:color w:val="000000"/>
              </w:rPr>
            </w:pPr>
            <w:r>
              <w:rPr>
                <w:b/>
                <w:color w:val="000000"/>
              </w:rPr>
              <w:t>93,053</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b/>
                <w:color w:val="000000"/>
              </w:rPr>
            </w:pPr>
            <w:r>
              <w:rPr>
                <w:b/>
                <w:color w:val="000000"/>
              </w:rPr>
              <w:t>$</w:t>
            </w:r>
          </w:p>
        </w:tc>
        <w:tc>
          <w:tcPr>
            <w:tcW w:w="800" w:type="dxa"/>
            <w:tcBorders>
              <w:bottom w:val="double" w:sz="8" w:space="0" w:color="000000"/>
            </w:tcBorders>
            <w:shd w:fill="CCEEFF" w:val="clear"/>
            <w:tcMar>
              <w:bottom w:w="28" w:type="dxa"/>
            </w:tcMar>
            <w:vAlign w:val="bottom"/>
          </w:tcPr>
          <w:p>
            <w:pPr>
              <w:pStyle w:val="TableContents"/>
              <w:bidi w:val="0"/>
              <w:spacing w:before="0" w:after="0"/>
              <w:jc w:val="right"/>
              <w:rPr>
                <w:b/>
                <w:color w:val="000000"/>
              </w:rPr>
            </w:pPr>
            <w:r>
              <w:rPr>
                <w:b/>
                <w:color w:val="000000"/>
              </w:rPr>
              <w:t>180,737</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b/>
                <w:color w:val="000000"/>
              </w:rPr>
            </w:pPr>
            <w:r>
              <w:rPr>
                <w:b/>
                <w:color w:val="000000"/>
              </w:rPr>
              <w:t>$</w:t>
            </w:r>
          </w:p>
        </w:tc>
        <w:tc>
          <w:tcPr>
            <w:tcW w:w="800" w:type="dxa"/>
            <w:tcBorders>
              <w:bottom w:val="double" w:sz="8" w:space="0" w:color="000000"/>
            </w:tcBorders>
            <w:shd w:fill="CCEEFF" w:val="clear"/>
            <w:tcMar>
              <w:bottom w:w="28" w:type="dxa"/>
            </w:tcMar>
            <w:vAlign w:val="bottom"/>
          </w:tcPr>
          <w:p>
            <w:pPr>
              <w:pStyle w:val="TableContents"/>
              <w:bidi w:val="0"/>
              <w:spacing w:before="0" w:after="0"/>
              <w:jc w:val="right"/>
              <w:rPr>
                <w:b/>
                <w:color w:val="000000"/>
              </w:rPr>
            </w:pPr>
            <w:r>
              <w:rPr>
                <w:b/>
                <w:color w:val="000000"/>
              </w:rPr>
              <w:t>214,063</w:t>
            </w:r>
          </w:p>
        </w:tc>
        <w:tc>
          <w:tcPr>
            <w:tcW w:w="11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Page 16</w:t>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Global Ship Lease, Inc.</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Interim Unaudited Condensed Consolidated Statements of Cash Flows</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(Expressed in thousands of U.S. dollars)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55" w:name="z9416618c03284653ac0c407eea65a5e3"/>
      <w:bookmarkStart w:id="156" w:name="z9416618c03284653ac0c407eea65a5e3"/>
      <w:bookmarkEnd w:id="156"/>
    </w:p>
    <w:tbl>
      <w:tblPr>
        <w:tblW w:w="13795" w:type="dxa"/>
        <w:jc w:val="left"/>
        <w:tblInd w:w="0" w:type="dxa"/>
        <w:tblLayout w:type="fixed"/>
        <w:tblCellMar>
          <w:top w:w="0" w:type="dxa"/>
          <w:left w:w="0" w:type="dxa"/>
          <w:bottom w:w="0" w:type="dxa"/>
          <w:right w:w="0" w:type="dxa"/>
        </w:tblCellMar>
      </w:tblPr>
      <w:tblGrid>
        <w:gridCol w:w="7700"/>
        <w:gridCol w:w="60"/>
        <w:gridCol w:w="201"/>
        <w:gridCol w:w="1258"/>
        <w:gridCol w:w="136"/>
        <w:gridCol w:w="86"/>
        <w:gridCol w:w="201"/>
        <w:gridCol w:w="1153"/>
        <w:gridCol w:w="95"/>
        <w:gridCol w:w="60"/>
        <w:gridCol w:w="181"/>
        <w:gridCol w:w="1134"/>
        <w:gridCol w:w="123"/>
        <w:gridCol w:w="77"/>
        <w:gridCol w:w="181"/>
        <w:gridCol w:w="1039"/>
        <w:gridCol w:w="110"/>
      </w:tblGrid>
      <w:tr>
        <w:trPr/>
        <w:tc>
          <w:tcPr>
            <w:tcW w:w="77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35"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Three months ended June 30,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35"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Six months ended June 30,</w:t>
            </w:r>
          </w:p>
        </w:tc>
        <w:tc>
          <w:tcPr>
            <w:tcW w:w="110" w:type="dxa"/>
            <w:tcBorders/>
            <w:vAlign w:val="bottom"/>
          </w:tcPr>
          <w:p>
            <w:pPr>
              <w:pStyle w:val="TableContents"/>
              <w:bidi w:val="0"/>
              <w:spacing w:before="0" w:after="283"/>
              <w:jc w:val="left"/>
              <w:rPr/>
            </w:pPr>
            <w:r>
              <w:rPr/>
              <w:t> </w:t>
            </w:r>
          </w:p>
        </w:tc>
      </w:tr>
      <w:tr>
        <w:trPr/>
        <w:tc>
          <w:tcPr>
            <w:tcW w:w="77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59" w:type="dxa"/>
            <w:gridSpan w:val="2"/>
            <w:tcBorders>
              <w:bottom w:val="single" w:sz="12" w:space="0" w:color="000000"/>
            </w:tcBorders>
            <w:tcMar>
              <w:bottom w:w="28" w:type="dxa"/>
            </w:tcMar>
            <w:vAlign w:val="bottom"/>
          </w:tcPr>
          <w:p>
            <w:pPr>
              <w:pStyle w:val="TableContents"/>
              <w:bidi w:val="0"/>
              <w:spacing w:before="0" w:after="0"/>
              <w:jc w:val="right"/>
              <w:rPr>
                <w:b/>
                <w:color w:val="000000"/>
              </w:rPr>
            </w:pPr>
            <w:r>
              <w:rPr>
                <w:b/>
                <w:color w:val="000000"/>
              </w:rPr>
              <w:t>2026</w:t>
            </w:r>
          </w:p>
        </w:tc>
        <w:tc>
          <w:tcPr>
            <w:tcW w:w="136"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354" w:type="dxa"/>
            <w:gridSpan w:val="2"/>
            <w:tcBorders>
              <w:bottom w:val="single" w:sz="12" w:space="0" w:color="000000"/>
            </w:tcBorders>
            <w:tcMar>
              <w:bottom w:w="28" w:type="dxa"/>
            </w:tcMar>
            <w:vAlign w:val="bottom"/>
          </w:tcPr>
          <w:p>
            <w:pPr>
              <w:pStyle w:val="TableContents"/>
              <w:bidi w:val="0"/>
              <w:spacing w:before="0" w:after="0"/>
              <w:jc w:val="right"/>
              <w:rPr>
                <w:b/>
                <w:color w:val="000000"/>
              </w:rPr>
            </w:pPr>
            <w:r>
              <w:rPr>
                <w:b/>
                <w:color w:val="000000"/>
              </w:rPr>
              <w:t>2025</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5" w:type="dxa"/>
            <w:gridSpan w:val="2"/>
            <w:tcBorders>
              <w:bottom w:val="single" w:sz="12" w:space="0" w:color="000000"/>
            </w:tcBorders>
            <w:tcMar>
              <w:bottom w:w="28" w:type="dxa"/>
            </w:tcMar>
            <w:vAlign w:val="bottom"/>
          </w:tcPr>
          <w:p>
            <w:pPr>
              <w:pStyle w:val="TableContents"/>
              <w:bidi w:val="0"/>
              <w:spacing w:before="0" w:after="0"/>
              <w:jc w:val="right"/>
              <w:rPr>
                <w:b/>
                <w:color w:val="000000"/>
              </w:rPr>
            </w:pPr>
            <w:r>
              <w:rPr>
                <w:b/>
                <w:color w:val="000000"/>
              </w:rPr>
              <w:t>2026</w:t>
            </w:r>
          </w:p>
        </w:tc>
        <w:tc>
          <w:tcPr>
            <w:tcW w:w="123"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220" w:type="dxa"/>
            <w:gridSpan w:val="2"/>
            <w:tcBorders>
              <w:bottom w:val="single" w:sz="12" w:space="0" w:color="000000"/>
            </w:tcBorders>
            <w:tcMar>
              <w:bottom w:w="28" w:type="dxa"/>
            </w:tcMar>
            <w:vAlign w:val="bottom"/>
          </w:tcPr>
          <w:p>
            <w:pPr>
              <w:pStyle w:val="TableContents"/>
              <w:bidi w:val="0"/>
              <w:spacing w:before="0" w:after="0"/>
              <w:jc w:val="right"/>
              <w:rPr>
                <w:b/>
                <w:color w:val="000000"/>
              </w:rPr>
            </w:pPr>
            <w:r>
              <w:rPr>
                <w:b/>
                <w:color w:val="000000"/>
              </w:rPr>
              <w:t>2025</w:t>
            </w:r>
          </w:p>
        </w:tc>
        <w:tc>
          <w:tcPr>
            <w:tcW w:w="110" w:type="dxa"/>
            <w:tcBorders/>
            <w:vAlign w:val="bottom"/>
          </w:tcPr>
          <w:p>
            <w:pPr>
              <w:pStyle w:val="TableContents"/>
              <w:bidi w:val="0"/>
              <w:spacing w:before="0" w:after="283"/>
              <w:jc w:val="left"/>
              <w:rPr/>
            </w:pPr>
            <w:r>
              <w:rPr/>
              <w:t> </w:t>
            </w:r>
          </w:p>
        </w:tc>
      </w:tr>
      <w:tr>
        <w:trPr/>
        <w:tc>
          <w:tcPr>
            <w:tcW w:w="7700" w:type="dxa"/>
            <w:tcBorders/>
            <w:vAlign w:val="bottom"/>
          </w:tcPr>
          <w:p>
            <w:pPr>
              <w:pStyle w:val="TableContents"/>
              <w:bidi w:val="0"/>
              <w:spacing w:before="0" w:after="0"/>
              <w:ind w:left="180" w:right="0" w:hanging="180"/>
              <w:jc w:val="left"/>
              <w:rPr>
                <w:b/>
                <w:color w:val="000000"/>
              </w:rPr>
            </w:pPr>
            <w:r>
              <w:rPr>
                <w:b/>
                <w:color w:val="000000"/>
              </w:rPr>
              <w:t>Cash flows from operating activities:</w:t>
            </w:r>
          </w:p>
        </w:tc>
        <w:tc>
          <w:tcPr>
            <w:tcW w:w="60" w:type="dxa"/>
            <w:tcBorders/>
            <w:vAlign w:val="bottom"/>
          </w:tcPr>
          <w:p>
            <w:pPr>
              <w:pStyle w:val="TableContents"/>
              <w:bidi w:val="0"/>
              <w:spacing w:before="0" w:after="283"/>
              <w:jc w:val="left"/>
              <w:rPr/>
            </w:pPr>
            <w:r>
              <w:rPr/>
              <w:t> </w:t>
            </w:r>
          </w:p>
        </w:tc>
        <w:tc>
          <w:tcPr>
            <w:tcW w:w="1459" w:type="dxa"/>
            <w:gridSpan w:val="2"/>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354"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5" w:type="dxa"/>
            <w:gridSpan w:val="2"/>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220" w:type="dxa"/>
            <w:gridSpan w:val="2"/>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r>
      <w:tr>
        <w:trPr/>
        <w:tc>
          <w:tcPr>
            <w:tcW w:w="7700" w:type="dxa"/>
            <w:tcBorders/>
            <w:shd w:fill="CCEEFF" w:val="clear"/>
            <w:vAlign w:val="bottom"/>
          </w:tcPr>
          <w:p>
            <w:pPr>
              <w:pStyle w:val="TableContents"/>
              <w:bidi w:val="0"/>
              <w:spacing w:before="0" w:after="0"/>
              <w:ind w:left="180" w:right="0" w:hanging="180"/>
              <w:jc w:val="left"/>
              <w:rPr>
                <w:color w:val="000000"/>
              </w:rPr>
            </w:pPr>
            <w:r>
              <w:rPr>
                <w:color w:val="000000"/>
              </w:rPr>
              <w:t>Net income</w:t>
            </w:r>
          </w:p>
        </w:tc>
        <w:tc>
          <w:tcPr>
            <w:tcW w:w="6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0"/>
              <w:jc w:val="left"/>
              <w:rPr>
                <w:color w:val="000000"/>
              </w:rPr>
            </w:pPr>
            <w:r>
              <w:rPr>
                <w:color w:val="000000"/>
              </w:rPr>
              <w:t>$</w:t>
            </w:r>
          </w:p>
        </w:tc>
        <w:tc>
          <w:tcPr>
            <w:tcW w:w="1258" w:type="dxa"/>
            <w:tcBorders/>
            <w:shd w:fill="CCEEFF" w:val="clear"/>
            <w:vAlign w:val="bottom"/>
          </w:tcPr>
          <w:p>
            <w:pPr>
              <w:pStyle w:val="TableContents"/>
              <w:bidi w:val="0"/>
              <w:spacing w:before="0" w:after="0"/>
              <w:jc w:val="right"/>
              <w:rPr>
                <w:color w:val="000000"/>
              </w:rPr>
            </w:pPr>
            <w:r>
              <w:rPr>
                <w:color w:val="000000"/>
              </w:rPr>
              <w:t>91,676</w:t>
            </w:r>
          </w:p>
        </w:tc>
        <w:tc>
          <w:tcPr>
            <w:tcW w:w="136"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0"/>
              <w:jc w:val="left"/>
              <w:rPr>
                <w:color w:val="000000"/>
              </w:rPr>
            </w:pPr>
            <w:r>
              <w:rPr>
                <w:color w:val="000000"/>
              </w:rPr>
              <w:t>$</w:t>
            </w:r>
          </w:p>
        </w:tc>
        <w:tc>
          <w:tcPr>
            <w:tcW w:w="1153" w:type="dxa"/>
            <w:tcBorders/>
            <w:shd w:fill="CCEEFF" w:val="clear"/>
            <w:vAlign w:val="bottom"/>
          </w:tcPr>
          <w:p>
            <w:pPr>
              <w:pStyle w:val="TableContents"/>
              <w:bidi w:val="0"/>
              <w:spacing w:before="0" w:after="0"/>
              <w:jc w:val="right"/>
              <w:rPr>
                <w:color w:val="000000"/>
              </w:rPr>
            </w:pPr>
            <w:r>
              <w:rPr>
                <w:color w:val="000000"/>
              </w:rPr>
              <w:t>95,437</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0"/>
              <w:jc w:val="left"/>
              <w:rPr>
                <w:color w:val="000000"/>
              </w:rPr>
            </w:pPr>
            <w:r>
              <w:rPr>
                <w:color w:val="000000"/>
              </w:rPr>
              <w:t>$</w:t>
            </w:r>
          </w:p>
        </w:tc>
        <w:tc>
          <w:tcPr>
            <w:tcW w:w="1134" w:type="dxa"/>
            <w:tcBorders/>
            <w:shd w:fill="CCEEFF" w:val="clear"/>
            <w:vAlign w:val="bottom"/>
          </w:tcPr>
          <w:p>
            <w:pPr>
              <w:pStyle w:val="TableContents"/>
              <w:bidi w:val="0"/>
              <w:spacing w:before="0" w:after="0"/>
              <w:jc w:val="right"/>
              <w:rPr>
                <w:color w:val="000000"/>
              </w:rPr>
            </w:pPr>
            <w:r>
              <w:rPr>
                <w:color w:val="000000"/>
              </w:rPr>
              <w:t>185,505</w:t>
            </w:r>
          </w:p>
        </w:tc>
        <w:tc>
          <w:tcPr>
            <w:tcW w:w="123"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0"/>
              <w:jc w:val="left"/>
              <w:rPr>
                <w:color w:val="000000"/>
              </w:rPr>
            </w:pPr>
            <w:r>
              <w:rPr>
                <w:color w:val="000000"/>
              </w:rPr>
              <w:t>$</w:t>
            </w:r>
          </w:p>
        </w:tc>
        <w:tc>
          <w:tcPr>
            <w:tcW w:w="1039" w:type="dxa"/>
            <w:tcBorders/>
            <w:shd w:fill="CCEEFF" w:val="clear"/>
            <w:vAlign w:val="bottom"/>
          </w:tcPr>
          <w:p>
            <w:pPr>
              <w:pStyle w:val="TableContents"/>
              <w:bidi w:val="0"/>
              <w:spacing w:before="0" w:after="0"/>
              <w:jc w:val="right"/>
              <w:rPr>
                <w:color w:val="000000"/>
              </w:rPr>
            </w:pPr>
            <w:r>
              <w:rPr>
                <w:color w:val="000000"/>
              </w:rPr>
              <w:t>218,831</w:t>
            </w:r>
          </w:p>
        </w:tc>
        <w:tc>
          <w:tcPr>
            <w:tcW w:w="110" w:type="dxa"/>
            <w:tcBorders/>
            <w:shd w:fill="CCEEFF" w:val="clear"/>
            <w:vAlign w:val="bottom"/>
          </w:tcPr>
          <w:p>
            <w:pPr>
              <w:pStyle w:val="TableContents"/>
              <w:bidi w:val="0"/>
              <w:spacing w:before="0" w:after="283"/>
              <w:jc w:val="left"/>
              <w:rPr/>
            </w:pPr>
            <w:r>
              <w:rPr/>
              <w:t> </w:t>
            </w:r>
          </w:p>
        </w:tc>
      </w:tr>
      <w:tr>
        <w:trPr/>
        <w:tc>
          <w:tcPr>
            <w:tcW w:w="7700" w:type="dxa"/>
            <w:tcBorders/>
            <w:vAlign w:val="bottom"/>
          </w:tcPr>
          <w:p>
            <w:pPr>
              <w:pStyle w:val="TableContents"/>
              <w:bidi w:val="0"/>
              <w:spacing w:before="0" w:after="0"/>
              <w:ind w:left="180" w:right="0" w:hanging="180"/>
              <w:jc w:val="left"/>
              <w:rPr>
                <w:b/>
                <w:color w:val="000000"/>
              </w:rPr>
            </w:pPr>
            <w:r>
              <w:rPr>
                <w:b/>
                <w:color w:val="000000"/>
              </w:rPr>
              <w:t>Adjustments to reconcile net income to net cash provided by operating activities:</w:t>
            </w:r>
          </w:p>
        </w:tc>
        <w:tc>
          <w:tcPr>
            <w:tcW w:w="6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258" w:type="dxa"/>
            <w:tcBorders/>
            <w:vAlign w:val="bottom"/>
          </w:tcPr>
          <w:p>
            <w:pPr>
              <w:pStyle w:val="TableContents"/>
              <w:bidi w:val="0"/>
              <w:spacing w:before="0" w:after="283"/>
              <w:jc w:val="right"/>
              <w:rPr/>
            </w:pPr>
            <w:r>
              <w:rPr/>
              <w:t> </w:t>
            </w:r>
          </w:p>
        </w:tc>
        <w:tc>
          <w:tcPr>
            <w:tcW w:w="136"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153"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134" w:type="dxa"/>
            <w:tcBorders/>
            <w:vAlign w:val="bottom"/>
          </w:tcPr>
          <w:p>
            <w:pPr>
              <w:pStyle w:val="TableContents"/>
              <w:bidi w:val="0"/>
              <w:spacing w:before="0" w:after="283"/>
              <w:jc w:val="right"/>
              <w:rPr/>
            </w:pPr>
            <w:r>
              <w:rPr/>
              <w:t> </w:t>
            </w:r>
          </w:p>
        </w:tc>
        <w:tc>
          <w:tcPr>
            <w:tcW w:w="123"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039" w:type="dxa"/>
            <w:tcBorders/>
            <w:vAlign w:val="bottom"/>
          </w:tcPr>
          <w:p>
            <w:pPr>
              <w:pStyle w:val="TableContents"/>
              <w:bidi w:val="0"/>
              <w:spacing w:before="0" w:after="283"/>
              <w:jc w:val="right"/>
              <w:rPr/>
            </w:pPr>
            <w:r>
              <w:rPr/>
              <w:t> </w:t>
            </w:r>
          </w:p>
        </w:tc>
        <w:tc>
          <w:tcPr>
            <w:tcW w:w="110" w:type="dxa"/>
            <w:tcBorders/>
            <w:vAlign w:val="bottom"/>
          </w:tcPr>
          <w:p>
            <w:pPr>
              <w:pStyle w:val="TableContents"/>
              <w:bidi w:val="0"/>
              <w:spacing w:before="0" w:after="283"/>
              <w:jc w:val="left"/>
              <w:rPr/>
            </w:pPr>
            <w:r>
              <w:rPr/>
              <w:t> </w:t>
            </w:r>
          </w:p>
        </w:tc>
      </w:tr>
      <w:tr>
        <w:trPr/>
        <w:tc>
          <w:tcPr>
            <w:tcW w:w="7700" w:type="dxa"/>
            <w:tcBorders/>
            <w:shd w:fill="CCEEFF" w:val="clear"/>
            <w:vAlign w:val="bottom"/>
          </w:tcPr>
          <w:p>
            <w:pPr>
              <w:pStyle w:val="TableContents"/>
              <w:bidi w:val="0"/>
              <w:spacing w:before="0" w:after="0"/>
              <w:ind w:left="180" w:right="0" w:hanging="180"/>
              <w:jc w:val="left"/>
              <w:rPr>
                <w:color w:val="000000"/>
              </w:rPr>
            </w:pPr>
            <w:r>
              <w:rPr>
                <w:color w:val="000000"/>
              </w:rPr>
              <w:t>Depreciation and amortization</w:t>
            </w:r>
          </w:p>
        </w:tc>
        <w:tc>
          <w:tcPr>
            <w:tcW w:w="6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0"/>
              <w:jc w:val="left"/>
              <w:rPr>
                <w:color w:val="000000"/>
              </w:rPr>
            </w:pPr>
            <w:r>
              <w:rPr>
                <w:color w:val="000000"/>
              </w:rPr>
              <w:t>$</w:t>
            </w:r>
          </w:p>
        </w:tc>
        <w:tc>
          <w:tcPr>
            <w:tcW w:w="1258" w:type="dxa"/>
            <w:tcBorders/>
            <w:shd w:fill="CCEEFF" w:val="clear"/>
            <w:vAlign w:val="bottom"/>
          </w:tcPr>
          <w:p>
            <w:pPr>
              <w:pStyle w:val="TableContents"/>
              <w:bidi w:val="0"/>
              <w:spacing w:before="0" w:after="0"/>
              <w:jc w:val="right"/>
              <w:rPr>
                <w:color w:val="000000"/>
              </w:rPr>
            </w:pPr>
            <w:r>
              <w:rPr>
                <w:color w:val="000000"/>
              </w:rPr>
              <w:t>34,189</w:t>
            </w:r>
          </w:p>
        </w:tc>
        <w:tc>
          <w:tcPr>
            <w:tcW w:w="136"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0"/>
              <w:jc w:val="left"/>
              <w:rPr>
                <w:color w:val="000000"/>
              </w:rPr>
            </w:pPr>
            <w:r>
              <w:rPr>
                <w:color w:val="000000"/>
              </w:rPr>
              <w:t>$</w:t>
            </w:r>
          </w:p>
        </w:tc>
        <w:tc>
          <w:tcPr>
            <w:tcW w:w="1153" w:type="dxa"/>
            <w:tcBorders/>
            <w:shd w:fill="CCEEFF" w:val="clear"/>
            <w:vAlign w:val="bottom"/>
          </w:tcPr>
          <w:p>
            <w:pPr>
              <w:pStyle w:val="TableContents"/>
              <w:bidi w:val="0"/>
              <w:spacing w:before="0" w:after="0"/>
              <w:jc w:val="right"/>
              <w:rPr>
                <w:color w:val="000000"/>
              </w:rPr>
            </w:pPr>
            <w:r>
              <w:rPr>
                <w:color w:val="000000"/>
              </w:rPr>
              <w:t>30,328</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0"/>
              <w:jc w:val="left"/>
              <w:rPr>
                <w:color w:val="000000"/>
              </w:rPr>
            </w:pPr>
            <w:r>
              <w:rPr>
                <w:color w:val="000000"/>
              </w:rPr>
              <w:t>$</w:t>
            </w:r>
          </w:p>
        </w:tc>
        <w:tc>
          <w:tcPr>
            <w:tcW w:w="1134" w:type="dxa"/>
            <w:tcBorders/>
            <w:shd w:fill="CCEEFF" w:val="clear"/>
            <w:vAlign w:val="bottom"/>
          </w:tcPr>
          <w:p>
            <w:pPr>
              <w:pStyle w:val="TableContents"/>
              <w:bidi w:val="0"/>
              <w:spacing w:before="0" w:after="0"/>
              <w:jc w:val="right"/>
              <w:rPr>
                <w:color w:val="000000"/>
              </w:rPr>
            </w:pPr>
            <w:r>
              <w:rPr>
                <w:color w:val="000000"/>
              </w:rPr>
              <w:t>67,661</w:t>
            </w:r>
          </w:p>
        </w:tc>
        <w:tc>
          <w:tcPr>
            <w:tcW w:w="123"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0"/>
              <w:jc w:val="left"/>
              <w:rPr>
                <w:color w:val="000000"/>
              </w:rPr>
            </w:pPr>
            <w:r>
              <w:rPr>
                <w:color w:val="000000"/>
              </w:rPr>
              <w:t>$</w:t>
            </w:r>
          </w:p>
        </w:tc>
        <w:tc>
          <w:tcPr>
            <w:tcW w:w="1039" w:type="dxa"/>
            <w:tcBorders/>
            <w:shd w:fill="CCEEFF" w:val="clear"/>
            <w:vAlign w:val="bottom"/>
          </w:tcPr>
          <w:p>
            <w:pPr>
              <w:pStyle w:val="TableContents"/>
              <w:bidi w:val="0"/>
              <w:spacing w:before="0" w:after="0"/>
              <w:jc w:val="right"/>
              <w:rPr>
                <w:color w:val="000000"/>
              </w:rPr>
            </w:pPr>
            <w:r>
              <w:rPr>
                <w:color w:val="000000"/>
              </w:rPr>
              <w:t>60,121</w:t>
            </w:r>
          </w:p>
        </w:tc>
        <w:tc>
          <w:tcPr>
            <w:tcW w:w="110" w:type="dxa"/>
            <w:tcBorders/>
            <w:shd w:fill="CCEEFF" w:val="clear"/>
            <w:vAlign w:val="bottom"/>
          </w:tcPr>
          <w:p>
            <w:pPr>
              <w:pStyle w:val="TableContents"/>
              <w:bidi w:val="0"/>
              <w:spacing w:before="0" w:after="283"/>
              <w:jc w:val="left"/>
              <w:rPr/>
            </w:pPr>
            <w:r>
              <w:rPr/>
              <w:t> </w:t>
            </w:r>
          </w:p>
        </w:tc>
      </w:tr>
      <w:tr>
        <w:trPr/>
        <w:tc>
          <w:tcPr>
            <w:tcW w:w="7700" w:type="dxa"/>
            <w:tcBorders/>
            <w:vAlign w:val="bottom"/>
          </w:tcPr>
          <w:p>
            <w:pPr>
              <w:pStyle w:val="TableContents"/>
              <w:bidi w:val="0"/>
              <w:spacing w:before="0" w:after="0"/>
              <w:ind w:left="180" w:right="0" w:hanging="180"/>
              <w:jc w:val="left"/>
              <w:rPr>
                <w:color w:val="000000"/>
              </w:rPr>
            </w:pPr>
            <w:r>
              <w:rPr>
                <w:color w:val="000000"/>
              </w:rPr>
              <w:t>Loss/(gain) on sale of vessels</w:t>
            </w:r>
          </w:p>
        </w:tc>
        <w:tc>
          <w:tcPr>
            <w:tcW w:w="6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258" w:type="dxa"/>
            <w:tcBorders/>
            <w:vAlign w:val="bottom"/>
          </w:tcPr>
          <w:p>
            <w:pPr>
              <w:pStyle w:val="TableContents"/>
              <w:bidi w:val="0"/>
              <w:spacing w:before="0" w:after="0"/>
              <w:jc w:val="right"/>
              <w:rPr>
                <w:color w:val="000000"/>
              </w:rPr>
            </w:pPr>
            <w:r>
              <w:rPr>
                <w:color w:val="000000"/>
              </w:rPr>
              <w:t>-</w:t>
            </w:r>
          </w:p>
        </w:tc>
        <w:tc>
          <w:tcPr>
            <w:tcW w:w="136"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153" w:type="dxa"/>
            <w:tcBorders/>
            <w:vAlign w:val="bottom"/>
          </w:tcPr>
          <w:p>
            <w:pPr>
              <w:pStyle w:val="TableContents"/>
              <w:bidi w:val="0"/>
              <w:spacing w:before="0" w:after="0"/>
              <w:jc w:val="right"/>
              <w:rPr>
                <w:color w:val="000000"/>
              </w:rPr>
            </w:pPr>
            <w:r>
              <w:rPr>
                <w:color w:val="000000"/>
              </w:rPr>
              <w:t>115</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134" w:type="dxa"/>
            <w:tcBorders/>
            <w:vAlign w:val="bottom"/>
          </w:tcPr>
          <w:p>
            <w:pPr>
              <w:pStyle w:val="TableContents"/>
              <w:bidi w:val="0"/>
              <w:spacing w:before="0" w:after="0"/>
              <w:jc w:val="right"/>
              <w:rPr>
                <w:color w:val="000000"/>
              </w:rPr>
            </w:pPr>
            <w:r>
              <w:rPr>
                <w:color w:val="000000"/>
              </w:rPr>
              <w:t>-</w:t>
            </w:r>
          </w:p>
        </w:tc>
        <w:tc>
          <w:tcPr>
            <w:tcW w:w="123"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039" w:type="dxa"/>
            <w:tcBorders/>
            <w:vAlign w:val="bottom"/>
          </w:tcPr>
          <w:p>
            <w:pPr>
              <w:pStyle w:val="TableContents"/>
              <w:bidi w:val="0"/>
              <w:spacing w:before="0" w:after="0"/>
              <w:jc w:val="right"/>
              <w:rPr>
                <w:color w:val="000000"/>
              </w:rPr>
            </w:pPr>
            <w:r>
              <w:rPr>
                <w:color w:val="000000"/>
              </w:rPr>
              <w:t>(28,343</w:t>
            </w:r>
          </w:p>
        </w:tc>
        <w:tc>
          <w:tcPr>
            <w:tcW w:w="110" w:type="dxa"/>
            <w:tcBorders/>
            <w:vAlign w:val="bottom"/>
          </w:tcPr>
          <w:p>
            <w:pPr>
              <w:pStyle w:val="TableContents"/>
              <w:bidi w:val="0"/>
              <w:spacing w:before="0" w:after="0"/>
              <w:jc w:val="left"/>
              <w:rPr>
                <w:color w:val="000000"/>
              </w:rPr>
            </w:pPr>
            <w:r>
              <w:rPr>
                <w:color w:val="000000"/>
              </w:rPr>
              <w:t>)</w:t>
            </w:r>
          </w:p>
        </w:tc>
      </w:tr>
      <w:tr>
        <w:trPr/>
        <w:tc>
          <w:tcPr>
            <w:tcW w:w="7700" w:type="dxa"/>
            <w:tcBorders/>
            <w:shd w:fill="CCEEFF" w:val="clear"/>
            <w:vAlign w:val="bottom"/>
          </w:tcPr>
          <w:p>
            <w:pPr>
              <w:pStyle w:val="TableContents"/>
              <w:bidi w:val="0"/>
              <w:spacing w:before="0" w:after="0"/>
              <w:ind w:left="180" w:right="0" w:hanging="180"/>
              <w:jc w:val="left"/>
              <w:rPr>
                <w:color w:val="000000"/>
              </w:rPr>
            </w:pPr>
            <w:r>
              <w:rPr>
                <w:color w:val="000000"/>
              </w:rPr>
              <w:t>Amortization of derivative assets' premium</w:t>
            </w:r>
          </w:p>
        </w:tc>
        <w:tc>
          <w:tcPr>
            <w:tcW w:w="6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258" w:type="dxa"/>
            <w:tcBorders/>
            <w:shd w:fill="CCEEFF" w:val="clear"/>
            <w:vAlign w:val="bottom"/>
          </w:tcPr>
          <w:p>
            <w:pPr>
              <w:pStyle w:val="TableContents"/>
              <w:bidi w:val="0"/>
              <w:spacing w:before="0" w:after="0"/>
              <w:jc w:val="right"/>
              <w:rPr>
                <w:color w:val="000000"/>
              </w:rPr>
            </w:pPr>
            <w:r>
              <w:rPr>
                <w:color w:val="000000"/>
              </w:rPr>
              <w:t>443</w:t>
            </w:r>
          </w:p>
        </w:tc>
        <w:tc>
          <w:tcPr>
            <w:tcW w:w="136"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153" w:type="dxa"/>
            <w:tcBorders/>
            <w:shd w:fill="CCEEFF" w:val="clear"/>
            <w:vAlign w:val="bottom"/>
          </w:tcPr>
          <w:p>
            <w:pPr>
              <w:pStyle w:val="TableContents"/>
              <w:bidi w:val="0"/>
              <w:spacing w:before="0" w:after="0"/>
              <w:jc w:val="right"/>
              <w:rPr>
                <w:color w:val="000000"/>
              </w:rPr>
            </w:pPr>
            <w:r>
              <w:rPr>
                <w:color w:val="000000"/>
              </w:rPr>
              <w:t>857</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134" w:type="dxa"/>
            <w:tcBorders/>
            <w:shd w:fill="CCEEFF" w:val="clear"/>
            <w:vAlign w:val="bottom"/>
          </w:tcPr>
          <w:p>
            <w:pPr>
              <w:pStyle w:val="TableContents"/>
              <w:bidi w:val="0"/>
              <w:spacing w:before="0" w:after="0"/>
              <w:jc w:val="right"/>
              <w:rPr>
                <w:color w:val="000000"/>
              </w:rPr>
            </w:pPr>
            <w:r>
              <w:rPr>
                <w:color w:val="000000"/>
              </w:rPr>
              <w:t>1,048</w:t>
            </w:r>
          </w:p>
        </w:tc>
        <w:tc>
          <w:tcPr>
            <w:tcW w:w="123"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039" w:type="dxa"/>
            <w:tcBorders/>
            <w:shd w:fill="CCEEFF" w:val="clear"/>
            <w:vAlign w:val="bottom"/>
          </w:tcPr>
          <w:p>
            <w:pPr>
              <w:pStyle w:val="TableContents"/>
              <w:bidi w:val="0"/>
              <w:spacing w:before="0" w:after="0"/>
              <w:jc w:val="right"/>
              <w:rPr>
                <w:color w:val="000000"/>
              </w:rPr>
            </w:pPr>
            <w:r>
              <w:rPr>
                <w:color w:val="000000"/>
              </w:rPr>
              <w:t>1,949</w:t>
            </w:r>
          </w:p>
        </w:tc>
        <w:tc>
          <w:tcPr>
            <w:tcW w:w="110" w:type="dxa"/>
            <w:tcBorders/>
            <w:shd w:fill="CCEEFF" w:val="clear"/>
            <w:vAlign w:val="bottom"/>
          </w:tcPr>
          <w:p>
            <w:pPr>
              <w:pStyle w:val="TableContents"/>
              <w:bidi w:val="0"/>
              <w:spacing w:before="0" w:after="283"/>
              <w:jc w:val="left"/>
              <w:rPr/>
            </w:pPr>
            <w:r>
              <w:rPr/>
              <w:t> </w:t>
            </w:r>
          </w:p>
        </w:tc>
      </w:tr>
      <w:tr>
        <w:trPr/>
        <w:tc>
          <w:tcPr>
            <w:tcW w:w="7700" w:type="dxa"/>
            <w:tcBorders/>
            <w:vAlign w:val="bottom"/>
          </w:tcPr>
          <w:p>
            <w:pPr>
              <w:pStyle w:val="TableContents"/>
              <w:bidi w:val="0"/>
              <w:spacing w:before="0" w:after="0"/>
              <w:ind w:left="180" w:right="0" w:hanging="180"/>
              <w:jc w:val="left"/>
              <w:rPr>
                <w:color w:val="000000"/>
              </w:rPr>
            </w:pPr>
            <w:r>
              <w:rPr>
                <w:color w:val="000000"/>
              </w:rPr>
              <w:t>Amortization of deferred financing costs</w:t>
            </w:r>
          </w:p>
        </w:tc>
        <w:tc>
          <w:tcPr>
            <w:tcW w:w="6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258" w:type="dxa"/>
            <w:tcBorders/>
            <w:vAlign w:val="bottom"/>
          </w:tcPr>
          <w:p>
            <w:pPr>
              <w:pStyle w:val="TableContents"/>
              <w:bidi w:val="0"/>
              <w:spacing w:before="0" w:after="0"/>
              <w:jc w:val="right"/>
              <w:rPr>
                <w:color w:val="000000"/>
              </w:rPr>
            </w:pPr>
            <w:r>
              <w:rPr>
                <w:color w:val="000000"/>
              </w:rPr>
              <w:t>607</w:t>
            </w:r>
          </w:p>
        </w:tc>
        <w:tc>
          <w:tcPr>
            <w:tcW w:w="136"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153" w:type="dxa"/>
            <w:tcBorders/>
            <w:vAlign w:val="bottom"/>
          </w:tcPr>
          <w:p>
            <w:pPr>
              <w:pStyle w:val="TableContents"/>
              <w:bidi w:val="0"/>
              <w:spacing w:before="0" w:after="0"/>
              <w:jc w:val="right"/>
              <w:rPr>
                <w:color w:val="000000"/>
              </w:rPr>
            </w:pPr>
            <w:r>
              <w:rPr>
                <w:color w:val="000000"/>
              </w:rPr>
              <w:t>1,342</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134" w:type="dxa"/>
            <w:tcBorders/>
            <w:vAlign w:val="bottom"/>
          </w:tcPr>
          <w:p>
            <w:pPr>
              <w:pStyle w:val="TableContents"/>
              <w:bidi w:val="0"/>
              <w:spacing w:before="0" w:after="0"/>
              <w:jc w:val="right"/>
              <w:rPr>
                <w:color w:val="000000"/>
              </w:rPr>
            </w:pPr>
            <w:r>
              <w:rPr>
                <w:color w:val="000000"/>
              </w:rPr>
              <w:t>1,239</w:t>
            </w:r>
          </w:p>
        </w:tc>
        <w:tc>
          <w:tcPr>
            <w:tcW w:w="123"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039" w:type="dxa"/>
            <w:tcBorders/>
            <w:vAlign w:val="bottom"/>
          </w:tcPr>
          <w:p>
            <w:pPr>
              <w:pStyle w:val="TableContents"/>
              <w:bidi w:val="0"/>
              <w:spacing w:before="0" w:after="0"/>
              <w:jc w:val="right"/>
              <w:rPr>
                <w:color w:val="000000"/>
              </w:rPr>
            </w:pPr>
            <w:r>
              <w:rPr>
                <w:color w:val="000000"/>
              </w:rPr>
              <w:t>2,257</w:t>
            </w:r>
          </w:p>
        </w:tc>
        <w:tc>
          <w:tcPr>
            <w:tcW w:w="110" w:type="dxa"/>
            <w:tcBorders/>
            <w:vAlign w:val="bottom"/>
          </w:tcPr>
          <w:p>
            <w:pPr>
              <w:pStyle w:val="TableContents"/>
              <w:bidi w:val="0"/>
              <w:spacing w:before="0" w:after="283"/>
              <w:jc w:val="left"/>
              <w:rPr/>
            </w:pPr>
            <w:r>
              <w:rPr/>
              <w:t> </w:t>
            </w:r>
          </w:p>
        </w:tc>
      </w:tr>
      <w:tr>
        <w:trPr/>
        <w:tc>
          <w:tcPr>
            <w:tcW w:w="7700" w:type="dxa"/>
            <w:tcBorders/>
            <w:shd w:fill="CCEEFF" w:val="clear"/>
            <w:vAlign w:val="bottom"/>
          </w:tcPr>
          <w:p>
            <w:pPr>
              <w:pStyle w:val="TableContents"/>
              <w:bidi w:val="0"/>
              <w:spacing w:before="0" w:after="0"/>
              <w:ind w:left="180" w:right="0" w:hanging="180"/>
              <w:jc w:val="left"/>
              <w:rPr>
                <w:color w:val="000000"/>
              </w:rPr>
            </w:pPr>
            <w:r>
              <w:rPr>
                <w:color w:val="000000"/>
              </w:rPr>
              <w:t>Amortization of original issue discount on instruments</w:t>
            </w:r>
          </w:p>
        </w:tc>
        <w:tc>
          <w:tcPr>
            <w:tcW w:w="6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258" w:type="dxa"/>
            <w:tcBorders/>
            <w:shd w:fill="CCEEFF" w:val="clear"/>
            <w:vAlign w:val="bottom"/>
          </w:tcPr>
          <w:p>
            <w:pPr>
              <w:pStyle w:val="TableContents"/>
              <w:bidi w:val="0"/>
              <w:spacing w:before="0" w:after="0"/>
              <w:jc w:val="right"/>
              <w:rPr>
                <w:color w:val="000000"/>
              </w:rPr>
            </w:pPr>
            <w:r>
              <w:rPr>
                <w:color w:val="000000"/>
              </w:rPr>
              <w:t>(258</w:t>
            </w:r>
          </w:p>
        </w:tc>
        <w:tc>
          <w:tcPr>
            <w:tcW w:w="136" w:type="dxa"/>
            <w:tcBorders/>
            <w:shd w:fill="CCEEFF" w:val="clear"/>
            <w:vAlign w:val="bottom"/>
          </w:tcPr>
          <w:p>
            <w:pPr>
              <w:pStyle w:val="TableContents"/>
              <w:bidi w:val="0"/>
              <w:spacing w:before="0" w:after="0"/>
              <w:jc w:val="left"/>
              <w:rPr>
                <w:color w:val="000000"/>
              </w:rPr>
            </w:pPr>
            <w:r>
              <w:rPr>
                <w:color w:val="000000"/>
              </w:rPr>
              <w:t>)</w:t>
            </w:r>
          </w:p>
        </w:tc>
        <w:tc>
          <w:tcPr>
            <w:tcW w:w="86"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153" w:type="dxa"/>
            <w:tcBorders/>
            <w:shd w:fill="CCEEFF" w:val="clear"/>
            <w:vAlign w:val="bottom"/>
          </w:tcPr>
          <w:p>
            <w:pPr>
              <w:pStyle w:val="TableContents"/>
              <w:bidi w:val="0"/>
              <w:spacing w:before="0" w:after="0"/>
              <w:jc w:val="right"/>
              <w:rPr>
                <w:color w:val="000000"/>
              </w:rPr>
            </w:pPr>
            <w:r>
              <w:rPr>
                <w:color w:val="000000"/>
              </w:rPr>
              <w:t>(3,319</w:t>
            </w:r>
          </w:p>
        </w:tc>
        <w:tc>
          <w:tcPr>
            <w:tcW w:w="9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134" w:type="dxa"/>
            <w:tcBorders/>
            <w:shd w:fill="CCEEFF" w:val="clear"/>
            <w:vAlign w:val="bottom"/>
          </w:tcPr>
          <w:p>
            <w:pPr>
              <w:pStyle w:val="TableContents"/>
              <w:bidi w:val="0"/>
              <w:spacing w:before="0" w:after="0"/>
              <w:jc w:val="right"/>
              <w:rPr>
                <w:color w:val="000000"/>
              </w:rPr>
            </w:pPr>
            <w:r>
              <w:rPr>
                <w:color w:val="000000"/>
              </w:rPr>
              <w:t>(513</w:t>
            </w:r>
          </w:p>
        </w:tc>
        <w:tc>
          <w:tcPr>
            <w:tcW w:w="123" w:type="dxa"/>
            <w:tcBorders/>
            <w:shd w:fill="CCEEFF" w:val="clear"/>
            <w:vAlign w:val="bottom"/>
          </w:tcPr>
          <w:p>
            <w:pPr>
              <w:pStyle w:val="TableContents"/>
              <w:bidi w:val="0"/>
              <w:spacing w:before="0" w:after="0"/>
              <w:jc w:val="left"/>
              <w:rPr>
                <w:color w:val="000000"/>
              </w:rPr>
            </w:pPr>
            <w:r>
              <w:rPr>
                <w:color w:val="000000"/>
              </w:rPr>
              <w:t>)</w:t>
            </w:r>
          </w:p>
        </w:tc>
        <w:tc>
          <w:tcPr>
            <w:tcW w:w="77"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039" w:type="dxa"/>
            <w:tcBorders/>
            <w:shd w:fill="CCEEFF" w:val="clear"/>
            <w:vAlign w:val="bottom"/>
          </w:tcPr>
          <w:p>
            <w:pPr>
              <w:pStyle w:val="TableContents"/>
              <w:bidi w:val="0"/>
              <w:spacing w:before="0" w:after="0"/>
              <w:jc w:val="right"/>
              <w:rPr>
                <w:color w:val="000000"/>
              </w:rPr>
            </w:pPr>
            <w:r>
              <w:rPr>
                <w:color w:val="000000"/>
              </w:rPr>
              <w:t>-</w:t>
            </w:r>
          </w:p>
        </w:tc>
        <w:tc>
          <w:tcPr>
            <w:tcW w:w="110" w:type="dxa"/>
            <w:tcBorders/>
            <w:shd w:fill="CCEEFF" w:val="clear"/>
            <w:vAlign w:val="bottom"/>
          </w:tcPr>
          <w:p>
            <w:pPr>
              <w:pStyle w:val="TableContents"/>
              <w:bidi w:val="0"/>
              <w:spacing w:before="0" w:after="283"/>
              <w:jc w:val="left"/>
              <w:rPr/>
            </w:pPr>
            <w:r>
              <w:rPr/>
              <w:t> </w:t>
            </w:r>
          </w:p>
        </w:tc>
      </w:tr>
      <w:tr>
        <w:trPr/>
        <w:tc>
          <w:tcPr>
            <w:tcW w:w="7700" w:type="dxa"/>
            <w:tcBorders/>
            <w:vAlign w:val="bottom"/>
          </w:tcPr>
          <w:p>
            <w:pPr>
              <w:pStyle w:val="TableContents"/>
              <w:bidi w:val="0"/>
              <w:spacing w:before="0" w:after="0"/>
              <w:ind w:left="180" w:right="0" w:hanging="180"/>
              <w:jc w:val="left"/>
              <w:rPr>
                <w:color w:val="000000"/>
              </w:rPr>
            </w:pPr>
            <w:r>
              <w:rPr>
                <w:color w:val="000000"/>
              </w:rPr>
              <w:t>Amortization of intangible liabilities-charter agreements</w:t>
            </w:r>
          </w:p>
        </w:tc>
        <w:tc>
          <w:tcPr>
            <w:tcW w:w="6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258" w:type="dxa"/>
            <w:tcBorders/>
            <w:vAlign w:val="bottom"/>
          </w:tcPr>
          <w:p>
            <w:pPr>
              <w:pStyle w:val="TableContents"/>
              <w:bidi w:val="0"/>
              <w:spacing w:before="0" w:after="0"/>
              <w:jc w:val="right"/>
              <w:rPr>
                <w:color w:val="000000"/>
              </w:rPr>
            </w:pPr>
            <w:r>
              <w:rPr>
                <w:color w:val="000000"/>
              </w:rPr>
              <w:t>(6,425</w:t>
            </w:r>
          </w:p>
        </w:tc>
        <w:tc>
          <w:tcPr>
            <w:tcW w:w="136" w:type="dxa"/>
            <w:tcBorders/>
            <w:vAlign w:val="bottom"/>
          </w:tcPr>
          <w:p>
            <w:pPr>
              <w:pStyle w:val="TableContents"/>
              <w:bidi w:val="0"/>
              <w:spacing w:before="0" w:after="0"/>
              <w:jc w:val="left"/>
              <w:rPr>
                <w:color w:val="000000"/>
              </w:rPr>
            </w:pPr>
            <w:r>
              <w:rPr>
                <w:color w:val="000000"/>
              </w:rPr>
              <w:t>)</w:t>
            </w:r>
          </w:p>
        </w:tc>
        <w:tc>
          <w:tcPr>
            <w:tcW w:w="86"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153" w:type="dxa"/>
            <w:tcBorders/>
            <w:vAlign w:val="bottom"/>
          </w:tcPr>
          <w:p>
            <w:pPr>
              <w:pStyle w:val="TableContents"/>
              <w:bidi w:val="0"/>
              <w:spacing w:before="0" w:after="0"/>
              <w:jc w:val="right"/>
              <w:rPr>
                <w:color w:val="000000"/>
              </w:rPr>
            </w:pPr>
            <w:r>
              <w:rPr>
                <w:color w:val="000000"/>
              </w:rPr>
              <w:t>1,208</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134" w:type="dxa"/>
            <w:tcBorders/>
            <w:vAlign w:val="bottom"/>
          </w:tcPr>
          <w:p>
            <w:pPr>
              <w:pStyle w:val="TableContents"/>
              <w:bidi w:val="0"/>
              <w:spacing w:before="0" w:after="0"/>
              <w:jc w:val="right"/>
              <w:rPr>
                <w:color w:val="000000"/>
              </w:rPr>
            </w:pPr>
            <w:r>
              <w:rPr>
                <w:color w:val="000000"/>
              </w:rPr>
              <w:t>(12,672</w:t>
            </w:r>
          </w:p>
        </w:tc>
        <w:tc>
          <w:tcPr>
            <w:tcW w:w="123" w:type="dxa"/>
            <w:tcBorders/>
            <w:vAlign w:val="bottom"/>
          </w:tcPr>
          <w:p>
            <w:pPr>
              <w:pStyle w:val="TableContents"/>
              <w:bidi w:val="0"/>
              <w:spacing w:before="0" w:after="0"/>
              <w:jc w:val="left"/>
              <w:rPr>
                <w:color w:val="000000"/>
              </w:rPr>
            </w:pPr>
            <w:r>
              <w:rPr>
                <w:color w:val="000000"/>
              </w:rPr>
              <w:t>)</w:t>
            </w:r>
          </w:p>
        </w:tc>
        <w:tc>
          <w:tcPr>
            <w:tcW w:w="77"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039" w:type="dxa"/>
            <w:tcBorders/>
            <w:vAlign w:val="bottom"/>
          </w:tcPr>
          <w:p>
            <w:pPr>
              <w:pStyle w:val="TableContents"/>
              <w:bidi w:val="0"/>
              <w:spacing w:before="0" w:after="0"/>
              <w:jc w:val="right"/>
              <w:rPr>
                <w:color w:val="000000"/>
              </w:rPr>
            </w:pPr>
            <w:r>
              <w:rPr>
                <w:color w:val="000000"/>
              </w:rPr>
              <w:t>(6,533</w:t>
            </w:r>
          </w:p>
        </w:tc>
        <w:tc>
          <w:tcPr>
            <w:tcW w:w="110" w:type="dxa"/>
            <w:tcBorders/>
            <w:vAlign w:val="bottom"/>
          </w:tcPr>
          <w:p>
            <w:pPr>
              <w:pStyle w:val="TableContents"/>
              <w:bidi w:val="0"/>
              <w:spacing w:before="0" w:after="0"/>
              <w:jc w:val="left"/>
              <w:rPr>
                <w:color w:val="000000"/>
              </w:rPr>
            </w:pPr>
            <w:r>
              <w:rPr>
                <w:color w:val="000000"/>
              </w:rPr>
              <w:t>)</w:t>
            </w:r>
          </w:p>
        </w:tc>
      </w:tr>
      <w:tr>
        <w:trPr/>
        <w:tc>
          <w:tcPr>
            <w:tcW w:w="7700" w:type="dxa"/>
            <w:tcBorders/>
            <w:shd w:fill="CCEEFF" w:val="clear"/>
            <w:vAlign w:val="bottom"/>
          </w:tcPr>
          <w:p>
            <w:pPr>
              <w:pStyle w:val="TableContents"/>
              <w:bidi w:val="0"/>
              <w:spacing w:before="0" w:after="0"/>
              <w:ind w:left="180" w:right="0" w:hanging="180"/>
              <w:jc w:val="left"/>
              <w:rPr>
                <w:color w:val="000000"/>
              </w:rPr>
            </w:pPr>
            <w:r>
              <w:rPr>
                <w:color w:val="000000"/>
              </w:rPr>
              <w:t>Fair value adjustment on derivative asset/financial instruments</w:t>
            </w:r>
          </w:p>
        </w:tc>
        <w:tc>
          <w:tcPr>
            <w:tcW w:w="6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258" w:type="dxa"/>
            <w:tcBorders/>
            <w:shd w:fill="CCEEFF" w:val="clear"/>
            <w:vAlign w:val="bottom"/>
          </w:tcPr>
          <w:p>
            <w:pPr>
              <w:pStyle w:val="TableContents"/>
              <w:bidi w:val="0"/>
              <w:spacing w:before="0" w:after="0"/>
              <w:jc w:val="right"/>
              <w:rPr>
                <w:color w:val="000000"/>
              </w:rPr>
            </w:pPr>
            <w:r>
              <w:rPr>
                <w:color w:val="000000"/>
              </w:rPr>
              <w:t>227</w:t>
            </w:r>
          </w:p>
        </w:tc>
        <w:tc>
          <w:tcPr>
            <w:tcW w:w="136"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153" w:type="dxa"/>
            <w:tcBorders/>
            <w:shd w:fill="CCEEFF" w:val="clear"/>
            <w:vAlign w:val="bottom"/>
          </w:tcPr>
          <w:p>
            <w:pPr>
              <w:pStyle w:val="TableContents"/>
              <w:bidi w:val="0"/>
              <w:spacing w:before="0" w:after="0"/>
              <w:jc w:val="right"/>
              <w:rPr>
                <w:color w:val="000000"/>
              </w:rPr>
            </w:pPr>
            <w:r>
              <w:rPr>
                <w:color w:val="000000"/>
              </w:rPr>
              <w:t>175</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134" w:type="dxa"/>
            <w:tcBorders/>
            <w:shd w:fill="CCEEFF" w:val="clear"/>
            <w:vAlign w:val="bottom"/>
          </w:tcPr>
          <w:p>
            <w:pPr>
              <w:pStyle w:val="TableContents"/>
              <w:bidi w:val="0"/>
              <w:spacing w:before="0" w:after="0"/>
              <w:jc w:val="right"/>
              <w:rPr>
                <w:color w:val="000000"/>
              </w:rPr>
            </w:pPr>
            <w:r>
              <w:rPr>
                <w:color w:val="000000"/>
              </w:rPr>
              <w:t>1,127</w:t>
            </w:r>
          </w:p>
        </w:tc>
        <w:tc>
          <w:tcPr>
            <w:tcW w:w="123"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039" w:type="dxa"/>
            <w:tcBorders/>
            <w:shd w:fill="CCEEFF" w:val="clear"/>
            <w:vAlign w:val="bottom"/>
          </w:tcPr>
          <w:p>
            <w:pPr>
              <w:pStyle w:val="TableContents"/>
              <w:bidi w:val="0"/>
              <w:spacing w:before="0" w:after="0"/>
              <w:jc w:val="right"/>
              <w:rPr>
                <w:color w:val="000000"/>
              </w:rPr>
            </w:pPr>
            <w:r>
              <w:rPr>
                <w:color w:val="000000"/>
              </w:rPr>
              <w:t>2,831</w:t>
            </w:r>
          </w:p>
        </w:tc>
        <w:tc>
          <w:tcPr>
            <w:tcW w:w="110" w:type="dxa"/>
            <w:tcBorders/>
            <w:shd w:fill="CCEEFF" w:val="clear"/>
            <w:vAlign w:val="bottom"/>
          </w:tcPr>
          <w:p>
            <w:pPr>
              <w:pStyle w:val="TableContents"/>
              <w:bidi w:val="0"/>
              <w:spacing w:before="0" w:after="283"/>
              <w:jc w:val="left"/>
              <w:rPr/>
            </w:pPr>
            <w:r>
              <w:rPr/>
              <w:t> </w:t>
            </w:r>
          </w:p>
        </w:tc>
      </w:tr>
      <w:tr>
        <w:trPr/>
        <w:tc>
          <w:tcPr>
            <w:tcW w:w="7700" w:type="dxa"/>
            <w:tcBorders/>
            <w:vAlign w:val="bottom"/>
          </w:tcPr>
          <w:p>
            <w:pPr>
              <w:pStyle w:val="TableContents"/>
              <w:bidi w:val="0"/>
              <w:spacing w:before="0" w:after="0"/>
              <w:ind w:left="180" w:right="0" w:hanging="180"/>
              <w:jc w:val="left"/>
              <w:rPr>
                <w:color w:val="000000"/>
              </w:rPr>
            </w:pPr>
            <w:r>
              <w:rPr>
                <w:color w:val="000000"/>
              </w:rPr>
              <w:t>Prepayment fees on debt repayment</w:t>
            </w:r>
          </w:p>
        </w:tc>
        <w:tc>
          <w:tcPr>
            <w:tcW w:w="6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258" w:type="dxa"/>
            <w:tcBorders/>
            <w:vAlign w:val="bottom"/>
          </w:tcPr>
          <w:p>
            <w:pPr>
              <w:pStyle w:val="TableContents"/>
              <w:bidi w:val="0"/>
              <w:spacing w:before="0" w:after="0"/>
              <w:jc w:val="right"/>
              <w:rPr>
                <w:color w:val="000000"/>
              </w:rPr>
            </w:pPr>
            <w:r>
              <w:rPr>
                <w:color w:val="000000"/>
              </w:rPr>
              <w:t>-</w:t>
            </w:r>
          </w:p>
        </w:tc>
        <w:tc>
          <w:tcPr>
            <w:tcW w:w="136"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153" w:type="dxa"/>
            <w:tcBorders/>
            <w:vAlign w:val="bottom"/>
          </w:tcPr>
          <w:p>
            <w:pPr>
              <w:pStyle w:val="TableContents"/>
              <w:bidi w:val="0"/>
              <w:spacing w:before="0" w:after="0"/>
              <w:jc w:val="right"/>
              <w:rPr>
                <w:color w:val="000000"/>
              </w:rPr>
            </w:pPr>
            <w:r>
              <w:rPr>
                <w:color w:val="000000"/>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134" w:type="dxa"/>
            <w:tcBorders/>
            <w:vAlign w:val="bottom"/>
          </w:tcPr>
          <w:p>
            <w:pPr>
              <w:pStyle w:val="TableContents"/>
              <w:bidi w:val="0"/>
              <w:spacing w:before="0" w:after="0"/>
              <w:jc w:val="right"/>
              <w:rPr>
                <w:color w:val="000000"/>
              </w:rPr>
            </w:pPr>
            <w:r>
              <w:rPr>
                <w:color w:val="000000"/>
              </w:rPr>
              <w:t>-</w:t>
            </w:r>
          </w:p>
        </w:tc>
        <w:tc>
          <w:tcPr>
            <w:tcW w:w="123"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039" w:type="dxa"/>
            <w:tcBorders/>
            <w:vAlign w:val="bottom"/>
          </w:tcPr>
          <w:p>
            <w:pPr>
              <w:pStyle w:val="TableContents"/>
              <w:bidi w:val="0"/>
              <w:spacing w:before="0" w:after="0"/>
              <w:jc w:val="right"/>
              <w:rPr>
                <w:color w:val="000000"/>
              </w:rPr>
            </w:pPr>
            <w:r>
              <w:rPr>
                <w:color w:val="000000"/>
              </w:rPr>
              <w:t>175</w:t>
            </w:r>
          </w:p>
        </w:tc>
        <w:tc>
          <w:tcPr>
            <w:tcW w:w="110" w:type="dxa"/>
            <w:tcBorders/>
            <w:vAlign w:val="bottom"/>
          </w:tcPr>
          <w:p>
            <w:pPr>
              <w:pStyle w:val="TableContents"/>
              <w:bidi w:val="0"/>
              <w:spacing w:before="0" w:after="283"/>
              <w:jc w:val="left"/>
              <w:rPr/>
            </w:pPr>
            <w:r>
              <w:rPr/>
              <w:t> </w:t>
            </w:r>
          </w:p>
        </w:tc>
      </w:tr>
      <w:tr>
        <w:trPr/>
        <w:tc>
          <w:tcPr>
            <w:tcW w:w="7700" w:type="dxa"/>
            <w:tcBorders/>
            <w:shd w:fill="CCEEFF" w:val="clear"/>
            <w:vAlign w:val="bottom"/>
          </w:tcPr>
          <w:p>
            <w:pPr>
              <w:pStyle w:val="TableContents"/>
              <w:bidi w:val="0"/>
              <w:spacing w:before="0" w:after="0"/>
              <w:ind w:left="180" w:right="0" w:hanging="180"/>
              <w:jc w:val="left"/>
              <w:rPr>
                <w:color w:val="000000"/>
              </w:rPr>
            </w:pPr>
            <w:r>
              <w:rPr>
                <w:color w:val="000000"/>
              </w:rPr>
              <w:t>Stock-based compensation expense</w:t>
            </w:r>
          </w:p>
        </w:tc>
        <w:tc>
          <w:tcPr>
            <w:tcW w:w="6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258" w:type="dxa"/>
            <w:tcBorders/>
            <w:shd w:fill="CCEEFF" w:val="clear"/>
            <w:vAlign w:val="bottom"/>
          </w:tcPr>
          <w:p>
            <w:pPr>
              <w:pStyle w:val="TableContents"/>
              <w:bidi w:val="0"/>
              <w:spacing w:before="0" w:after="0"/>
              <w:jc w:val="right"/>
              <w:rPr>
                <w:color w:val="000000"/>
              </w:rPr>
            </w:pPr>
            <w:r>
              <w:rPr>
                <w:color w:val="000000"/>
              </w:rPr>
              <w:t>5,079</w:t>
            </w:r>
          </w:p>
        </w:tc>
        <w:tc>
          <w:tcPr>
            <w:tcW w:w="136"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153" w:type="dxa"/>
            <w:tcBorders/>
            <w:shd w:fill="CCEEFF" w:val="clear"/>
            <w:vAlign w:val="bottom"/>
          </w:tcPr>
          <w:p>
            <w:pPr>
              <w:pStyle w:val="TableContents"/>
              <w:bidi w:val="0"/>
              <w:spacing w:before="0" w:after="0"/>
              <w:jc w:val="right"/>
              <w:rPr>
                <w:color w:val="000000"/>
              </w:rPr>
            </w:pPr>
            <w:r>
              <w:rPr>
                <w:color w:val="000000"/>
              </w:rPr>
              <w:t>2,122</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134" w:type="dxa"/>
            <w:tcBorders/>
            <w:shd w:fill="CCEEFF" w:val="clear"/>
            <w:vAlign w:val="bottom"/>
          </w:tcPr>
          <w:p>
            <w:pPr>
              <w:pStyle w:val="TableContents"/>
              <w:bidi w:val="0"/>
              <w:spacing w:before="0" w:after="0"/>
              <w:jc w:val="right"/>
              <w:rPr>
                <w:color w:val="000000"/>
              </w:rPr>
            </w:pPr>
            <w:r>
              <w:rPr>
                <w:color w:val="000000"/>
              </w:rPr>
              <w:t>10,998</w:t>
            </w:r>
          </w:p>
        </w:tc>
        <w:tc>
          <w:tcPr>
            <w:tcW w:w="123"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039" w:type="dxa"/>
            <w:tcBorders/>
            <w:shd w:fill="CCEEFF" w:val="clear"/>
            <w:vAlign w:val="bottom"/>
          </w:tcPr>
          <w:p>
            <w:pPr>
              <w:pStyle w:val="TableContents"/>
              <w:bidi w:val="0"/>
              <w:spacing w:before="0" w:after="0"/>
              <w:jc w:val="right"/>
              <w:rPr>
                <w:color w:val="000000"/>
              </w:rPr>
            </w:pPr>
            <w:r>
              <w:rPr>
                <w:color w:val="000000"/>
              </w:rPr>
              <w:t>4,244</w:t>
            </w:r>
          </w:p>
        </w:tc>
        <w:tc>
          <w:tcPr>
            <w:tcW w:w="110" w:type="dxa"/>
            <w:tcBorders/>
            <w:shd w:fill="CCEEFF" w:val="clear"/>
            <w:vAlign w:val="bottom"/>
          </w:tcPr>
          <w:p>
            <w:pPr>
              <w:pStyle w:val="TableContents"/>
              <w:bidi w:val="0"/>
              <w:spacing w:before="0" w:after="283"/>
              <w:jc w:val="left"/>
              <w:rPr/>
            </w:pPr>
            <w:r>
              <w:rPr/>
              <w:t> </w:t>
            </w:r>
          </w:p>
        </w:tc>
      </w:tr>
      <w:tr>
        <w:trPr/>
        <w:tc>
          <w:tcPr>
            <w:tcW w:w="7700" w:type="dxa"/>
            <w:tcBorders/>
            <w:vAlign w:val="bottom"/>
          </w:tcPr>
          <w:p>
            <w:pPr>
              <w:pStyle w:val="TableContents"/>
              <w:bidi w:val="0"/>
              <w:spacing w:before="0" w:after="0"/>
              <w:ind w:left="180" w:right="0" w:hanging="180"/>
              <w:jc w:val="left"/>
              <w:rPr>
                <w:b/>
                <w:color w:val="000000"/>
              </w:rPr>
            </w:pPr>
            <w:r>
              <w:rPr>
                <w:b/>
                <w:color w:val="000000"/>
              </w:rPr>
              <w:t>Changes in operating assets and liabilities:</w:t>
            </w:r>
          </w:p>
        </w:tc>
        <w:tc>
          <w:tcPr>
            <w:tcW w:w="6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258" w:type="dxa"/>
            <w:tcBorders/>
            <w:vAlign w:val="bottom"/>
          </w:tcPr>
          <w:p>
            <w:pPr>
              <w:pStyle w:val="TableContents"/>
              <w:bidi w:val="0"/>
              <w:spacing w:before="0" w:after="283"/>
              <w:jc w:val="right"/>
              <w:rPr/>
            </w:pPr>
            <w:r>
              <w:rPr/>
              <w:t> </w:t>
            </w:r>
          </w:p>
        </w:tc>
        <w:tc>
          <w:tcPr>
            <w:tcW w:w="136"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153"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134" w:type="dxa"/>
            <w:tcBorders/>
            <w:vAlign w:val="bottom"/>
          </w:tcPr>
          <w:p>
            <w:pPr>
              <w:pStyle w:val="TableContents"/>
              <w:bidi w:val="0"/>
              <w:spacing w:before="0" w:after="283"/>
              <w:jc w:val="right"/>
              <w:rPr/>
            </w:pPr>
            <w:r>
              <w:rPr/>
              <w:t> </w:t>
            </w:r>
          </w:p>
        </w:tc>
        <w:tc>
          <w:tcPr>
            <w:tcW w:w="123"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039" w:type="dxa"/>
            <w:tcBorders/>
            <w:vAlign w:val="bottom"/>
          </w:tcPr>
          <w:p>
            <w:pPr>
              <w:pStyle w:val="TableContents"/>
              <w:bidi w:val="0"/>
              <w:spacing w:before="0" w:after="283"/>
              <w:jc w:val="right"/>
              <w:rPr/>
            </w:pPr>
            <w:r>
              <w:rPr/>
              <w:t> </w:t>
            </w:r>
          </w:p>
        </w:tc>
        <w:tc>
          <w:tcPr>
            <w:tcW w:w="110" w:type="dxa"/>
            <w:tcBorders/>
            <w:vAlign w:val="bottom"/>
          </w:tcPr>
          <w:p>
            <w:pPr>
              <w:pStyle w:val="TableContents"/>
              <w:bidi w:val="0"/>
              <w:spacing w:before="0" w:after="283"/>
              <w:jc w:val="left"/>
              <w:rPr/>
            </w:pPr>
            <w:r>
              <w:rPr/>
              <w:t> </w:t>
            </w:r>
          </w:p>
        </w:tc>
      </w:tr>
      <w:tr>
        <w:trPr/>
        <w:tc>
          <w:tcPr>
            <w:tcW w:w="7700" w:type="dxa"/>
            <w:tcBorders/>
            <w:shd w:fill="CCEEFF" w:val="clear"/>
            <w:vAlign w:val="bottom"/>
          </w:tcPr>
          <w:p>
            <w:pPr>
              <w:pStyle w:val="TableContents"/>
              <w:bidi w:val="0"/>
              <w:spacing w:before="0" w:after="0"/>
              <w:ind w:left="180" w:right="0" w:hanging="180"/>
              <w:jc w:val="left"/>
              <w:rPr>
                <w:color w:val="000000"/>
              </w:rPr>
            </w:pPr>
            <w:r>
              <w:rPr>
                <w:color w:val="000000"/>
              </w:rPr>
              <w:t>Decrease/(increase) in accounts receivable and other assets</w:t>
            </w:r>
          </w:p>
        </w:tc>
        <w:tc>
          <w:tcPr>
            <w:tcW w:w="6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0"/>
              <w:jc w:val="left"/>
              <w:rPr>
                <w:color w:val="000000"/>
              </w:rPr>
            </w:pPr>
            <w:r>
              <w:rPr>
                <w:color w:val="000000"/>
              </w:rPr>
              <w:t>$</w:t>
            </w:r>
          </w:p>
        </w:tc>
        <w:tc>
          <w:tcPr>
            <w:tcW w:w="1258" w:type="dxa"/>
            <w:tcBorders/>
            <w:shd w:fill="CCEEFF" w:val="clear"/>
            <w:vAlign w:val="bottom"/>
          </w:tcPr>
          <w:p>
            <w:pPr>
              <w:pStyle w:val="TableContents"/>
              <w:bidi w:val="0"/>
              <w:spacing w:before="0" w:after="0"/>
              <w:jc w:val="right"/>
              <w:rPr>
                <w:color w:val="000000"/>
              </w:rPr>
            </w:pPr>
            <w:r>
              <w:rPr>
                <w:color w:val="000000"/>
              </w:rPr>
              <w:t>10,919</w:t>
            </w:r>
          </w:p>
        </w:tc>
        <w:tc>
          <w:tcPr>
            <w:tcW w:w="136"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0"/>
              <w:jc w:val="left"/>
              <w:rPr>
                <w:color w:val="000000"/>
              </w:rPr>
            </w:pPr>
            <w:r>
              <w:rPr>
                <w:color w:val="000000"/>
              </w:rPr>
              <w:t>$</w:t>
            </w:r>
          </w:p>
        </w:tc>
        <w:tc>
          <w:tcPr>
            <w:tcW w:w="1153" w:type="dxa"/>
            <w:tcBorders/>
            <w:shd w:fill="CCEEFF" w:val="clear"/>
            <w:vAlign w:val="bottom"/>
          </w:tcPr>
          <w:p>
            <w:pPr>
              <w:pStyle w:val="TableContents"/>
              <w:bidi w:val="0"/>
              <w:spacing w:before="0" w:after="0"/>
              <w:jc w:val="right"/>
              <w:rPr>
                <w:color w:val="000000"/>
              </w:rPr>
            </w:pPr>
            <w:r>
              <w:rPr>
                <w:color w:val="000000"/>
              </w:rPr>
              <w:t>(3,227</w:t>
            </w:r>
          </w:p>
        </w:tc>
        <w:tc>
          <w:tcPr>
            <w:tcW w:w="9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0"/>
              <w:jc w:val="left"/>
              <w:rPr>
                <w:color w:val="000000"/>
              </w:rPr>
            </w:pPr>
            <w:r>
              <w:rPr>
                <w:color w:val="000000"/>
              </w:rPr>
              <w:t>$</w:t>
            </w:r>
          </w:p>
        </w:tc>
        <w:tc>
          <w:tcPr>
            <w:tcW w:w="1134" w:type="dxa"/>
            <w:tcBorders/>
            <w:shd w:fill="CCEEFF" w:val="clear"/>
            <w:vAlign w:val="bottom"/>
          </w:tcPr>
          <w:p>
            <w:pPr>
              <w:pStyle w:val="TableContents"/>
              <w:bidi w:val="0"/>
              <w:spacing w:before="0" w:after="0"/>
              <w:jc w:val="right"/>
              <w:rPr>
                <w:color w:val="000000"/>
              </w:rPr>
            </w:pPr>
            <w:r>
              <w:rPr>
                <w:color w:val="000000"/>
              </w:rPr>
              <w:t>14,793</w:t>
            </w:r>
          </w:p>
        </w:tc>
        <w:tc>
          <w:tcPr>
            <w:tcW w:w="123"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0"/>
              <w:jc w:val="left"/>
              <w:rPr>
                <w:color w:val="000000"/>
              </w:rPr>
            </w:pPr>
            <w:r>
              <w:rPr>
                <w:color w:val="000000"/>
              </w:rPr>
              <w:t>$</w:t>
            </w:r>
          </w:p>
        </w:tc>
        <w:tc>
          <w:tcPr>
            <w:tcW w:w="1039" w:type="dxa"/>
            <w:tcBorders/>
            <w:shd w:fill="CCEEFF" w:val="clear"/>
            <w:vAlign w:val="bottom"/>
          </w:tcPr>
          <w:p>
            <w:pPr>
              <w:pStyle w:val="TableContents"/>
              <w:bidi w:val="0"/>
              <w:spacing w:before="0" w:after="0"/>
              <w:jc w:val="right"/>
              <w:rPr>
                <w:color w:val="000000"/>
              </w:rPr>
            </w:pPr>
            <w:r>
              <w:rPr>
                <w:color w:val="000000"/>
              </w:rPr>
              <w:t>(10,242</w:t>
            </w:r>
          </w:p>
        </w:tc>
        <w:tc>
          <w:tcPr>
            <w:tcW w:w="110" w:type="dxa"/>
            <w:tcBorders/>
            <w:shd w:fill="CCEEFF" w:val="clear"/>
            <w:vAlign w:val="bottom"/>
          </w:tcPr>
          <w:p>
            <w:pPr>
              <w:pStyle w:val="TableContents"/>
              <w:bidi w:val="0"/>
              <w:spacing w:before="0" w:after="0"/>
              <w:jc w:val="left"/>
              <w:rPr>
                <w:color w:val="000000"/>
              </w:rPr>
            </w:pPr>
            <w:r>
              <w:rPr>
                <w:color w:val="000000"/>
              </w:rPr>
              <w:t>)</w:t>
            </w:r>
          </w:p>
        </w:tc>
      </w:tr>
      <w:tr>
        <w:trPr/>
        <w:tc>
          <w:tcPr>
            <w:tcW w:w="7700" w:type="dxa"/>
            <w:tcBorders/>
            <w:vAlign w:val="bottom"/>
          </w:tcPr>
          <w:p>
            <w:pPr>
              <w:pStyle w:val="TableContents"/>
              <w:bidi w:val="0"/>
              <w:spacing w:before="0" w:after="0"/>
              <w:ind w:left="180" w:right="0" w:hanging="180"/>
              <w:jc w:val="left"/>
              <w:rPr>
                <w:color w:val="000000"/>
              </w:rPr>
            </w:pPr>
            <w:r>
              <w:rPr>
                <w:color w:val="000000"/>
              </w:rPr>
              <w:t>(Increase)/decrease in inventories</w:t>
            </w:r>
          </w:p>
        </w:tc>
        <w:tc>
          <w:tcPr>
            <w:tcW w:w="6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258" w:type="dxa"/>
            <w:tcBorders/>
            <w:vAlign w:val="bottom"/>
          </w:tcPr>
          <w:p>
            <w:pPr>
              <w:pStyle w:val="TableContents"/>
              <w:bidi w:val="0"/>
              <w:spacing w:before="0" w:after="0"/>
              <w:jc w:val="right"/>
              <w:rPr>
                <w:color w:val="000000"/>
              </w:rPr>
            </w:pPr>
            <w:r>
              <w:rPr>
                <w:color w:val="000000"/>
              </w:rPr>
              <w:t>(7,516</w:t>
            </w:r>
          </w:p>
        </w:tc>
        <w:tc>
          <w:tcPr>
            <w:tcW w:w="136" w:type="dxa"/>
            <w:tcBorders/>
            <w:vAlign w:val="bottom"/>
          </w:tcPr>
          <w:p>
            <w:pPr>
              <w:pStyle w:val="TableContents"/>
              <w:bidi w:val="0"/>
              <w:spacing w:before="0" w:after="0"/>
              <w:jc w:val="left"/>
              <w:rPr>
                <w:color w:val="000000"/>
              </w:rPr>
            </w:pPr>
            <w:r>
              <w:rPr>
                <w:color w:val="000000"/>
              </w:rPr>
              <w:t>)</w:t>
            </w:r>
          </w:p>
        </w:tc>
        <w:tc>
          <w:tcPr>
            <w:tcW w:w="86"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153" w:type="dxa"/>
            <w:tcBorders/>
            <w:vAlign w:val="bottom"/>
          </w:tcPr>
          <w:p>
            <w:pPr>
              <w:pStyle w:val="TableContents"/>
              <w:bidi w:val="0"/>
              <w:spacing w:before="0" w:after="0"/>
              <w:jc w:val="right"/>
              <w:rPr>
                <w:color w:val="000000"/>
              </w:rPr>
            </w:pPr>
            <w:r>
              <w:rPr>
                <w:color w:val="000000"/>
              </w:rPr>
              <w:t>(1,742</w:t>
            </w:r>
          </w:p>
        </w:tc>
        <w:tc>
          <w:tcPr>
            <w:tcW w:w="9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134" w:type="dxa"/>
            <w:tcBorders/>
            <w:vAlign w:val="bottom"/>
          </w:tcPr>
          <w:p>
            <w:pPr>
              <w:pStyle w:val="TableContents"/>
              <w:bidi w:val="0"/>
              <w:spacing w:before="0" w:after="0"/>
              <w:jc w:val="right"/>
              <w:rPr>
                <w:color w:val="000000"/>
              </w:rPr>
            </w:pPr>
            <w:r>
              <w:rPr>
                <w:color w:val="000000"/>
              </w:rPr>
              <w:t>(7,757</w:t>
            </w:r>
          </w:p>
        </w:tc>
        <w:tc>
          <w:tcPr>
            <w:tcW w:w="123" w:type="dxa"/>
            <w:tcBorders/>
            <w:vAlign w:val="bottom"/>
          </w:tcPr>
          <w:p>
            <w:pPr>
              <w:pStyle w:val="TableContents"/>
              <w:bidi w:val="0"/>
              <w:spacing w:before="0" w:after="0"/>
              <w:jc w:val="left"/>
              <w:rPr>
                <w:color w:val="000000"/>
              </w:rPr>
            </w:pPr>
            <w:r>
              <w:rPr>
                <w:color w:val="000000"/>
              </w:rPr>
              <w:t>)</w:t>
            </w:r>
          </w:p>
        </w:tc>
        <w:tc>
          <w:tcPr>
            <w:tcW w:w="77"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039" w:type="dxa"/>
            <w:tcBorders/>
            <w:vAlign w:val="bottom"/>
          </w:tcPr>
          <w:p>
            <w:pPr>
              <w:pStyle w:val="TableContents"/>
              <w:bidi w:val="0"/>
              <w:spacing w:before="0" w:after="0"/>
              <w:jc w:val="right"/>
              <w:rPr>
                <w:color w:val="000000"/>
              </w:rPr>
            </w:pPr>
            <w:r>
              <w:rPr>
                <w:color w:val="000000"/>
              </w:rPr>
              <w:t>825</w:t>
            </w:r>
          </w:p>
        </w:tc>
        <w:tc>
          <w:tcPr>
            <w:tcW w:w="110" w:type="dxa"/>
            <w:tcBorders/>
            <w:vAlign w:val="bottom"/>
          </w:tcPr>
          <w:p>
            <w:pPr>
              <w:pStyle w:val="TableContents"/>
              <w:bidi w:val="0"/>
              <w:spacing w:before="0" w:after="283"/>
              <w:jc w:val="left"/>
              <w:rPr/>
            </w:pPr>
            <w:r>
              <w:rPr/>
              <w:t> </w:t>
            </w:r>
          </w:p>
        </w:tc>
      </w:tr>
      <w:tr>
        <w:trPr/>
        <w:tc>
          <w:tcPr>
            <w:tcW w:w="7700" w:type="dxa"/>
            <w:tcBorders/>
            <w:shd w:fill="CCEEFF" w:val="clear"/>
            <w:vAlign w:val="bottom"/>
          </w:tcPr>
          <w:p>
            <w:pPr>
              <w:pStyle w:val="TableContents"/>
              <w:bidi w:val="0"/>
              <w:spacing w:before="0" w:after="0"/>
              <w:ind w:left="180" w:right="0" w:hanging="180"/>
              <w:jc w:val="left"/>
              <w:rPr>
                <w:color w:val="000000"/>
              </w:rPr>
            </w:pPr>
            <w:r>
              <w:rPr>
                <w:color w:val="000000"/>
              </w:rPr>
              <w:t>Decrease/(increase) in derivative assets and other financial instruments</w:t>
            </w:r>
          </w:p>
        </w:tc>
        <w:tc>
          <w:tcPr>
            <w:tcW w:w="6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258" w:type="dxa"/>
            <w:tcBorders/>
            <w:shd w:fill="CCEEFF" w:val="clear"/>
            <w:vAlign w:val="bottom"/>
          </w:tcPr>
          <w:p>
            <w:pPr>
              <w:pStyle w:val="TableContents"/>
              <w:bidi w:val="0"/>
              <w:spacing w:before="0" w:after="0"/>
              <w:jc w:val="right"/>
              <w:rPr>
                <w:color w:val="000000"/>
              </w:rPr>
            </w:pPr>
            <w:r>
              <w:rPr>
                <w:color w:val="000000"/>
              </w:rPr>
              <w:t>12,000</w:t>
            </w:r>
          </w:p>
        </w:tc>
        <w:tc>
          <w:tcPr>
            <w:tcW w:w="136"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153" w:type="dxa"/>
            <w:tcBorders/>
            <w:shd w:fill="CCEEFF" w:val="clear"/>
            <w:vAlign w:val="bottom"/>
          </w:tcPr>
          <w:p>
            <w:pPr>
              <w:pStyle w:val="TableContents"/>
              <w:bidi w:val="0"/>
              <w:spacing w:before="0" w:after="0"/>
              <w:jc w:val="right"/>
              <w:rPr>
                <w:color w:val="000000"/>
              </w:rPr>
            </w:pPr>
            <w:r>
              <w:rPr>
                <w:color w:val="000000"/>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134" w:type="dxa"/>
            <w:tcBorders/>
            <w:shd w:fill="CCEEFF" w:val="clear"/>
            <w:vAlign w:val="bottom"/>
          </w:tcPr>
          <w:p>
            <w:pPr>
              <w:pStyle w:val="TableContents"/>
              <w:bidi w:val="0"/>
              <w:spacing w:before="0" w:after="0"/>
              <w:jc w:val="right"/>
              <w:rPr>
                <w:color w:val="000000"/>
              </w:rPr>
            </w:pPr>
            <w:r>
              <w:rPr>
                <w:color w:val="000000"/>
              </w:rPr>
              <w:t>(21,000</w:t>
            </w:r>
          </w:p>
        </w:tc>
        <w:tc>
          <w:tcPr>
            <w:tcW w:w="123" w:type="dxa"/>
            <w:tcBorders/>
            <w:shd w:fill="CCEEFF" w:val="clear"/>
            <w:vAlign w:val="bottom"/>
          </w:tcPr>
          <w:p>
            <w:pPr>
              <w:pStyle w:val="TableContents"/>
              <w:bidi w:val="0"/>
              <w:spacing w:before="0" w:after="0"/>
              <w:jc w:val="left"/>
              <w:rPr>
                <w:color w:val="000000"/>
              </w:rPr>
            </w:pPr>
            <w:r>
              <w:rPr>
                <w:color w:val="000000"/>
              </w:rPr>
              <w:t>)</w:t>
            </w:r>
          </w:p>
        </w:tc>
        <w:tc>
          <w:tcPr>
            <w:tcW w:w="77"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039" w:type="dxa"/>
            <w:tcBorders/>
            <w:shd w:fill="CCEEFF" w:val="clear"/>
            <w:vAlign w:val="bottom"/>
          </w:tcPr>
          <w:p>
            <w:pPr>
              <w:pStyle w:val="TableContents"/>
              <w:bidi w:val="0"/>
              <w:spacing w:before="0" w:after="0"/>
              <w:jc w:val="right"/>
              <w:rPr>
                <w:color w:val="000000"/>
              </w:rPr>
            </w:pPr>
            <w:r>
              <w:rPr>
                <w:color w:val="000000"/>
              </w:rPr>
              <w:t>(194</w:t>
            </w:r>
          </w:p>
        </w:tc>
        <w:tc>
          <w:tcPr>
            <w:tcW w:w="110" w:type="dxa"/>
            <w:tcBorders/>
            <w:shd w:fill="CCEEFF" w:val="clear"/>
            <w:vAlign w:val="bottom"/>
          </w:tcPr>
          <w:p>
            <w:pPr>
              <w:pStyle w:val="TableContents"/>
              <w:bidi w:val="0"/>
              <w:spacing w:before="0" w:after="0"/>
              <w:jc w:val="left"/>
              <w:rPr>
                <w:color w:val="000000"/>
              </w:rPr>
            </w:pPr>
            <w:r>
              <w:rPr>
                <w:color w:val="000000"/>
              </w:rPr>
              <w:t>)</w:t>
            </w:r>
          </w:p>
        </w:tc>
      </w:tr>
      <w:tr>
        <w:trPr/>
        <w:tc>
          <w:tcPr>
            <w:tcW w:w="7700" w:type="dxa"/>
            <w:tcBorders/>
            <w:vAlign w:val="bottom"/>
          </w:tcPr>
          <w:p>
            <w:pPr>
              <w:pStyle w:val="TableContents"/>
              <w:bidi w:val="0"/>
              <w:spacing w:before="0" w:after="0"/>
              <w:ind w:left="180" w:right="0" w:hanging="180"/>
              <w:jc w:val="left"/>
              <w:rPr>
                <w:color w:val="000000"/>
              </w:rPr>
            </w:pPr>
            <w:r>
              <w:rPr>
                <w:color w:val="000000"/>
              </w:rPr>
              <w:t>Increase in accounts payable and other liabilities</w:t>
            </w:r>
          </w:p>
        </w:tc>
        <w:tc>
          <w:tcPr>
            <w:tcW w:w="6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258" w:type="dxa"/>
            <w:tcBorders/>
            <w:vAlign w:val="bottom"/>
          </w:tcPr>
          <w:p>
            <w:pPr>
              <w:pStyle w:val="TableContents"/>
              <w:bidi w:val="0"/>
              <w:spacing w:before="0" w:after="0"/>
              <w:jc w:val="right"/>
              <w:rPr>
                <w:color w:val="000000"/>
              </w:rPr>
            </w:pPr>
            <w:r>
              <w:rPr>
                <w:color w:val="000000"/>
              </w:rPr>
              <w:t>8,785</w:t>
            </w:r>
          </w:p>
        </w:tc>
        <w:tc>
          <w:tcPr>
            <w:tcW w:w="136"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153" w:type="dxa"/>
            <w:tcBorders/>
            <w:vAlign w:val="bottom"/>
          </w:tcPr>
          <w:p>
            <w:pPr>
              <w:pStyle w:val="TableContents"/>
              <w:bidi w:val="0"/>
              <w:spacing w:before="0" w:after="0"/>
              <w:jc w:val="right"/>
              <w:rPr>
                <w:color w:val="000000"/>
              </w:rPr>
            </w:pPr>
            <w:r>
              <w:rPr>
                <w:color w:val="000000"/>
              </w:rPr>
              <w:t>7,815</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134" w:type="dxa"/>
            <w:tcBorders/>
            <w:vAlign w:val="bottom"/>
          </w:tcPr>
          <w:p>
            <w:pPr>
              <w:pStyle w:val="TableContents"/>
              <w:bidi w:val="0"/>
              <w:spacing w:before="0" w:after="0"/>
              <w:jc w:val="right"/>
              <w:rPr>
                <w:color w:val="000000"/>
              </w:rPr>
            </w:pPr>
            <w:r>
              <w:rPr>
                <w:color w:val="000000"/>
              </w:rPr>
              <w:t>2,796</w:t>
            </w:r>
          </w:p>
        </w:tc>
        <w:tc>
          <w:tcPr>
            <w:tcW w:w="123"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039" w:type="dxa"/>
            <w:tcBorders/>
            <w:vAlign w:val="bottom"/>
          </w:tcPr>
          <w:p>
            <w:pPr>
              <w:pStyle w:val="TableContents"/>
              <w:bidi w:val="0"/>
              <w:spacing w:before="0" w:after="0"/>
              <w:jc w:val="right"/>
              <w:rPr>
                <w:color w:val="000000"/>
              </w:rPr>
            </w:pPr>
            <w:r>
              <w:rPr>
                <w:color w:val="000000"/>
              </w:rPr>
              <w:t>13,740</w:t>
            </w:r>
          </w:p>
        </w:tc>
        <w:tc>
          <w:tcPr>
            <w:tcW w:w="110" w:type="dxa"/>
            <w:tcBorders/>
            <w:vAlign w:val="bottom"/>
          </w:tcPr>
          <w:p>
            <w:pPr>
              <w:pStyle w:val="TableContents"/>
              <w:bidi w:val="0"/>
              <w:spacing w:before="0" w:after="283"/>
              <w:jc w:val="left"/>
              <w:rPr/>
            </w:pPr>
            <w:r>
              <w:rPr/>
              <w:t> </w:t>
            </w:r>
          </w:p>
        </w:tc>
      </w:tr>
      <w:tr>
        <w:trPr/>
        <w:tc>
          <w:tcPr>
            <w:tcW w:w="7700" w:type="dxa"/>
            <w:tcBorders/>
            <w:shd w:fill="CCEEFF" w:val="clear"/>
            <w:vAlign w:val="bottom"/>
          </w:tcPr>
          <w:p>
            <w:pPr>
              <w:pStyle w:val="TableContents"/>
              <w:bidi w:val="0"/>
              <w:spacing w:before="0" w:after="0"/>
              <w:ind w:left="180" w:right="0" w:hanging="180"/>
              <w:jc w:val="left"/>
              <w:rPr>
                <w:color w:val="000000"/>
              </w:rPr>
            </w:pPr>
            <w:r>
              <w:rPr>
                <w:color w:val="000000"/>
              </w:rPr>
              <w:t>(Increase)/decrease in related parties' balances, net</w:t>
            </w:r>
          </w:p>
        </w:tc>
        <w:tc>
          <w:tcPr>
            <w:tcW w:w="6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258" w:type="dxa"/>
            <w:tcBorders/>
            <w:shd w:fill="CCEEFF" w:val="clear"/>
            <w:vAlign w:val="bottom"/>
          </w:tcPr>
          <w:p>
            <w:pPr>
              <w:pStyle w:val="TableContents"/>
              <w:bidi w:val="0"/>
              <w:spacing w:before="0" w:after="0"/>
              <w:jc w:val="right"/>
              <w:rPr>
                <w:color w:val="000000"/>
              </w:rPr>
            </w:pPr>
            <w:r>
              <w:rPr>
                <w:color w:val="000000"/>
              </w:rPr>
              <w:t>(491</w:t>
            </w:r>
          </w:p>
        </w:tc>
        <w:tc>
          <w:tcPr>
            <w:tcW w:w="136" w:type="dxa"/>
            <w:tcBorders/>
            <w:shd w:fill="CCEEFF" w:val="clear"/>
            <w:vAlign w:val="bottom"/>
          </w:tcPr>
          <w:p>
            <w:pPr>
              <w:pStyle w:val="TableContents"/>
              <w:bidi w:val="0"/>
              <w:spacing w:before="0" w:after="0"/>
              <w:jc w:val="left"/>
              <w:rPr>
                <w:color w:val="000000"/>
              </w:rPr>
            </w:pPr>
            <w:r>
              <w:rPr>
                <w:color w:val="000000"/>
              </w:rPr>
              <w:t>)</w:t>
            </w:r>
          </w:p>
        </w:tc>
        <w:tc>
          <w:tcPr>
            <w:tcW w:w="86"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153" w:type="dxa"/>
            <w:tcBorders/>
            <w:shd w:fill="CCEEFF" w:val="clear"/>
            <w:vAlign w:val="bottom"/>
          </w:tcPr>
          <w:p>
            <w:pPr>
              <w:pStyle w:val="TableContents"/>
              <w:bidi w:val="0"/>
              <w:spacing w:before="0" w:after="0"/>
              <w:jc w:val="right"/>
              <w:rPr>
                <w:color w:val="000000"/>
              </w:rPr>
            </w:pPr>
            <w:r>
              <w:rPr>
                <w:color w:val="000000"/>
              </w:rPr>
              <w:t>274</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134" w:type="dxa"/>
            <w:tcBorders/>
            <w:shd w:fill="CCEEFF" w:val="clear"/>
            <w:vAlign w:val="bottom"/>
          </w:tcPr>
          <w:p>
            <w:pPr>
              <w:pStyle w:val="TableContents"/>
              <w:bidi w:val="0"/>
              <w:spacing w:before="0" w:after="0"/>
              <w:jc w:val="right"/>
              <w:rPr>
                <w:color w:val="000000"/>
              </w:rPr>
            </w:pPr>
            <w:r>
              <w:rPr>
                <w:color w:val="000000"/>
              </w:rPr>
              <w:t>(1,112</w:t>
            </w:r>
          </w:p>
        </w:tc>
        <w:tc>
          <w:tcPr>
            <w:tcW w:w="123" w:type="dxa"/>
            <w:tcBorders/>
            <w:shd w:fill="CCEEFF" w:val="clear"/>
            <w:vAlign w:val="bottom"/>
          </w:tcPr>
          <w:p>
            <w:pPr>
              <w:pStyle w:val="TableContents"/>
              <w:bidi w:val="0"/>
              <w:spacing w:before="0" w:after="0"/>
              <w:jc w:val="left"/>
              <w:rPr>
                <w:color w:val="000000"/>
              </w:rPr>
            </w:pPr>
            <w:r>
              <w:rPr>
                <w:color w:val="000000"/>
              </w:rPr>
              <w:t>)</w:t>
            </w:r>
          </w:p>
        </w:tc>
        <w:tc>
          <w:tcPr>
            <w:tcW w:w="77"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039" w:type="dxa"/>
            <w:tcBorders/>
            <w:shd w:fill="CCEEFF" w:val="clear"/>
            <w:vAlign w:val="bottom"/>
          </w:tcPr>
          <w:p>
            <w:pPr>
              <w:pStyle w:val="TableContents"/>
              <w:bidi w:val="0"/>
              <w:spacing w:before="0" w:after="0"/>
              <w:jc w:val="right"/>
              <w:rPr>
                <w:color w:val="000000"/>
              </w:rPr>
            </w:pPr>
            <w:r>
              <w:rPr>
                <w:color w:val="000000"/>
              </w:rPr>
              <w:t>(504</w:t>
            </w:r>
          </w:p>
        </w:tc>
        <w:tc>
          <w:tcPr>
            <w:tcW w:w="110" w:type="dxa"/>
            <w:tcBorders/>
            <w:shd w:fill="CCEEFF" w:val="clear"/>
            <w:vAlign w:val="bottom"/>
          </w:tcPr>
          <w:p>
            <w:pPr>
              <w:pStyle w:val="TableContents"/>
              <w:bidi w:val="0"/>
              <w:spacing w:before="0" w:after="0"/>
              <w:jc w:val="left"/>
              <w:rPr>
                <w:color w:val="000000"/>
              </w:rPr>
            </w:pPr>
            <w:r>
              <w:rPr>
                <w:color w:val="000000"/>
              </w:rPr>
              <w:t>)</w:t>
            </w:r>
          </w:p>
        </w:tc>
      </w:tr>
      <w:tr>
        <w:trPr/>
        <w:tc>
          <w:tcPr>
            <w:tcW w:w="7700" w:type="dxa"/>
            <w:tcBorders/>
            <w:vAlign w:val="bottom"/>
          </w:tcPr>
          <w:p>
            <w:pPr>
              <w:pStyle w:val="TableContents"/>
              <w:bidi w:val="0"/>
              <w:spacing w:before="0" w:after="0"/>
              <w:ind w:left="180" w:right="0" w:hanging="180"/>
              <w:jc w:val="left"/>
              <w:rPr>
                <w:color w:val="000000"/>
              </w:rPr>
            </w:pPr>
            <w:r>
              <w:rPr>
                <w:color w:val="000000"/>
              </w:rPr>
              <w:t>Decrease in deferred revenue</w:t>
            </w:r>
          </w:p>
        </w:tc>
        <w:tc>
          <w:tcPr>
            <w:tcW w:w="6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258" w:type="dxa"/>
            <w:tcBorders/>
            <w:vAlign w:val="bottom"/>
          </w:tcPr>
          <w:p>
            <w:pPr>
              <w:pStyle w:val="TableContents"/>
              <w:bidi w:val="0"/>
              <w:spacing w:before="0" w:after="0"/>
              <w:jc w:val="right"/>
              <w:rPr>
                <w:color w:val="000000"/>
              </w:rPr>
            </w:pPr>
            <w:r>
              <w:rPr>
                <w:color w:val="000000"/>
              </w:rPr>
              <w:t>(8,808</w:t>
            </w:r>
          </w:p>
        </w:tc>
        <w:tc>
          <w:tcPr>
            <w:tcW w:w="136" w:type="dxa"/>
            <w:tcBorders/>
            <w:vAlign w:val="bottom"/>
          </w:tcPr>
          <w:p>
            <w:pPr>
              <w:pStyle w:val="TableContents"/>
              <w:bidi w:val="0"/>
              <w:spacing w:before="0" w:after="0"/>
              <w:jc w:val="left"/>
              <w:rPr>
                <w:color w:val="000000"/>
              </w:rPr>
            </w:pPr>
            <w:r>
              <w:rPr>
                <w:color w:val="000000"/>
              </w:rPr>
              <w:t>)</w:t>
            </w:r>
          </w:p>
        </w:tc>
        <w:tc>
          <w:tcPr>
            <w:tcW w:w="86"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153" w:type="dxa"/>
            <w:tcBorders/>
            <w:vAlign w:val="bottom"/>
          </w:tcPr>
          <w:p>
            <w:pPr>
              <w:pStyle w:val="TableContents"/>
              <w:bidi w:val="0"/>
              <w:spacing w:before="0" w:after="0"/>
              <w:jc w:val="right"/>
              <w:rPr>
                <w:color w:val="000000"/>
              </w:rPr>
            </w:pPr>
            <w:r>
              <w:rPr>
                <w:color w:val="000000"/>
              </w:rPr>
              <w:t>(1,346</w:t>
            </w:r>
          </w:p>
        </w:tc>
        <w:tc>
          <w:tcPr>
            <w:tcW w:w="9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134" w:type="dxa"/>
            <w:tcBorders/>
            <w:vAlign w:val="bottom"/>
          </w:tcPr>
          <w:p>
            <w:pPr>
              <w:pStyle w:val="TableContents"/>
              <w:bidi w:val="0"/>
              <w:spacing w:before="0" w:after="0"/>
              <w:jc w:val="right"/>
              <w:rPr>
                <w:color w:val="000000"/>
              </w:rPr>
            </w:pPr>
            <w:r>
              <w:rPr>
                <w:color w:val="000000"/>
              </w:rPr>
              <w:t>(16,725</w:t>
            </w:r>
          </w:p>
        </w:tc>
        <w:tc>
          <w:tcPr>
            <w:tcW w:w="123" w:type="dxa"/>
            <w:tcBorders/>
            <w:vAlign w:val="bottom"/>
          </w:tcPr>
          <w:p>
            <w:pPr>
              <w:pStyle w:val="TableContents"/>
              <w:bidi w:val="0"/>
              <w:spacing w:before="0" w:after="0"/>
              <w:jc w:val="left"/>
              <w:rPr>
                <w:color w:val="000000"/>
              </w:rPr>
            </w:pPr>
            <w:r>
              <w:rPr>
                <w:color w:val="000000"/>
              </w:rPr>
              <w:t>)</w:t>
            </w:r>
          </w:p>
        </w:tc>
        <w:tc>
          <w:tcPr>
            <w:tcW w:w="77"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039" w:type="dxa"/>
            <w:tcBorders/>
            <w:vAlign w:val="bottom"/>
          </w:tcPr>
          <w:p>
            <w:pPr>
              <w:pStyle w:val="TableContents"/>
              <w:bidi w:val="0"/>
              <w:spacing w:before="0" w:after="0"/>
              <w:jc w:val="right"/>
              <w:rPr>
                <w:color w:val="000000"/>
              </w:rPr>
            </w:pPr>
            <w:r>
              <w:rPr>
                <w:color w:val="000000"/>
              </w:rPr>
              <w:t>(10,006</w:t>
            </w:r>
          </w:p>
        </w:tc>
        <w:tc>
          <w:tcPr>
            <w:tcW w:w="110" w:type="dxa"/>
            <w:tcBorders/>
            <w:vAlign w:val="bottom"/>
          </w:tcPr>
          <w:p>
            <w:pPr>
              <w:pStyle w:val="TableContents"/>
              <w:bidi w:val="0"/>
              <w:spacing w:before="0" w:after="0"/>
              <w:jc w:val="left"/>
              <w:rPr>
                <w:color w:val="000000"/>
              </w:rPr>
            </w:pPr>
            <w:r>
              <w:rPr>
                <w:color w:val="000000"/>
              </w:rPr>
              <w:t>)</w:t>
            </w:r>
          </w:p>
        </w:tc>
      </w:tr>
      <w:tr>
        <w:trPr/>
        <w:tc>
          <w:tcPr>
            <w:tcW w:w="7700" w:type="dxa"/>
            <w:tcBorders/>
            <w:shd w:fill="CCEEFF" w:val="clear"/>
            <w:vAlign w:val="bottom"/>
          </w:tcPr>
          <w:p>
            <w:pPr>
              <w:pStyle w:val="TableContents"/>
              <w:bidi w:val="0"/>
              <w:spacing w:before="0" w:after="0"/>
              <w:ind w:left="180" w:right="0" w:hanging="180"/>
              <w:jc w:val="left"/>
              <w:rPr>
                <w:color w:val="000000"/>
              </w:rPr>
            </w:pPr>
            <w:r>
              <w:rPr>
                <w:color w:val="000000"/>
              </w:rPr>
              <w:t>Payments for drydocking and special survey costs</w:t>
            </w:r>
          </w:p>
        </w:tc>
        <w:tc>
          <w:tcPr>
            <w:tcW w:w="6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258" w:type="dxa"/>
            <w:tcBorders/>
            <w:shd w:fill="CCEEFF" w:val="clear"/>
            <w:vAlign w:val="bottom"/>
          </w:tcPr>
          <w:p>
            <w:pPr>
              <w:pStyle w:val="TableContents"/>
              <w:bidi w:val="0"/>
              <w:spacing w:before="0" w:after="0"/>
              <w:jc w:val="right"/>
              <w:rPr>
                <w:color w:val="000000"/>
              </w:rPr>
            </w:pPr>
            <w:r>
              <w:rPr>
                <w:color w:val="000000"/>
              </w:rPr>
              <w:t>(14,085</w:t>
            </w:r>
          </w:p>
        </w:tc>
        <w:tc>
          <w:tcPr>
            <w:tcW w:w="136" w:type="dxa"/>
            <w:tcBorders/>
            <w:shd w:fill="CCEEFF" w:val="clear"/>
            <w:vAlign w:val="bottom"/>
          </w:tcPr>
          <w:p>
            <w:pPr>
              <w:pStyle w:val="TableContents"/>
              <w:bidi w:val="0"/>
              <w:spacing w:before="0" w:after="0"/>
              <w:jc w:val="left"/>
              <w:rPr>
                <w:color w:val="000000"/>
              </w:rPr>
            </w:pPr>
            <w:r>
              <w:rPr>
                <w:color w:val="000000"/>
              </w:rPr>
              <w:t>)</w:t>
            </w:r>
          </w:p>
        </w:tc>
        <w:tc>
          <w:tcPr>
            <w:tcW w:w="86"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153" w:type="dxa"/>
            <w:tcBorders/>
            <w:shd w:fill="CCEEFF" w:val="clear"/>
            <w:vAlign w:val="bottom"/>
          </w:tcPr>
          <w:p>
            <w:pPr>
              <w:pStyle w:val="TableContents"/>
              <w:bidi w:val="0"/>
              <w:spacing w:before="0" w:after="0"/>
              <w:jc w:val="right"/>
              <w:rPr>
                <w:color w:val="000000"/>
              </w:rPr>
            </w:pPr>
            <w:r>
              <w:rPr>
                <w:color w:val="000000"/>
              </w:rPr>
              <w:t>(10,804</w:t>
            </w:r>
          </w:p>
        </w:tc>
        <w:tc>
          <w:tcPr>
            <w:tcW w:w="9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134" w:type="dxa"/>
            <w:tcBorders/>
            <w:shd w:fill="CCEEFF" w:val="clear"/>
            <w:vAlign w:val="bottom"/>
          </w:tcPr>
          <w:p>
            <w:pPr>
              <w:pStyle w:val="TableContents"/>
              <w:bidi w:val="0"/>
              <w:spacing w:before="0" w:after="0"/>
              <w:jc w:val="right"/>
              <w:rPr>
                <w:color w:val="000000"/>
              </w:rPr>
            </w:pPr>
            <w:r>
              <w:rPr>
                <w:color w:val="000000"/>
              </w:rPr>
              <w:t>(18,766</w:t>
            </w:r>
          </w:p>
        </w:tc>
        <w:tc>
          <w:tcPr>
            <w:tcW w:w="123" w:type="dxa"/>
            <w:tcBorders/>
            <w:shd w:fill="CCEEFF" w:val="clear"/>
            <w:vAlign w:val="bottom"/>
          </w:tcPr>
          <w:p>
            <w:pPr>
              <w:pStyle w:val="TableContents"/>
              <w:bidi w:val="0"/>
              <w:spacing w:before="0" w:after="0"/>
              <w:jc w:val="left"/>
              <w:rPr>
                <w:color w:val="000000"/>
              </w:rPr>
            </w:pPr>
            <w:r>
              <w:rPr>
                <w:color w:val="000000"/>
              </w:rPr>
              <w:t>)</w:t>
            </w:r>
          </w:p>
        </w:tc>
        <w:tc>
          <w:tcPr>
            <w:tcW w:w="77"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039" w:type="dxa"/>
            <w:tcBorders/>
            <w:shd w:fill="CCEEFF" w:val="clear"/>
            <w:vAlign w:val="bottom"/>
          </w:tcPr>
          <w:p>
            <w:pPr>
              <w:pStyle w:val="TableContents"/>
              <w:bidi w:val="0"/>
              <w:spacing w:before="0" w:after="0"/>
              <w:jc w:val="right"/>
              <w:rPr>
                <w:color w:val="000000"/>
              </w:rPr>
            </w:pPr>
            <w:r>
              <w:rPr>
                <w:color w:val="000000"/>
              </w:rPr>
              <w:t>(27,104</w:t>
            </w:r>
          </w:p>
        </w:tc>
        <w:tc>
          <w:tcPr>
            <w:tcW w:w="110" w:type="dxa"/>
            <w:tcBorders/>
            <w:shd w:fill="CCEEFF" w:val="clear"/>
            <w:vAlign w:val="bottom"/>
          </w:tcPr>
          <w:p>
            <w:pPr>
              <w:pStyle w:val="TableContents"/>
              <w:bidi w:val="0"/>
              <w:spacing w:before="0" w:after="0"/>
              <w:jc w:val="left"/>
              <w:rPr>
                <w:color w:val="000000"/>
              </w:rPr>
            </w:pPr>
            <w:r>
              <w:rPr>
                <w:color w:val="000000"/>
              </w:rPr>
              <w:t>)</w:t>
            </w:r>
          </w:p>
        </w:tc>
      </w:tr>
      <w:tr>
        <w:trPr/>
        <w:tc>
          <w:tcPr>
            <w:tcW w:w="7700" w:type="dxa"/>
            <w:tcBorders/>
            <w:vAlign w:val="bottom"/>
          </w:tcPr>
          <w:p>
            <w:pPr>
              <w:pStyle w:val="TableContents"/>
              <w:bidi w:val="0"/>
              <w:spacing w:before="0" w:after="0"/>
              <w:ind w:left="180" w:right="0" w:hanging="180"/>
              <w:jc w:val="left"/>
              <w:rPr>
                <w:color w:val="000000"/>
              </w:rPr>
            </w:pPr>
            <w:r>
              <w:rPr>
                <w:color w:val="000000"/>
              </w:rPr>
              <w:t>Unrealized foreign exchange loss/(gain)</w:t>
            </w:r>
          </w:p>
        </w:tc>
        <w:tc>
          <w:tcPr>
            <w:tcW w:w="60" w:type="dxa"/>
            <w:tcBorders/>
            <w:vAlign w:val="bottom"/>
          </w:tcPr>
          <w:p>
            <w:pPr>
              <w:pStyle w:val="TableContents"/>
              <w:bidi w:val="0"/>
              <w:spacing w:before="0" w:after="283"/>
              <w:jc w:val="left"/>
              <w:rPr/>
            </w:pPr>
            <w:r>
              <w:rPr/>
              <w:t> </w:t>
            </w:r>
          </w:p>
        </w:tc>
        <w:tc>
          <w:tcPr>
            <w:tcW w:w="201" w:type="dxa"/>
            <w:tcBorders>
              <w:bottom w:val="single" w:sz="12" w:space="0" w:color="000000"/>
            </w:tcBorders>
            <w:tcMar>
              <w:bottom w:w="28" w:type="dxa"/>
            </w:tcMar>
            <w:vAlign w:val="bottom"/>
          </w:tcPr>
          <w:p>
            <w:pPr>
              <w:pStyle w:val="TableContents"/>
              <w:bidi w:val="0"/>
              <w:spacing w:before="0" w:after="283"/>
              <w:jc w:val="left"/>
              <w:rPr/>
            </w:pPr>
            <w:r>
              <w:rPr/>
              <w:t> </w:t>
            </w:r>
          </w:p>
        </w:tc>
        <w:tc>
          <w:tcPr>
            <w:tcW w:w="1258"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w:t>
            </w:r>
          </w:p>
        </w:tc>
        <w:tc>
          <w:tcPr>
            <w:tcW w:w="136"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201" w:type="dxa"/>
            <w:tcBorders>
              <w:bottom w:val="single" w:sz="12" w:space="0" w:color="000000"/>
            </w:tcBorders>
            <w:tcMar>
              <w:bottom w:w="28" w:type="dxa"/>
            </w:tcMar>
            <w:vAlign w:val="bottom"/>
          </w:tcPr>
          <w:p>
            <w:pPr>
              <w:pStyle w:val="TableContents"/>
              <w:bidi w:val="0"/>
              <w:spacing w:before="0" w:after="283"/>
              <w:jc w:val="left"/>
              <w:rPr/>
            </w:pPr>
            <w:r>
              <w:rPr/>
              <w:t> </w:t>
            </w:r>
          </w:p>
        </w:tc>
        <w:tc>
          <w:tcPr>
            <w:tcW w:w="1153"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w:t>
            </w:r>
          </w:p>
        </w:tc>
        <w:tc>
          <w:tcPr>
            <w:tcW w:w="9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181" w:type="dxa"/>
            <w:tcBorders>
              <w:bottom w:val="single" w:sz="12" w:space="0" w:color="000000"/>
            </w:tcBorders>
            <w:tcMar>
              <w:bottom w:w="28" w:type="dxa"/>
            </w:tcMar>
            <w:vAlign w:val="bottom"/>
          </w:tcPr>
          <w:p>
            <w:pPr>
              <w:pStyle w:val="TableContents"/>
              <w:bidi w:val="0"/>
              <w:spacing w:before="0" w:after="283"/>
              <w:jc w:val="left"/>
              <w:rPr/>
            </w:pPr>
            <w:r>
              <w:rPr/>
              <w:t> </w:t>
            </w:r>
          </w:p>
        </w:tc>
        <w:tc>
          <w:tcPr>
            <w:tcW w:w="1134"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(3</w:t>
            </w:r>
          </w:p>
        </w:tc>
        <w:tc>
          <w:tcPr>
            <w:tcW w:w="123" w:type="dxa"/>
            <w:tcBorders/>
            <w:vAlign w:val="bottom"/>
          </w:tcPr>
          <w:p>
            <w:pPr>
              <w:pStyle w:val="TableContents"/>
              <w:bidi w:val="0"/>
              <w:spacing w:before="0" w:after="0"/>
              <w:jc w:val="left"/>
              <w:rPr>
                <w:color w:val="000000"/>
              </w:rPr>
            </w:pPr>
            <w:r>
              <w:rPr>
                <w:color w:val="000000"/>
              </w:rPr>
              <w:t>)</w:t>
            </w:r>
          </w:p>
        </w:tc>
        <w:tc>
          <w:tcPr>
            <w:tcW w:w="77" w:type="dxa"/>
            <w:tcBorders/>
            <w:vAlign w:val="bottom"/>
          </w:tcPr>
          <w:p>
            <w:pPr>
              <w:pStyle w:val="TableContents"/>
              <w:bidi w:val="0"/>
              <w:spacing w:before="0" w:after="283"/>
              <w:jc w:val="left"/>
              <w:rPr/>
            </w:pPr>
            <w:r>
              <w:rPr/>
              <w:t> </w:t>
            </w:r>
          </w:p>
        </w:tc>
        <w:tc>
          <w:tcPr>
            <w:tcW w:w="181" w:type="dxa"/>
            <w:tcBorders>
              <w:bottom w:val="single" w:sz="12" w:space="0" w:color="000000"/>
            </w:tcBorders>
            <w:tcMar>
              <w:bottom w:w="28" w:type="dxa"/>
            </w:tcMar>
            <w:vAlign w:val="bottom"/>
          </w:tcPr>
          <w:p>
            <w:pPr>
              <w:pStyle w:val="TableContents"/>
              <w:bidi w:val="0"/>
              <w:spacing w:before="0" w:after="283"/>
              <w:jc w:val="left"/>
              <w:rPr/>
            </w:pPr>
            <w:r>
              <w:rPr/>
              <w:t> </w:t>
            </w:r>
          </w:p>
        </w:tc>
        <w:tc>
          <w:tcPr>
            <w:tcW w:w="1039"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110" w:type="dxa"/>
            <w:tcBorders/>
            <w:vAlign w:val="bottom"/>
          </w:tcPr>
          <w:p>
            <w:pPr>
              <w:pStyle w:val="TableContents"/>
              <w:bidi w:val="0"/>
              <w:spacing w:before="0" w:after="283"/>
              <w:jc w:val="left"/>
              <w:rPr/>
            </w:pPr>
            <w:r>
              <w:rPr/>
              <w:t> </w:t>
            </w:r>
          </w:p>
        </w:tc>
      </w:tr>
      <w:tr>
        <w:trPr/>
        <w:tc>
          <w:tcPr>
            <w:tcW w:w="7700" w:type="dxa"/>
            <w:tcBorders/>
            <w:shd w:fill="CCEEFF" w:val="clear"/>
            <w:vAlign w:val="bottom"/>
          </w:tcPr>
          <w:p>
            <w:pPr>
              <w:pStyle w:val="TableContents"/>
              <w:bidi w:val="0"/>
              <w:spacing w:before="0" w:after="0"/>
              <w:ind w:left="180" w:right="0" w:hanging="180"/>
              <w:jc w:val="left"/>
              <w:rPr>
                <w:b/>
                <w:color w:val="000000"/>
              </w:rPr>
            </w:pPr>
            <w:r>
              <w:rPr>
                <w:b/>
                <w:color w:val="000000"/>
              </w:rPr>
              <w:t>Net cash provided by operating activities</w:t>
            </w:r>
          </w:p>
        </w:tc>
        <w:tc>
          <w:tcPr>
            <w:tcW w:w="60" w:type="dxa"/>
            <w:tcBorders/>
            <w:shd w:fill="CCEEFF" w:val="clear"/>
            <w:vAlign w:val="bottom"/>
          </w:tcPr>
          <w:p>
            <w:pPr>
              <w:pStyle w:val="TableContents"/>
              <w:bidi w:val="0"/>
              <w:spacing w:before="0" w:after="283"/>
              <w:jc w:val="left"/>
              <w:rPr/>
            </w:pPr>
            <w:r>
              <w:rPr/>
              <w:t> </w:t>
            </w:r>
          </w:p>
        </w:tc>
        <w:tc>
          <w:tcPr>
            <w:tcW w:w="201" w:type="dxa"/>
            <w:tcBorders>
              <w:bottom w:val="single" w:sz="12" w:space="0" w:color="000000"/>
            </w:tcBorders>
            <w:shd w:fill="CCEEFF" w:val="clear"/>
            <w:tcMar>
              <w:bottom w:w="28" w:type="dxa"/>
            </w:tcMar>
            <w:vAlign w:val="bottom"/>
          </w:tcPr>
          <w:p>
            <w:pPr>
              <w:pStyle w:val="TableContents"/>
              <w:bidi w:val="0"/>
              <w:spacing w:before="0" w:after="0"/>
              <w:jc w:val="left"/>
              <w:rPr>
                <w:b/>
                <w:color w:val="000000"/>
              </w:rPr>
            </w:pPr>
            <w:r>
              <w:rPr>
                <w:b/>
                <w:color w:val="000000"/>
              </w:rPr>
              <w:t>$</w:t>
            </w:r>
          </w:p>
        </w:tc>
        <w:tc>
          <w:tcPr>
            <w:tcW w:w="1258" w:type="dxa"/>
            <w:tcBorders>
              <w:bottom w:val="single" w:sz="12" w:space="0" w:color="000000"/>
            </w:tcBorders>
            <w:shd w:fill="CCEEFF" w:val="clear"/>
            <w:tcMar>
              <w:bottom w:w="28" w:type="dxa"/>
            </w:tcMar>
            <w:vAlign w:val="bottom"/>
          </w:tcPr>
          <w:p>
            <w:pPr>
              <w:pStyle w:val="TableContents"/>
              <w:bidi w:val="0"/>
              <w:spacing w:before="0" w:after="0"/>
              <w:jc w:val="right"/>
              <w:rPr>
                <w:b/>
                <w:color w:val="000000"/>
              </w:rPr>
            </w:pPr>
            <w:r>
              <w:rPr>
                <w:b/>
                <w:color w:val="000000"/>
              </w:rPr>
              <w:t>126,343</w:t>
            </w:r>
          </w:p>
        </w:tc>
        <w:tc>
          <w:tcPr>
            <w:tcW w:w="136"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201" w:type="dxa"/>
            <w:tcBorders>
              <w:bottom w:val="single" w:sz="12" w:space="0" w:color="000000"/>
            </w:tcBorders>
            <w:shd w:fill="CCEEFF" w:val="clear"/>
            <w:tcMar>
              <w:bottom w:w="28" w:type="dxa"/>
            </w:tcMar>
            <w:vAlign w:val="bottom"/>
          </w:tcPr>
          <w:p>
            <w:pPr>
              <w:pStyle w:val="TableContents"/>
              <w:bidi w:val="0"/>
              <w:spacing w:before="0" w:after="0"/>
              <w:jc w:val="left"/>
              <w:rPr>
                <w:b/>
                <w:color w:val="000000"/>
              </w:rPr>
            </w:pPr>
            <w:r>
              <w:rPr>
                <w:b/>
                <w:color w:val="000000"/>
              </w:rPr>
              <w:t>$</w:t>
            </w:r>
          </w:p>
        </w:tc>
        <w:tc>
          <w:tcPr>
            <w:tcW w:w="1153" w:type="dxa"/>
            <w:tcBorders>
              <w:bottom w:val="single" w:sz="12" w:space="0" w:color="000000"/>
            </w:tcBorders>
            <w:shd w:fill="CCEEFF" w:val="clear"/>
            <w:tcMar>
              <w:bottom w:w="28" w:type="dxa"/>
            </w:tcMar>
            <w:vAlign w:val="bottom"/>
          </w:tcPr>
          <w:p>
            <w:pPr>
              <w:pStyle w:val="TableContents"/>
              <w:bidi w:val="0"/>
              <w:spacing w:before="0" w:after="0"/>
              <w:jc w:val="right"/>
              <w:rPr>
                <w:b/>
                <w:color w:val="000000"/>
              </w:rPr>
            </w:pPr>
            <w:r>
              <w:rPr>
                <w:b/>
                <w:color w:val="000000"/>
              </w:rPr>
              <w:t>119,233</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1" w:type="dxa"/>
            <w:tcBorders>
              <w:bottom w:val="single" w:sz="12" w:space="0" w:color="000000"/>
            </w:tcBorders>
            <w:shd w:fill="CCEEFF" w:val="clear"/>
            <w:tcMar>
              <w:bottom w:w="28" w:type="dxa"/>
            </w:tcMar>
            <w:vAlign w:val="bottom"/>
          </w:tcPr>
          <w:p>
            <w:pPr>
              <w:pStyle w:val="TableContents"/>
              <w:bidi w:val="0"/>
              <w:spacing w:before="0" w:after="0"/>
              <w:jc w:val="left"/>
              <w:rPr>
                <w:b/>
                <w:color w:val="000000"/>
              </w:rPr>
            </w:pPr>
            <w:r>
              <w:rPr>
                <w:b/>
                <w:color w:val="000000"/>
              </w:rPr>
              <w:t>$</w:t>
            </w:r>
          </w:p>
        </w:tc>
        <w:tc>
          <w:tcPr>
            <w:tcW w:w="1134" w:type="dxa"/>
            <w:tcBorders>
              <w:bottom w:val="single" w:sz="12" w:space="0" w:color="000000"/>
            </w:tcBorders>
            <w:shd w:fill="CCEEFF" w:val="clear"/>
            <w:tcMar>
              <w:bottom w:w="28" w:type="dxa"/>
            </w:tcMar>
            <w:vAlign w:val="bottom"/>
          </w:tcPr>
          <w:p>
            <w:pPr>
              <w:pStyle w:val="TableContents"/>
              <w:bidi w:val="0"/>
              <w:spacing w:before="0" w:after="0"/>
              <w:jc w:val="right"/>
              <w:rPr>
                <w:b/>
                <w:color w:val="000000"/>
              </w:rPr>
            </w:pPr>
            <w:r>
              <w:rPr>
                <w:b/>
                <w:color w:val="000000"/>
              </w:rPr>
              <w:t>206,619</w:t>
            </w:r>
          </w:p>
        </w:tc>
        <w:tc>
          <w:tcPr>
            <w:tcW w:w="123"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181" w:type="dxa"/>
            <w:tcBorders>
              <w:bottom w:val="single" w:sz="12" w:space="0" w:color="000000"/>
            </w:tcBorders>
            <w:shd w:fill="CCEEFF" w:val="clear"/>
            <w:tcMar>
              <w:bottom w:w="28" w:type="dxa"/>
            </w:tcMar>
            <w:vAlign w:val="bottom"/>
          </w:tcPr>
          <w:p>
            <w:pPr>
              <w:pStyle w:val="TableContents"/>
              <w:bidi w:val="0"/>
              <w:spacing w:before="0" w:after="0"/>
              <w:jc w:val="left"/>
              <w:rPr>
                <w:b/>
                <w:color w:val="000000"/>
              </w:rPr>
            </w:pPr>
            <w:r>
              <w:rPr>
                <w:b/>
                <w:color w:val="000000"/>
              </w:rPr>
              <w:t>$</w:t>
            </w:r>
          </w:p>
        </w:tc>
        <w:tc>
          <w:tcPr>
            <w:tcW w:w="1039" w:type="dxa"/>
            <w:tcBorders>
              <w:bottom w:val="single" w:sz="12" w:space="0" w:color="000000"/>
            </w:tcBorders>
            <w:shd w:fill="CCEEFF" w:val="clear"/>
            <w:tcMar>
              <w:bottom w:w="28" w:type="dxa"/>
            </w:tcMar>
            <w:vAlign w:val="bottom"/>
          </w:tcPr>
          <w:p>
            <w:pPr>
              <w:pStyle w:val="TableContents"/>
              <w:bidi w:val="0"/>
              <w:spacing w:before="0" w:after="0"/>
              <w:jc w:val="right"/>
              <w:rPr>
                <w:b/>
                <w:color w:val="000000"/>
              </w:rPr>
            </w:pPr>
            <w:r>
              <w:rPr>
                <w:b/>
                <w:color w:val="000000"/>
              </w:rPr>
              <w:t>222,047</w:t>
            </w:r>
          </w:p>
        </w:tc>
        <w:tc>
          <w:tcPr>
            <w:tcW w:w="110" w:type="dxa"/>
            <w:tcBorders/>
            <w:shd w:fill="CCEEFF" w:val="clear"/>
            <w:vAlign w:val="bottom"/>
          </w:tcPr>
          <w:p>
            <w:pPr>
              <w:pStyle w:val="TableContents"/>
              <w:bidi w:val="0"/>
              <w:spacing w:before="0" w:after="283"/>
              <w:jc w:val="left"/>
              <w:rPr/>
            </w:pPr>
            <w:r>
              <w:rPr/>
              <w:t> </w:t>
            </w:r>
          </w:p>
        </w:tc>
      </w:tr>
      <w:tr>
        <w:trPr/>
        <w:tc>
          <w:tcPr>
            <w:tcW w:w="7700" w:type="dxa"/>
            <w:tcBorders/>
            <w:vAlign w:val="bottom"/>
          </w:tcPr>
          <w:p>
            <w:pPr>
              <w:pStyle w:val="TableContents"/>
              <w:bidi w:val="0"/>
              <w:spacing w:before="0" w:after="0"/>
              <w:ind w:left="180" w:right="0" w:hanging="180"/>
              <w:jc w:val="left"/>
              <w:rPr>
                <w:b/>
                <w:color w:val="000000"/>
              </w:rPr>
            </w:pPr>
            <w:r>
              <w:rPr>
                <w:b/>
                <w:color w:val="000000"/>
              </w:rPr>
              <w:t>Cash flows from investing activities:</w:t>
            </w:r>
          </w:p>
        </w:tc>
        <w:tc>
          <w:tcPr>
            <w:tcW w:w="6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258" w:type="dxa"/>
            <w:tcBorders/>
            <w:vAlign w:val="bottom"/>
          </w:tcPr>
          <w:p>
            <w:pPr>
              <w:pStyle w:val="TableContents"/>
              <w:bidi w:val="0"/>
              <w:spacing w:before="0" w:after="283"/>
              <w:jc w:val="right"/>
              <w:rPr/>
            </w:pPr>
            <w:r>
              <w:rPr/>
              <w:t> </w:t>
            </w:r>
          </w:p>
        </w:tc>
        <w:tc>
          <w:tcPr>
            <w:tcW w:w="136"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153"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134" w:type="dxa"/>
            <w:tcBorders/>
            <w:vAlign w:val="bottom"/>
          </w:tcPr>
          <w:p>
            <w:pPr>
              <w:pStyle w:val="TableContents"/>
              <w:bidi w:val="0"/>
              <w:spacing w:before="0" w:after="283"/>
              <w:jc w:val="right"/>
              <w:rPr/>
            </w:pPr>
            <w:r>
              <w:rPr/>
              <w:t> </w:t>
            </w:r>
          </w:p>
        </w:tc>
        <w:tc>
          <w:tcPr>
            <w:tcW w:w="123"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039" w:type="dxa"/>
            <w:tcBorders/>
            <w:vAlign w:val="bottom"/>
          </w:tcPr>
          <w:p>
            <w:pPr>
              <w:pStyle w:val="TableContents"/>
              <w:bidi w:val="0"/>
              <w:spacing w:before="0" w:after="283"/>
              <w:jc w:val="right"/>
              <w:rPr/>
            </w:pPr>
            <w:r>
              <w:rPr/>
              <w:t> </w:t>
            </w:r>
          </w:p>
        </w:tc>
        <w:tc>
          <w:tcPr>
            <w:tcW w:w="110" w:type="dxa"/>
            <w:tcBorders/>
            <w:vAlign w:val="bottom"/>
          </w:tcPr>
          <w:p>
            <w:pPr>
              <w:pStyle w:val="TableContents"/>
              <w:bidi w:val="0"/>
              <w:spacing w:before="0" w:after="283"/>
              <w:jc w:val="left"/>
              <w:rPr/>
            </w:pPr>
            <w:r>
              <w:rPr/>
              <w:t> </w:t>
            </w:r>
          </w:p>
        </w:tc>
      </w:tr>
      <w:tr>
        <w:trPr/>
        <w:tc>
          <w:tcPr>
            <w:tcW w:w="7700" w:type="dxa"/>
            <w:tcBorders/>
            <w:shd w:fill="CCEEFF" w:val="clear"/>
            <w:vAlign w:val="bottom"/>
          </w:tcPr>
          <w:p>
            <w:pPr>
              <w:pStyle w:val="TableContents"/>
              <w:bidi w:val="0"/>
              <w:spacing w:before="0" w:after="0"/>
              <w:ind w:left="180" w:right="0" w:hanging="180"/>
              <w:jc w:val="left"/>
              <w:rPr>
                <w:color w:val="000000"/>
              </w:rPr>
            </w:pPr>
            <w:r>
              <w:rPr>
                <w:color w:val="000000"/>
              </w:rPr>
              <w:t>Acquisition of vessels</w:t>
            </w:r>
          </w:p>
        </w:tc>
        <w:tc>
          <w:tcPr>
            <w:tcW w:w="6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0"/>
              <w:jc w:val="left"/>
              <w:rPr>
                <w:color w:val="000000"/>
              </w:rPr>
            </w:pPr>
            <w:r>
              <w:rPr>
                <w:color w:val="000000"/>
              </w:rPr>
              <w:t>$</w:t>
            </w:r>
          </w:p>
        </w:tc>
        <w:tc>
          <w:tcPr>
            <w:tcW w:w="1258" w:type="dxa"/>
            <w:tcBorders/>
            <w:shd w:fill="CCEEFF" w:val="clear"/>
            <w:vAlign w:val="bottom"/>
          </w:tcPr>
          <w:p>
            <w:pPr>
              <w:pStyle w:val="TableContents"/>
              <w:bidi w:val="0"/>
              <w:spacing w:before="0" w:after="0"/>
              <w:jc w:val="right"/>
              <w:rPr>
                <w:color w:val="000000"/>
              </w:rPr>
            </w:pPr>
            <w:r>
              <w:rPr>
                <w:color w:val="000000"/>
              </w:rPr>
              <w:t>-</w:t>
            </w:r>
          </w:p>
        </w:tc>
        <w:tc>
          <w:tcPr>
            <w:tcW w:w="136"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0"/>
              <w:jc w:val="left"/>
              <w:rPr>
                <w:color w:val="000000"/>
              </w:rPr>
            </w:pPr>
            <w:r>
              <w:rPr>
                <w:color w:val="000000"/>
              </w:rPr>
              <w:t>$</w:t>
            </w:r>
          </w:p>
        </w:tc>
        <w:tc>
          <w:tcPr>
            <w:tcW w:w="1153" w:type="dxa"/>
            <w:tcBorders/>
            <w:shd w:fill="CCEEFF" w:val="clear"/>
            <w:vAlign w:val="bottom"/>
          </w:tcPr>
          <w:p>
            <w:pPr>
              <w:pStyle w:val="TableContents"/>
              <w:bidi w:val="0"/>
              <w:spacing w:before="0" w:after="0"/>
              <w:jc w:val="right"/>
              <w:rPr>
                <w:color w:val="000000"/>
              </w:rPr>
            </w:pPr>
            <w:r>
              <w:rPr>
                <w:color w:val="000000"/>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0"/>
              <w:jc w:val="left"/>
              <w:rPr>
                <w:color w:val="000000"/>
              </w:rPr>
            </w:pPr>
            <w:r>
              <w:rPr>
                <w:color w:val="000000"/>
              </w:rPr>
              <w:t>$</w:t>
            </w:r>
          </w:p>
        </w:tc>
        <w:tc>
          <w:tcPr>
            <w:tcW w:w="1134" w:type="dxa"/>
            <w:tcBorders/>
            <w:shd w:fill="CCEEFF" w:val="clear"/>
            <w:vAlign w:val="bottom"/>
          </w:tcPr>
          <w:p>
            <w:pPr>
              <w:pStyle w:val="TableContents"/>
              <w:bidi w:val="0"/>
              <w:spacing w:before="0" w:after="0"/>
              <w:jc w:val="right"/>
              <w:rPr>
                <w:color w:val="000000"/>
              </w:rPr>
            </w:pPr>
            <w:r>
              <w:rPr>
                <w:color w:val="000000"/>
              </w:rPr>
              <w:t>-</w:t>
            </w:r>
          </w:p>
        </w:tc>
        <w:tc>
          <w:tcPr>
            <w:tcW w:w="123"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0"/>
              <w:jc w:val="left"/>
              <w:rPr>
                <w:color w:val="000000"/>
              </w:rPr>
            </w:pPr>
            <w:r>
              <w:rPr>
                <w:color w:val="000000"/>
              </w:rPr>
              <w:t>$</w:t>
            </w:r>
          </w:p>
        </w:tc>
        <w:tc>
          <w:tcPr>
            <w:tcW w:w="1039" w:type="dxa"/>
            <w:tcBorders/>
            <w:shd w:fill="CCEEFF" w:val="clear"/>
            <w:vAlign w:val="bottom"/>
          </w:tcPr>
          <w:p>
            <w:pPr>
              <w:pStyle w:val="TableContents"/>
              <w:bidi w:val="0"/>
              <w:spacing w:before="0" w:after="0"/>
              <w:jc w:val="right"/>
              <w:rPr>
                <w:color w:val="000000"/>
              </w:rPr>
            </w:pPr>
            <w:r>
              <w:rPr>
                <w:color w:val="000000"/>
              </w:rPr>
              <w:t>(61,541</w:t>
            </w:r>
          </w:p>
        </w:tc>
        <w:tc>
          <w:tcPr>
            <w:tcW w:w="110" w:type="dxa"/>
            <w:tcBorders/>
            <w:shd w:fill="CCEEFF" w:val="clear"/>
            <w:vAlign w:val="bottom"/>
          </w:tcPr>
          <w:p>
            <w:pPr>
              <w:pStyle w:val="TableContents"/>
              <w:bidi w:val="0"/>
              <w:spacing w:before="0" w:after="0"/>
              <w:jc w:val="left"/>
              <w:rPr>
                <w:color w:val="000000"/>
              </w:rPr>
            </w:pPr>
            <w:r>
              <w:rPr>
                <w:color w:val="000000"/>
              </w:rPr>
              <w:t>)</w:t>
            </w:r>
          </w:p>
        </w:tc>
      </w:tr>
      <w:tr>
        <w:trPr/>
        <w:tc>
          <w:tcPr>
            <w:tcW w:w="7700" w:type="dxa"/>
            <w:tcBorders/>
            <w:vAlign w:val="bottom"/>
          </w:tcPr>
          <w:p>
            <w:pPr>
              <w:pStyle w:val="TableContents"/>
              <w:bidi w:val="0"/>
              <w:spacing w:before="0" w:after="0"/>
              <w:ind w:left="180" w:right="0" w:hanging="180"/>
              <w:jc w:val="left"/>
              <w:rPr>
                <w:color w:val="000000"/>
              </w:rPr>
            </w:pPr>
            <w:r>
              <w:rPr>
                <w:color w:val="000000"/>
              </w:rPr>
              <w:t>Cash paid for vessel expenditures</w:t>
            </w:r>
          </w:p>
        </w:tc>
        <w:tc>
          <w:tcPr>
            <w:tcW w:w="6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258" w:type="dxa"/>
            <w:tcBorders/>
            <w:vAlign w:val="bottom"/>
          </w:tcPr>
          <w:p>
            <w:pPr>
              <w:pStyle w:val="TableContents"/>
              <w:bidi w:val="0"/>
              <w:spacing w:before="0" w:after="0"/>
              <w:jc w:val="right"/>
              <w:rPr>
                <w:color w:val="000000"/>
              </w:rPr>
            </w:pPr>
            <w:r>
              <w:rPr>
                <w:color w:val="000000"/>
              </w:rPr>
              <w:t>(812</w:t>
            </w:r>
          </w:p>
        </w:tc>
        <w:tc>
          <w:tcPr>
            <w:tcW w:w="136" w:type="dxa"/>
            <w:tcBorders/>
            <w:vAlign w:val="bottom"/>
          </w:tcPr>
          <w:p>
            <w:pPr>
              <w:pStyle w:val="TableContents"/>
              <w:bidi w:val="0"/>
              <w:spacing w:before="0" w:after="0"/>
              <w:jc w:val="left"/>
              <w:rPr>
                <w:color w:val="000000"/>
              </w:rPr>
            </w:pPr>
            <w:r>
              <w:rPr>
                <w:color w:val="000000"/>
              </w:rPr>
              <w:t>)</w:t>
            </w:r>
          </w:p>
        </w:tc>
        <w:tc>
          <w:tcPr>
            <w:tcW w:w="86"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153" w:type="dxa"/>
            <w:tcBorders/>
            <w:vAlign w:val="bottom"/>
          </w:tcPr>
          <w:p>
            <w:pPr>
              <w:pStyle w:val="TableContents"/>
              <w:bidi w:val="0"/>
              <w:spacing w:before="0" w:after="0"/>
              <w:jc w:val="right"/>
              <w:rPr>
                <w:color w:val="000000"/>
              </w:rPr>
            </w:pPr>
            <w:r>
              <w:rPr>
                <w:color w:val="000000"/>
              </w:rPr>
              <w:t>(2,537</w:t>
            </w:r>
          </w:p>
        </w:tc>
        <w:tc>
          <w:tcPr>
            <w:tcW w:w="9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134" w:type="dxa"/>
            <w:tcBorders/>
            <w:vAlign w:val="bottom"/>
          </w:tcPr>
          <w:p>
            <w:pPr>
              <w:pStyle w:val="TableContents"/>
              <w:bidi w:val="0"/>
              <w:spacing w:before="0" w:after="0"/>
              <w:jc w:val="right"/>
              <w:rPr>
                <w:color w:val="000000"/>
              </w:rPr>
            </w:pPr>
            <w:r>
              <w:rPr>
                <w:color w:val="000000"/>
              </w:rPr>
              <w:t>(1,574</w:t>
            </w:r>
          </w:p>
        </w:tc>
        <w:tc>
          <w:tcPr>
            <w:tcW w:w="123" w:type="dxa"/>
            <w:tcBorders/>
            <w:vAlign w:val="bottom"/>
          </w:tcPr>
          <w:p>
            <w:pPr>
              <w:pStyle w:val="TableContents"/>
              <w:bidi w:val="0"/>
              <w:spacing w:before="0" w:after="0"/>
              <w:jc w:val="left"/>
              <w:rPr>
                <w:color w:val="000000"/>
              </w:rPr>
            </w:pPr>
            <w:r>
              <w:rPr>
                <w:color w:val="000000"/>
              </w:rPr>
              <w:t>)</w:t>
            </w:r>
          </w:p>
        </w:tc>
        <w:tc>
          <w:tcPr>
            <w:tcW w:w="77"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039" w:type="dxa"/>
            <w:tcBorders/>
            <w:vAlign w:val="bottom"/>
          </w:tcPr>
          <w:p>
            <w:pPr>
              <w:pStyle w:val="TableContents"/>
              <w:bidi w:val="0"/>
              <w:spacing w:before="0" w:after="0"/>
              <w:jc w:val="right"/>
              <w:rPr>
                <w:color w:val="000000"/>
              </w:rPr>
            </w:pPr>
            <w:r>
              <w:rPr>
                <w:color w:val="000000"/>
              </w:rPr>
              <w:t>(9,799</w:t>
            </w:r>
          </w:p>
        </w:tc>
        <w:tc>
          <w:tcPr>
            <w:tcW w:w="110" w:type="dxa"/>
            <w:tcBorders/>
            <w:vAlign w:val="bottom"/>
          </w:tcPr>
          <w:p>
            <w:pPr>
              <w:pStyle w:val="TableContents"/>
              <w:bidi w:val="0"/>
              <w:spacing w:before="0" w:after="0"/>
              <w:jc w:val="left"/>
              <w:rPr>
                <w:color w:val="000000"/>
              </w:rPr>
            </w:pPr>
            <w:r>
              <w:rPr>
                <w:color w:val="000000"/>
              </w:rPr>
              <w:t>)</w:t>
            </w:r>
          </w:p>
        </w:tc>
      </w:tr>
      <w:tr>
        <w:trPr/>
        <w:tc>
          <w:tcPr>
            <w:tcW w:w="7700" w:type="dxa"/>
            <w:tcBorders/>
            <w:shd w:fill="CCEEFF" w:val="clear"/>
            <w:vAlign w:val="bottom"/>
          </w:tcPr>
          <w:p>
            <w:pPr>
              <w:pStyle w:val="TableContents"/>
              <w:bidi w:val="0"/>
              <w:spacing w:before="0" w:after="0"/>
              <w:ind w:left="180" w:right="0" w:hanging="180"/>
              <w:jc w:val="left"/>
              <w:rPr>
                <w:color w:val="000000"/>
              </w:rPr>
            </w:pPr>
            <w:r>
              <w:rPr>
                <w:color w:val="000000"/>
              </w:rPr>
              <w:t>Advances for vessels' acquisitions, vessels under construction and other additions</w:t>
            </w:r>
          </w:p>
        </w:tc>
        <w:tc>
          <w:tcPr>
            <w:tcW w:w="6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258" w:type="dxa"/>
            <w:tcBorders/>
            <w:shd w:fill="CCEEFF" w:val="clear"/>
            <w:vAlign w:val="bottom"/>
          </w:tcPr>
          <w:p>
            <w:pPr>
              <w:pStyle w:val="TableContents"/>
              <w:bidi w:val="0"/>
              <w:spacing w:before="0" w:after="0"/>
              <w:jc w:val="right"/>
              <w:rPr>
                <w:color w:val="000000"/>
              </w:rPr>
            </w:pPr>
            <w:r>
              <w:rPr>
                <w:color w:val="000000"/>
              </w:rPr>
              <w:t>(125,171</w:t>
            </w:r>
          </w:p>
        </w:tc>
        <w:tc>
          <w:tcPr>
            <w:tcW w:w="136" w:type="dxa"/>
            <w:tcBorders/>
            <w:shd w:fill="CCEEFF" w:val="clear"/>
            <w:vAlign w:val="bottom"/>
          </w:tcPr>
          <w:p>
            <w:pPr>
              <w:pStyle w:val="TableContents"/>
              <w:bidi w:val="0"/>
              <w:spacing w:before="0" w:after="0"/>
              <w:jc w:val="left"/>
              <w:rPr>
                <w:color w:val="000000"/>
              </w:rPr>
            </w:pPr>
            <w:r>
              <w:rPr>
                <w:color w:val="000000"/>
              </w:rPr>
              <w:t>)</w:t>
            </w:r>
          </w:p>
        </w:tc>
        <w:tc>
          <w:tcPr>
            <w:tcW w:w="86"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153" w:type="dxa"/>
            <w:tcBorders/>
            <w:shd w:fill="CCEEFF" w:val="clear"/>
            <w:vAlign w:val="bottom"/>
          </w:tcPr>
          <w:p>
            <w:pPr>
              <w:pStyle w:val="TableContents"/>
              <w:bidi w:val="0"/>
              <w:spacing w:before="0" w:after="0"/>
              <w:jc w:val="right"/>
              <w:rPr>
                <w:color w:val="000000"/>
              </w:rPr>
            </w:pPr>
            <w:r>
              <w:rPr>
                <w:color w:val="000000"/>
              </w:rPr>
              <w:t>(1,941</w:t>
            </w:r>
          </w:p>
        </w:tc>
        <w:tc>
          <w:tcPr>
            <w:tcW w:w="9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134" w:type="dxa"/>
            <w:tcBorders/>
            <w:shd w:fill="CCEEFF" w:val="clear"/>
            <w:vAlign w:val="bottom"/>
          </w:tcPr>
          <w:p>
            <w:pPr>
              <w:pStyle w:val="TableContents"/>
              <w:bidi w:val="0"/>
              <w:spacing w:before="0" w:after="0"/>
              <w:jc w:val="right"/>
              <w:rPr>
                <w:color w:val="000000"/>
              </w:rPr>
            </w:pPr>
            <w:r>
              <w:rPr>
                <w:color w:val="000000"/>
              </w:rPr>
              <w:t>(125,225</w:t>
            </w:r>
          </w:p>
        </w:tc>
        <w:tc>
          <w:tcPr>
            <w:tcW w:w="123" w:type="dxa"/>
            <w:tcBorders/>
            <w:shd w:fill="CCEEFF" w:val="clear"/>
            <w:vAlign w:val="bottom"/>
          </w:tcPr>
          <w:p>
            <w:pPr>
              <w:pStyle w:val="TableContents"/>
              <w:bidi w:val="0"/>
              <w:spacing w:before="0" w:after="0"/>
              <w:jc w:val="left"/>
              <w:rPr>
                <w:color w:val="000000"/>
              </w:rPr>
            </w:pPr>
            <w:r>
              <w:rPr>
                <w:color w:val="000000"/>
              </w:rPr>
              <w:t>)</w:t>
            </w:r>
          </w:p>
        </w:tc>
        <w:tc>
          <w:tcPr>
            <w:tcW w:w="77"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039" w:type="dxa"/>
            <w:tcBorders/>
            <w:shd w:fill="CCEEFF" w:val="clear"/>
            <w:vAlign w:val="bottom"/>
          </w:tcPr>
          <w:p>
            <w:pPr>
              <w:pStyle w:val="TableContents"/>
              <w:bidi w:val="0"/>
              <w:spacing w:before="0" w:after="0"/>
              <w:jc w:val="right"/>
              <w:rPr>
                <w:color w:val="000000"/>
              </w:rPr>
            </w:pPr>
            <w:r>
              <w:rPr>
                <w:color w:val="000000"/>
              </w:rPr>
              <w:t>(2,348</w:t>
            </w:r>
          </w:p>
        </w:tc>
        <w:tc>
          <w:tcPr>
            <w:tcW w:w="110" w:type="dxa"/>
            <w:tcBorders/>
            <w:shd w:fill="CCEEFF" w:val="clear"/>
            <w:vAlign w:val="bottom"/>
          </w:tcPr>
          <w:p>
            <w:pPr>
              <w:pStyle w:val="TableContents"/>
              <w:bidi w:val="0"/>
              <w:spacing w:before="0" w:after="0"/>
              <w:jc w:val="left"/>
              <w:rPr>
                <w:color w:val="000000"/>
              </w:rPr>
            </w:pPr>
            <w:r>
              <w:rPr>
                <w:color w:val="000000"/>
              </w:rPr>
              <w:t>)</w:t>
            </w:r>
          </w:p>
        </w:tc>
      </w:tr>
      <w:tr>
        <w:trPr/>
        <w:tc>
          <w:tcPr>
            <w:tcW w:w="7700" w:type="dxa"/>
            <w:tcBorders/>
            <w:vAlign w:val="bottom"/>
          </w:tcPr>
          <w:p>
            <w:pPr>
              <w:pStyle w:val="TableContents"/>
              <w:bidi w:val="0"/>
              <w:spacing w:before="0" w:after="0"/>
              <w:ind w:left="180" w:right="0" w:hanging="180"/>
              <w:jc w:val="left"/>
              <w:rPr>
                <w:color w:val="000000"/>
              </w:rPr>
            </w:pPr>
            <w:r>
              <w:rPr>
                <w:color w:val="000000"/>
              </w:rPr>
              <w:t>Net proceeds from sale of vessels</w:t>
            </w:r>
          </w:p>
        </w:tc>
        <w:tc>
          <w:tcPr>
            <w:tcW w:w="6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258" w:type="dxa"/>
            <w:tcBorders/>
            <w:vAlign w:val="bottom"/>
          </w:tcPr>
          <w:p>
            <w:pPr>
              <w:pStyle w:val="TableContents"/>
              <w:bidi w:val="0"/>
              <w:spacing w:before="0" w:after="0"/>
              <w:jc w:val="right"/>
              <w:rPr>
                <w:color w:val="000000"/>
              </w:rPr>
            </w:pPr>
            <w:r>
              <w:rPr>
                <w:color w:val="000000"/>
              </w:rPr>
              <w:t>-</w:t>
            </w:r>
          </w:p>
        </w:tc>
        <w:tc>
          <w:tcPr>
            <w:tcW w:w="136"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153" w:type="dxa"/>
            <w:tcBorders/>
            <w:vAlign w:val="bottom"/>
          </w:tcPr>
          <w:p>
            <w:pPr>
              <w:pStyle w:val="TableContents"/>
              <w:bidi w:val="0"/>
              <w:spacing w:before="0" w:after="0"/>
              <w:jc w:val="right"/>
              <w:rPr>
                <w:color w:val="000000"/>
              </w:rPr>
            </w:pPr>
            <w:r>
              <w:rPr>
                <w:color w:val="000000"/>
              </w:rPr>
              <w:t>(743</w:t>
            </w:r>
          </w:p>
        </w:tc>
        <w:tc>
          <w:tcPr>
            <w:tcW w:w="9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134" w:type="dxa"/>
            <w:tcBorders/>
            <w:vAlign w:val="bottom"/>
          </w:tcPr>
          <w:p>
            <w:pPr>
              <w:pStyle w:val="TableContents"/>
              <w:bidi w:val="0"/>
              <w:spacing w:before="0" w:after="0"/>
              <w:jc w:val="right"/>
              <w:rPr>
                <w:color w:val="000000"/>
              </w:rPr>
            </w:pPr>
            <w:r>
              <w:rPr>
                <w:color w:val="000000"/>
              </w:rPr>
              <w:t>-</w:t>
            </w:r>
          </w:p>
        </w:tc>
        <w:tc>
          <w:tcPr>
            <w:tcW w:w="123"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039" w:type="dxa"/>
            <w:tcBorders/>
            <w:vAlign w:val="bottom"/>
          </w:tcPr>
          <w:p>
            <w:pPr>
              <w:pStyle w:val="TableContents"/>
              <w:bidi w:val="0"/>
              <w:spacing w:before="0" w:after="0"/>
              <w:jc w:val="right"/>
              <w:rPr>
                <w:color w:val="000000"/>
              </w:rPr>
            </w:pPr>
            <w:r>
              <w:rPr>
                <w:color w:val="000000"/>
              </w:rPr>
              <w:t>53,483</w:t>
            </w:r>
          </w:p>
        </w:tc>
        <w:tc>
          <w:tcPr>
            <w:tcW w:w="110" w:type="dxa"/>
            <w:tcBorders/>
            <w:vAlign w:val="bottom"/>
          </w:tcPr>
          <w:p>
            <w:pPr>
              <w:pStyle w:val="TableContents"/>
              <w:bidi w:val="0"/>
              <w:spacing w:before="0" w:after="283"/>
              <w:jc w:val="left"/>
              <w:rPr/>
            </w:pPr>
            <w:r>
              <w:rPr/>
              <w:t> </w:t>
            </w:r>
          </w:p>
        </w:tc>
      </w:tr>
      <w:tr>
        <w:trPr/>
        <w:tc>
          <w:tcPr>
            <w:tcW w:w="7700" w:type="dxa"/>
            <w:tcBorders/>
            <w:shd w:fill="CCEEFF" w:val="clear"/>
            <w:vAlign w:val="bottom"/>
          </w:tcPr>
          <w:p>
            <w:pPr>
              <w:pStyle w:val="TableContents"/>
              <w:bidi w:val="0"/>
              <w:spacing w:before="0" w:after="0"/>
              <w:ind w:left="180" w:right="0" w:hanging="180"/>
              <w:jc w:val="left"/>
              <w:rPr>
                <w:color w:val="000000"/>
              </w:rPr>
            </w:pPr>
            <w:r>
              <w:rPr>
                <w:color w:val="000000"/>
              </w:rPr>
              <w:t>Time deposits and other instruments (acquired)/withdrawn</w:t>
            </w:r>
          </w:p>
        </w:tc>
        <w:tc>
          <w:tcPr>
            <w:tcW w:w="60" w:type="dxa"/>
            <w:tcBorders/>
            <w:shd w:fill="CCEEFF" w:val="clear"/>
            <w:vAlign w:val="bottom"/>
          </w:tcPr>
          <w:p>
            <w:pPr>
              <w:pStyle w:val="TableContents"/>
              <w:bidi w:val="0"/>
              <w:spacing w:before="0" w:after="283"/>
              <w:jc w:val="left"/>
              <w:rPr/>
            </w:pPr>
            <w:r>
              <w:rPr/>
              <w:t> </w:t>
            </w:r>
          </w:p>
        </w:tc>
        <w:tc>
          <w:tcPr>
            <w:tcW w:w="20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58"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(16,780</w:t>
            </w:r>
          </w:p>
        </w:tc>
        <w:tc>
          <w:tcPr>
            <w:tcW w:w="136" w:type="dxa"/>
            <w:tcBorders/>
            <w:shd w:fill="CCEEFF" w:val="clear"/>
            <w:vAlign w:val="bottom"/>
          </w:tcPr>
          <w:p>
            <w:pPr>
              <w:pStyle w:val="TableContents"/>
              <w:bidi w:val="0"/>
              <w:spacing w:before="0" w:after="0"/>
              <w:jc w:val="left"/>
              <w:rPr>
                <w:color w:val="000000"/>
              </w:rPr>
            </w:pPr>
            <w:r>
              <w:rPr>
                <w:color w:val="000000"/>
              </w:rPr>
              <w:t>)</w:t>
            </w:r>
          </w:p>
        </w:tc>
        <w:tc>
          <w:tcPr>
            <w:tcW w:w="86" w:type="dxa"/>
            <w:tcBorders/>
            <w:shd w:fill="CCEEFF" w:val="clear"/>
            <w:vAlign w:val="bottom"/>
          </w:tcPr>
          <w:p>
            <w:pPr>
              <w:pStyle w:val="TableContents"/>
              <w:bidi w:val="0"/>
              <w:spacing w:before="0" w:after="283"/>
              <w:jc w:val="left"/>
              <w:rPr/>
            </w:pPr>
            <w:r>
              <w:rPr/>
              <w:t> </w:t>
            </w:r>
          </w:p>
        </w:tc>
        <w:tc>
          <w:tcPr>
            <w:tcW w:w="20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53"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(4,550</w:t>
            </w:r>
          </w:p>
        </w:tc>
        <w:tc>
          <w:tcPr>
            <w:tcW w:w="9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18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34"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88,650</w:t>
            </w:r>
          </w:p>
        </w:tc>
        <w:tc>
          <w:tcPr>
            <w:tcW w:w="123"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18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39"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11,150</w:t>
            </w:r>
          </w:p>
        </w:tc>
        <w:tc>
          <w:tcPr>
            <w:tcW w:w="110" w:type="dxa"/>
            <w:tcBorders/>
            <w:shd w:fill="CCEEFF" w:val="clear"/>
            <w:vAlign w:val="bottom"/>
          </w:tcPr>
          <w:p>
            <w:pPr>
              <w:pStyle w:val="TableContents"/>
              <w:bidi w:val="0"/>
              <w:spacing w:before="0" w:after="283"/>
              <w:jc w:val="left"/>
              <w:rPr/>
            </w:pPr>
            <w:r>
              <w:rPr/>
              <w:t> </w:t>
            </w:r>
          </w:p>
        </w:tc>
      </w:tr>
      <w:tr>
        <w:trPr/>
        <w:tc>
          <w:tcPr>
            <w:tcW w:w="7700" w:type="dxa"/>
            <w:tcBorders/>
            <w:vAlign w:val="bottom"/>
          </w:tcPr>
          <w:p>
            <w:pPr>
              <w:pStyle w:val="TableContents"/>
              <w:bidi w:val="0"/>
              <w:spacing w:before="0" w:after="0"/>
              <w:ind w:left="180" w:right="0" w:hanging="180"/>
              <w:jc w:val="left"/>
              <w:rPr>
                <w:b/>
                <w:color w:val="000000"/>
              </w:rPr>
            </w:pPr>
            <w:r>
              <w:rPr>
                <w:b/>
                <w:color w:val="000000"/>
              </w:rPr>
              <w:t>Net cash used in investing activities</w:t>
            </w:r>
          </w:p>
        </w:tc>
        <w:tc>
          <w:tcPr>
            <w:tcW w:w="60" w:type="dxa"/>
            <w:tcBorders/>
            <w:vAlign w:val="bottom"/>
          </w:tcPr>
          <w:p>
            <w:pPr>
              <w:pStyle w:val="TableContents"/>
              <w:bidi w:val="0"/>
              <w:spacing w:before="0" w:after="283"/>
              <w:jc w:val="left"/>
              <w:rPr/>
            </w:pPr>
            <w:r>
              <w:rPr/>
              <w:t> </w:t>
            </w:r>
          </w:p>
        </w:tc>
        <w:tc>
          <w:tcPr>
            <w:tcW w:w="201" w:type="dxa"/>
            <w:tcBorders>
              <w:bottom w:val="single" w:sz="12" w:space="0" w:color="000000"/>
            </w:tcBorders>
            <w:tcMar>
              <w:bottom w:w="28" w:type="dxa"/>
            </w:tcMar>
            <w:vAlign w:val="bottom"/>
          </w:tcPr>
          <w:p>
            <w:pPr>
              <w:pStyle w:val="TableContents"/>
              <w:bidi w:val="0"/>
              <w:spacing w:before="0" w:after="0"/>
              <w:jc w:val="left"/>
              <w:rPr>
                <w:b/>
                <w:color w:val="000000"/>
              </w:rPr>
            </w:pPr>
            <w:r>
              <w:rPr>
                <w:b/>
                <w:color w:val="000000"/>
              </w:rPr>
              <w:t>$</w:t>
            </w:r>
          </w:p>
        </w:tc>
        <w:tc>
          <w:tcPr>
            <w:tcW w:w="1258" w:type="dxa"/>
            <w:tcBorders>
              <w:bottom w:val="single" w:sz="12" w:space="0" w:color="000000"/>
            </w:tcBorders>
            <w:tcMar>
              <w:bottom w:w="28" w:type="dxa"/>
            </w:tcMar>
            <w:vAlign w:val="bottom"/>
          </w:tcPr>
          <w:p>
            <w:pPr>
              <w:pStyle w:val="TableContents"/>
              <w:bidi w:val="0"/>
              <w:spacing w:before="0" w:after="0"/>
              <w:jc w:val="right"/>
              <w:rPr>
                <w:b/>
                <w:color w:val="000000"/>
              </w:rPr>
            </w:pPr>
            <w:r>
              <w:rPr>
                <w:b/>
                <w:color w:val="000000"/>
              </w:rPr>
              <w:t>(142,763</w:t>
            </w:r>
          </w:p>
        </w:tc>
        <w:tc>
          <w:tcPr>
            <w:tcW w:w="136" w:type="dxa"/>
            <w:tcBorders/>
            <w:vAlign w:val="bottom"/>
          </w:tcPr>
          <w:p>
            <w:pPr>
              <w:pStyle w:val="TableContents"/>
              <w:bidi w:val="0"/>
              <w:spacing w:before="0" w:after="0"/>
              <w:jc w:val="left"/>
              <w:rPr>
                <w:b/>
                <w:color w:val="000000"/>
              </w:rPr>
            </w:pPr>
            <w:r>
              <w:rPr>
                <w:b/>
                <w:color w:val="000000"/>
              </w:rPr>
              <w:t>)</w:t>
            </w:r>
          </w:p>
        </w:tc>
        <w:tc>
          <w:tcPr>
            <w:tcW w:w="86" w:type="dxa"/>
            <w:tcBorders/>
            <w:vAlign w:val="bottom"/>
          </w:tcPr>
          <w:p>
            <w:pPr>
              <w:pStyle w:val="TableContents"/>
              <w:bidi w:val="0"/>
              <w:spacing w:before="0" w:after="283"/>
              <w:jc w:val="left"/>
              <w:rPr/>
            </w:pPr>
            <w:r>
              <w:rPr/>
              <w:t> </w:t>
            </w:r>
          </w:p>
        </w:tc>
        <w:tc>
          <w:tcPr>
            <w:tcW w:w="201" w:type="dxa"/>
            <w:tcBorders>
              <w:bottom w:val="single" w:sz="12" w:space="0" w:color="000000"/>
            </w:tcBorders>
            <w:tcMar>
              <w:bottom w:w="28" w:type="dxa"/>
            </w:tcMar>
            <w:vAlign w:val="bottom"/>
          </w:tcPr>
          <w:p>
            <w:pPr>
              <w:pStyle w:val="TableContents"/>
              <w:bidi w:val="0"/>
              <w:spacing w:before="0" w:after="0"/>
              <w:jc w:val="left"/>
              <w:rPr>
                <w:b/>
                <w:color w:val="000000"/>
              </w:rPr>
            </w:pPr>
            <w:r>
              <w:rPr>
                <w:b/>
                <w:color w:val="000000"/>
              </w:rPr>
              <w:t>$</w:t>
            </w:r>
          </w:p>
        </w:tc>
        <w:tc>
          <w:tcPr>
            <w:tcW w:w="1153" w:type="dxa"/>
            <w:tcBorders>
              <w:bottom w:val="single" w:sz="12" w:space="0" w:color="000000"/>
            </w:tcBorders>
            <w:tcMar>
              <w:bottom w:w="28" w:type="dxa"/>
            </w:tcMar>
            <w:vAlign w:val="bottom"/>
          </w:tcPr>
          <w:p>
            <w:pPr>
              <w:pStyle w:val="TableContents"/>
              <w:bidi w:val="0"/>
              <w:spacing w:before="0" w:after="0"/>
              <w:jc w:val="right"/>
              <w:rPr>
                <w:b/>
                <w:color w:val="000000"/>
              </w:rPr>
            </w:pPr>
            <w:r>
              <w:rPr>
                <w:b/>
                <w:color w:val="000000"/>
              </w:rPr>
              <w:t>(9,771</w:t>
            </w:r>
          </w:p>
        </w:tc>
        <w:tc>
          <w:tcPr>
            <w:tcW w:w="95" w:type="dxa"/>
            <w:tcBorders/>
            <w:vAlign w:val="bottom"/>
          </w:tcPr>
          <w:p>
            <w:pPr>
              <w:pStyle w:val="TableContents"/>
              <w:bidi w:val="0"/>
              <w:spacing w:before="0" w:after="0"/>
              <w:jc w:val="left"/>
              <w:rPr>
                <w:b/>
                <w:color w:val="000000"/>
              </w:rPr>
            </w:pPr>
            <w:r>
              <w:rPr>
                <w:b/>
                <w:color w:val="000000"/>
              </w:rPr>
              <w:t>)</w:t>
            </w:r>
          </w:p>
        </w:tc>
        <w:tc>
          <w:tcPr>
            <w:tcW w:w="60" w:type="dxa"/>
            <w:tcBorders/>
            <w:vAlign w:val="bottom"/>
          </w:tcPr>
          <w:p>
            <w:pPr>
              <w:pStyle w:val="TableContents"/>
              <w:bidi w:val="0"/>
              <w:spacing w:before="0" w:after="283"/>
              <w:jc w:val="left"/>
              <w:rPr/>
            </w:pPr>
            <w:r>
              <w:rPr/>
              <w:t> </w:t>
            </w:r>
          </w:p>
        </w:tc>
        <w:tc>
          <w:tcPr>
            <w:tcW w:w="181" w:type="dxa"/>
            <w:tcBorders>
              <w:bottom w:val="single" w:sz="12" w:space="0" w:color="000000"/>
            </w:tcBorders>
            <w:tcMar>
              <w:bottom w:w="28" w:type="dxa"/>
            </w:tcMar>
            <w:vAlign w:val="bottom"/>
          </w:tcPr>
          <w:p>
            <w:pPr>
              <w:pStyle w:val="TableContents"/>
              <w:bidi w:val="0"/>
              <w:spacing w:before="0" w:after="0"/>
              <w:jc w:val="left"/>
              <w:rPr>
                <w:b/>
                <w:color w:val="000000"/>
              </w:rPr>
            </w:pPr>
            <w:r>
              <w:rPr>
                <w:b/>
                <w:color w:val="000000"/>
              </w:rPr>
              <w:t>$</w:t>
            </w:r>
          </w:p>
        </w:tc>
        <w:tc>
          <w:tcPr>
            <w:tcW w:w="1134" w:type="dxa"/>
            <w:tcBorders>
              <w:bottom w:val="single" w:sz="12" w:space="0" w:color="000000"/>
            </w:tcBorders>
            <w:tcMar>
              <w:bottom w:w="28" w:type="dxa"/>
            </w:tcMar>
            <w:vAlign w:val="bottom"/>
          </w:tcPr>
          <w:p>
            <w:pPr>
              <w:pStyle w:val="TableContents"/>
              <w:bidi w:val="0"/>
              <w:spacing w:before="0" w:after="0"/>
              <w:jc w:val="right"/>
              <w:rPr>
                <w:b/>
                <w:color w:val="000000"/>
              </w:rPr>
            </w:pPr>
            <w:r>
              <w:rPr>
                <w:b/>
                <w:color w:val="000000"/>
              </w:rPr>
              <w:t>(38,149</w:t>
            </w:r>
          </w:p>
        </w:tc>
        <w:tc>
          <w:tcPr>
            <w:tcW w:w="123" w:type="dxa"/>
            <w:tcBorders/>
            <w:vAlign w:val="bottom"/>
          </w:tcPr>
          <w:p>
            <w:pPr>
              <w:pStyle w:val="TableContents"/>
              <w:bidi w:val="0"/>
              <w:spacing w:before="0" w:after="0"/>
              <w:jc w:val="left"/>
              <w:rPr>
                <w:b/>
                <w:color w:val="000000"/>
              </w:rPr>
            </w:pPr>
            <w:r>
              <w:rPr>
                <w:b/>
                <w:color w:val="000000"/>
              </w:rPr>
              <w:t>)</w:t>
            </w:r>
          </w:p>
        </w:tc>
        <w:tc>
          <w:tcPr>
            <w:tcW w:w="77" w:type="dxa"/>
            <w:tcBorders/>
            <w:vAlign w:val="bottom"/>
          </w:tcPr>
          <w:p>
            <w:pPr>
              <w:pStyle w:val="TableContents"/>
              <w:bidi w:val="0"/>
              <w:spacing w:before="0" w:after="283"/>
              <w:jc w:val="left"/>
              <w:rPr/>
            </w:pPr>
            <w:r>
              <w:rPr/>
              <w:t> </w:t>
            </w:r>
          </w:p>
        </w:tc>
        <w:tc>
          <w:tcPr>
            <w:tcW w:w="181" w:type="dxa"/>
            <w:tcBorders>
              <w:bottom w:val="single" w:sz="12" w:space="0" w:color="000000"/>
            </w:tcBorders>
            <w:tcMar>
              <w:bottom w:w="28" w:type="dxa"/>
            </w:tcMar>
            <w:vAlign w:val="bottom"/>
          </w:tcPr>
          <w:p>
            <w:pPr>
              <w:pStyle w:val="TableContents"/>
              <w:bidi w:val="0"/>
              <w:spacing w:before="0" w:after="0"/>
              <w:jc w:val="left"/>
              <w:rPr>
                <w:b/>
                <w:color w:val="000000"/>
              </w:rPr>
            </w:pPr>
            <w:r>
              <w:rPr>
                <w:b/>
                <w:color w:val="000000"/>
              </w:rPr>
              <w:t>$</w:t>
            </w:r>
          </w:p>
        </w:tc>
        <w:tc>
          <w:tcPr>
            <w:tcW w:w="1039" w:type="dxa"/>
            <w:tcBorders>
              <w:bottom w:val="single" w:sz="12" w:space="0" w:color="000000"/>
            </w:tcBorders>
            <w:tcMar>
              <w:bottom w:w="28" w:type="dxa"/>
            </w:tcMar>
            <w:vAlign w:val="bottom"/>
          </w:tcPr>
          <w:p>
            <w:pPr>
              <w:pStyle w:val="TableContents"/>
              <w:bidi w:val="0"/>
              <w:spacing w:before="0" w:after="0"/>
              <w:jc w:val="right"/>
              <w:rPr>
                <w:b/>
                <w:color w:val="000000"/>
              </w:rPr>
            </w:pPr>
            <w:r>
              <w:rPr>
                <w:b/>
                <w:color w:val="000000"/>
              </w:rPr>
              <w:t>(9,055</w:t>
            </w:r>
          </w:p>
        </w:tc>
        <w:tc>
          <w:tcPr>
            <w:tcW w:w="110" w:type="dxa"/>
            <w:tcBorders/>
            <w:vAlign w:val="bottom"/>
          </w:tcPr>
          <w:p>
            <w:pPr>
              <w:pStyle w:val="TableContents"/>
              <w:bidi w:val="0"/>
              <w:spacing w:before="0" w:after="0"/>
              <w:jc w:val="left"/>
              <w:rPr>
                <w:b/>
                <w:color w:val="000000"/>
              </w:rPr>
            </w:pPr>
            <w:r>
              <w:rPr>
                <w:b/>
                <w:color w:val="000000"/>
              </w:rPr>
              <w:t>)</w:t>
            </w:r>
          </w:p>
        </w:tc>
      </w:tr>
      <w:tr>
        <w:trPr/>
        <w:tc>
          <w:tcPr>
            <w:tcW w:w="7700" w:type="dxa"/>
            <w:tcBorders/>
            <w:shd w:fill="CCEEFF" w:val="clear"/>
            <w:vAlign w:val="bottom"/>
          </w:tcPr>
          <w:p>
            <w:pPr>
              <w:pStyle w:val="TableContents"/>
              <w:bidi w:val="0"/>
              <w:spacing w:before="0" w:after="0"/>
              <w:ind w:left="180" w:right="0" w:hanging="180"/>
              <w:jc w:val="left"/>
              <w:rPr>
                <w:b/>
                <w:color w:val="000000"/>
              </w:rPr>
            </w:pPr>
            <w:r>
              <w:rPr>
                <w:b/>
                <w:color w:val="000000"/>
              </w:rPr>
              <w:t>Cash flows from financing activities:</w:t>
            </w:r>
          </w:p>
        </w:tc>
        <w:tc>
          <w:tcPr>
            <w:tcW w:w="6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258" w:type="dxa"/>
            <w:tcBorders/>
            <w:shd w:fill="CCEEFF" w:val="clear"/>
            <w:vAlign w:val="bottom"/>
          </w:tcPr>
          <w:p>
            <w:pPr>
              <w:pStyle w:val="TableContents"/>
              <w:bidi w:val="0"/>
              <w:spacing w:before="0" w:after="283"/>
              <w:jc w:val="right"/>
              <w:rPr/>
            </w:pPr>
            <w:r>
              <w:rPr/>
              <w:t> </w:t>
            </w:r>
          </w:p>
        </w:tc>
        <w:tc>
          <w:tcPr>
            <w:tcW w:w="136"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153"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134" w:type="dxa"/>
            <w:tcBorders/>
            <w:shd w:fill="CCEEFF" w:val="clear"/>
            <w:vAlign w:val="bottom"/>
          </w:tcPr>
          <w:p>
            <w:pPr>
              <w:pStyle w:val="TableContents"/>
              <w:bidi w:val="0"/>
              <w:spacing w:before="0" w:after="283"/>
              <w:jc w:val="right"/>
              <w:rPr/>
            </w:pPr>
            <w:r>
              <w:rPr/>
              <w:t> </w:t>
            </w:r>
          </w:p>
        </w:tc>
        <w:tc>
          <w:tcPr>
            <w:tcW w:w="123"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039" w:type="dxa"/>
            <w:tcBorders/>
            <w:shd w:fill="CCEEFF" w:val="clear"/>
            <w:vAlign w:val="bottom"/>
          </w:tcPr>
          <w:p>
            <w:pPr>
              <w:pStyle w:val="TableContents"/>
              <w:bidi w:val="0"/>
              <w:spacing w:before="0" w:after="283"/>
              <w:jc w:val="right"/>
              <w:rPr/>
            </w:pPr>
            <w:r>
              <w:rPr/>
              <w:t> </w:t>
            </w:r>
          </w:p>
        </w:tc>
        <w:tc>
          <w:tcPr>
            <w:tcW w:w="110" w:type="dxa"/>
            <w:tcBorders/>
            <w:shd w:fill="CCEEFF" w:val="clear"/>
            <w:vAlign w:val="bottom"/>
          </w:tcPr>
          <w:p>
            <w:pPr>
              <w:pStyle w:val="TableContents"/>
              <w:bidi w:val="0"/>
              <w:spacing w:before="0" w:after="283"/>
              <w:jc w:val="left"/>
              <w:rPr/>
            </w:pPr>
            <w:r>
              <w:rPr/>
              <w:t> </w:t>
            </w:r>
          </w:p>
        </w:tc>
      </w:tr>
      <w:tr>
        <w:trPr/>
        <w:tc>
          <w:tcPr>
            <w:tcW w:w="7700" w:type="dxa"/>
            <w:tcBorders/>
            <w:vAlign w:val="bottom"/>
          </w:tcPr>
          <w:p>
            <w:pPr>
              <w:pStyle w:val="TableContents"/>
              <w:bidi w:val="0"/>
              <w:spacing w:before="0" w:after="0"/>
              <w:ind w:left="180" w:right="0" w:hanging="180"/>
              <w:jc w:val="left"/>
              <w:rPr>
                <w:color w:val="000000"/>
              </w:rPr>
            </w:pPr>
            <w:r>
              <w:rPr>
                <w:color w:val="000000"/>
              </w:rPr>
              <w:t>Proceeds from drawdown of credit facilities/sale and leaseback</w:t>
            </w:r>
          </w:p>
        </w:tc>
        <w:tc>
          <w:tcPr>
            <w:tcW w:w="6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258" w:type="dxa"/>
            <w:tcBorders/>
            <w:vAlign w:val="bottom"/>
          </w:tcPr>
          <w:p>
            <w:pPr>
              <w:pStyle w:val="TableContents"/>
              <w:bidi w:val="0"/>
              <w:spacing w:before="0" w:after="0"/>
              <w:jc w:val="right"/>
              <w:rPr>
                <w:color w:val="000000"/>
              </w:rPr>
            </w:pPr>
            <w:r>
              <w:rPr>
                <w:color w:val="000000"/>
              </w:rPr>
              <w:t>55,500</w:t>
            </w:r>
          </w:p>
        </w:tc>
        <w:tc>
          <w:tcPr>
            <w:tcW w:w="136"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153" w:type="dxa"/>
            <w:tcBorders/>
            <w:vAlign w:val="bottom"/>
          </w:tcPr>
          <w:p>
            <w:pPr>
              <w:pStyle w:val="TableContents"/>
              <w:bidi w:val="0"/>
              <w:spacing w:before="0" w:after="0"/>
              <w:jc w:val="right"/>
              <w:rPr>
                <w:color w:val="000000"/>
              </w:rPr>
            </w:pPr>
            <w:r>
              <w:rPr>
                <w:color w:val="000000"/>
              </w:rPr>
              <w:t>85,000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134" w:type="dxa"/>
            <w:tcBorders/>
            <w:vAlign w:val="bottom"/>
          </w:tcPr>
          <w:p>
            <w:pPr>
              <w:pStyle w:val="TableContents"/>
              <w:bidi w:val="0"/>
              <w:spacing w:before="0" w:after="0"/>
              <w:jc w:val="right"/>
              <w:rPr>
                <w:color w:val="000000"/>
              </w:rPr>
            </w:pPr>
            <w:r>
              <w:rPr>
                <w:color w:val="000000"/>
              </w:rPr>
              <w:t>55,500</w:t>
            </w:r>
          </w:p>
        </w:tc>
        <w:tc>
          <w:tcPr>
            <w:tcW w:w="123"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039" w:type="dxa"/>
            <w:tcBorders/>
            <w:vAlign w:val="bottom"/>
          </w:tcPr>
          <w:p>
            <w:pPr>
              <w:pStyle w:val="TableContents"/>
              <w:bidi w:val="0"/>
              <w:spacing w:before="0" w:after="0"/>
              <w:jc w:val="right"/>
              <w:rPr>
                <w:color w:val="000000"/>
              </w:rPr>
            </w:pPr>
            <w:r>
              <w:rPr>
                <w:color w:val="000000"/>
              </w:rPr>
              <w:t>218,500</w:t>
            </w:r>
          </w:p>
        </w:tc>
        <w:tc>
          <w:tcPr>
            <w:tcW w:w="110" w:type="dxa"/>
            <w:tcBorders/>
            <w:vAlign w:val="bottom"/>
          </w:tcPr>
          <w:p>
            <w:pPr>
              <w:pStyle w:val="TableContents"/>
              <w:bidi w:val="0"/>
              <w:spacing w:before="0" w:after="283"/>
              <w:jc w:val="left"/>
              <w:rPr/>
            </w:pPr>
            <w:r>
              <w:rPr/>
              <w:t> </w:t>
            </w:r>
          </w:p>
        </w:tc>
      </w:tr>
      <w:tr>
        <w:trPr/>
        <w:tc>
          <w:tcPr>
            <w:tcW w:w="7700" w:type="dxa"/>
            <w:tcBorders/>
            <w:shd w:fill="CCEEFF" w:val="clear"/>
            <w:vAlign w:val="bottom"/>
          </w:tcPr>
          <w:p>
            <w:pPr>
              <w:pStyle w:val="TableContents"/>
              <w:bidi w:val="0"/>
              <w:spacing w:before="0" w:after="0"/>
              <w:ind w:left="180" w:right="0" w:hanging="180"/>
              <w:jc w:val="left"/>
              <w:rPr>
                <w:color w:val="000000"/>
              </w:rPr>
            </w:pPr>
            <w:r>
              <w:rPr>
                <w:color w:val="000000"/>
              </w:rPr>
              <w:t>Repayment of credit facilities/sale and leaseback</w:t>
            </w:r>
          </w:p>
        </w:tc>
        <w:tc>
          <w:tcPr>
            <w:tcW w:w="6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258" w:type="dxa"/>
            <w:tcBorders/>
            <w:shd w:fill="CCEEFF" w:val="clear"/>
            <w:vAlign w:val="bottom"/>
          </w:tcPr>
          <w:p>
            <w:pPr>
              <w:pStyle w:val="TableContents"/>
              <w:bidi w:val="0"/>
              <w:spacing w:before="0" w:after="0"/>
              <w:jc w:val="right"/>
              <w:rPr>
                <w:color w:val="000000"/>
              </w:rPr>
            </w:pPr>
            <w:r>
              <w:rPr>
                <w:color w:val="000000"/>
              </w:rPr>
              <w:t>(36,891</w:t>
            </w:r>
          </w:p>
        </w:tc>
        <w:tc>
          <w:tcPr>
            <w:tcW w:w="136" w:type="dxa"/>
            <w:tcBorders/>
            <w:shd w:fill="CCEEFF" w:val="clear"/>
            <w:vAlign w:val="bottom"/>
          </w:tcPr>
          <w:p>
            <w:pPr>
              <w:pStyle w:val="TableContents"/>
              <w:bidi w:val="0"/>
              <w:spacing w:before="0" w:after="0"/>
              <w:jc w:val="left"/>
              <w:rPr>
                <w:color w:val="000000"/>
              </w:rPr>
            </w:pPr>
            <w:r>
              <w:rPr>
                <w:color w:val="000000"/>
              </w:rPr>
              <w:t>)</w:t>
            </w:r>
          </w:p>
        </w:tc>
        <w:tc>
          <w:tcPr>
            <w:tcW w:w="86"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153" w:type="dxa"/>
            <w:tcBorders/>
            <w:shd w:fill="CCEEFF" w:val="clear"/>
            <w:vAlign w:val="bottom"/>
          </w:tcPr>
          <w:p>
            <w:pPr>
              <w:pStyle w:val="TableContents"/>
              <w:bidi w:val="0"/>
              <w:spacing w:before="0" w:after="0"/>
              <w:jc w:val="right"/>
              <w:rPr>
                <w:color w:val="000000"/>
              </w:rPr>
            </w:pPr>
            <w:r>
              <w:rPr>
                <w:color w:val="000000"/>
              </w:rPr>
              <w:t>(29,892</w:t>
            </w:r>
          </w:p>
        </w:tc>
        <w:tc>
          <w:tcPr>
            <w:tcW w:w="9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134" w:type="dxa"/>
            <w:tcBorders/>
            <w:shd w:fill="CCEEFF" w:val="clear"/>
            <w:vAlign w:val="bottom"/>
          </w:tcPr>
          <w:p>
            <w:pPr>
              <w:pStyle w:val="TableContents"/>
              <w:bidi w:val="0"/>
              <w:spacing w:before="0" w:after="0"/>
              <w:jc w:val="right"/>
              <w:rPr>
                <w:color w:val="000000"/>
              </w:rPr>
            </w:pPr>
            <w:r>
              <w:rPr>
                <w:color w:val="000000"/>
              </w:rPr>
              <w:t>(73,783</w:t>
            </w:r>
          </w:p>
        </w:tc>
        <w:tc>
          <w:tcPr>
            <w:tcW w:w="123" w:type="dxa"/>
            <w:tcBorders/>
            <w:shd w:fill="CCEEFF" w:val="clear"/>
            <w:vAlign w:val="bottom"/>
          </w:tcPr>
          <w:p>
            <w:pPr>
              <w:pStyle w:val="TableContents"/>
              <w:bidi w:val="0"/>
              <w:spacing w:before="0" w:after="0"/>
              <w:jc w:val="left"/>
              <w:rPr>
                <w:color w:val="000000"/>
              </w:rPr>
            </w:pPr>
            <w:r>
              <w:rPr>
                <w:color w:val="000000"/>
              </w:rPr>
              <w:t>)</w:t>
            </w:r>
          </w:p>
        </w:tc>
        <w:tc>
          <w:tcPr>
            <w:tcW w:w="77"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039" w:type="dxa"/>
            <w:tcBorders/>
            <w:shd w:fill="CCEEFF" w:val="clear"/>
            <w:vAlign w:val="bottom"/>
          </w:tcPr>
          <w:p>
            <w:pPr>
              <w:pStyle w:val="TableContents"/>
              <w:bidi w:val="0"/>
              <w:spacing w:before="0" w:after="0"/>
              <w:jc w:val="right"/>
              <w:rPr>
                <w:color w:val="000000"/>
              </w:rPr>
            </w:pPr>
            <w:r>
              <w:rPr>
                <w:color w:val="000000"/>
              </w:rPr>
              <w:t>(70,889</w:t>
            </w:r>
          </w:p>
        </w:tc>
        <w:tc>
          <w:tcPr>
            <w:tcW w:w="110" w:type="dxa"/>
            <w:tcBorders/>
            <w:shd w:fill="CCEEFF" w:val="clear"/>
            <w:vAlign w:val="bottom"/>
          </w:tcPr>
          <w:p>
            <w:pPr>
              <w:pStyle w:val="TableContents"/>
              <w:bidi w:val="0"/>
              <w:spacing w:before="0" w:after="0"/>
              <w:jc w:val="left"/>
              <w:rPr>
                <w:color w:val="000000"/>
              </w:rPr>
            </w:pPr>
            <w:r>
              <w:rPr>
                <w:color w:val="000000"/>
              </w:rPr>
              <w:t>)</w:t>
            </w:r>
          </w:p>
        </w:tc>
      </w:tr>
      <w:tr>
        <w:trPr/>
        <w:tc>
          <w:tcPr>
            <w:tcW w:w="7700" w:type="dxa"/>
            <w:tcBorders/>
            <w:vAlign w:val="bottom"/>
          </w:tcPr>
          <w:p>
            <w:pPr>
              <w:pStyle w:val="TableContents"/>
              <w:bidi w:val="0"/>
              <w:spacing w:before="0" w:after="0"/>
              <w:ind w:left="180" w:right="0" w:hanging="180"/>
              <w:jc w:val="left"/>
              <w:rPr>
                <w:color w:val="000000"/>
              </w:rPr>
            </w:pPr>
            <w:r>
              <w:rPr>
                <w:color w:val="000000"/>
              </w:rPr>
              <w:t>Prepayment of debt including prepayment fees</w:t>
            </w:r>
          </w:p>
        </w:tc>
        <w:tc>
          <w:tcPr>
            <w:tcW w:w="6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258" w:type="dxa"/>
            <w:tcBorders/>
            <w:vAlign w:val="bottom"/>
          </w:tcPr>
          <w:p>
            <w:pPr>
              <w:pStyle w:val="TableContents"/>
              <w:bidi w:val="0"/>
              <w:spacing w:before="0" w:after="0"/>
              <w:jc w:val="right"/>
              <w:rPr>
                <w:color w:val="000000"/>
              </w:rPr>
            </w:pPr>
            <w:r>
              <w:rPr>
                <w:color w:val="000000"/>
              </w:rPr>
              <w:t>-</w:t>
            </w:r>
          </w:p>
        </w:tc>
        <w:tc>
          <w:tcPr>
            <w:tcW w:w="136"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153" w:type="dxa"/>
            <w:tcBorders/>
            <w:vAlign w:val="bottom"/>
          </w:tcPr>
          <w:p>
            <w:pPr>
              <w:pStyle w:val="TableContents"/>
              <w:bidi w:val="0"/>
              <w:spacing w:before="0" w:after="0"/>
              <w:jc w:val="right"/>
              <w:rPr>
                <w:color w:val="000000"/>
              </w:rPr>
            </w:pPr>
            <w:r>
              <w:rPr>
                <w:color w:val="000000"/>
              </w:rPr>
              <w:t>(64,493</w:t>
            </w:r>
          </w:p>
        </w:tc>
        <w:tc>
          <w:tcPr>
            <w:tcW w:w="9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134" w:type="dxa"/>
            <w:tcBorders/>
            <w:vAlign w:val="bottom"/>
          </w:tcPr>
          <w:p>
            <w:pPr>
              <w:pStyle w:val="TableContents"/>
              <w:bidi w:val="0"/>
              <w:spacing w:before="0" w:after="0"/>
              <w:jc w:val="right"/>
              <w:rPr>
                <w:color w:val="000000"/>
              </w:rPr>
            </w:pPr>
            <w:r>
              <w:rPr>
                <w:color w:val="000000"/>
              </w:rPr>
              <w:t>-</w:t>
            </w:r>
          </w:p>
        </w:tc>
        <w:tc>
          <w:tcPr>
            <w:tcW w:w="123"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039" w:type="dxa"/>
            <w:tcBorders/>
            <w:vAlign w:val="bottom"/>
          </w:tcPr>
          <w:p>
            <w:pPr>
              <w:pStyle w:val="TableContents"/>
              <w:bidi w:val="0"/>
              <w:spacing w:before="0" w:after="0"/>
              <w:jc w:val="right"/>
              <w:rPr>
                <w:color w:val="000000"/>
              </w:rPr>
            </w:pPr>
            <w:r>
              <w:rPr>
                <w:color w:val="000000"/>
              </w:rPr>
              <w:t>(70,393</w:t>
            </w:r>
          </w:p>
        </w:tc>
        <w:tc>
          <w:tcPr>
            <w:tcW w:w="110" w:type="dxa"/>
            <w:tcBorders/>
            <w:vAlign w:val="bottom"/>
          </w:tcPr>
          <w:p>
            <w:pPr>
              <w:pStyle w:val="TableContents"/>
              <w:bidi w:val="0"/>
              <w:spacing w:before="0" w:after="0"/>
              <w:jc w:val="left"/>
              <w:rPr>
                <w:color w:val="000000"/>
              </w:rPr>
            </w:pPr>
            <w:r>
              <w:rPr>
                <w:color w:val="000000"/>
              </w:rPr>
              <w:t>)</w:t>
            </w:r>
          </w:p>
        </w:tc>
      </w:tr>
      <w:tr>
        <w:trPr/>
        <w:tc>
          <w:tcPr>
            <w:tcW w:w="7700" w:type="dxa"/>
            <w:tcBorders/>
            <w:shd w:fill="CCEEFF" w:val="clear"/>
            <w:vAlign w:val="bottom"/>
          </w:tcPr>
          <w:p>
            <w:pPr>
              <w:pStyle w:val="TableContents"/>
              <w:bidi w:val="0"/>
              <w:spacing w:before="0" w:after="0"/>
              <w:ind w:left="180" w:right="0" w:hanging="180"/>
              <w:jc w:val="left"/>
              <w:rPr>
                <w:color w:val="000000"/>
              </w:rPr>
            </w:pPr>
            <w:r>
              <w:rPr>
                <w:color w:val="000000"/>
              </w:rPr>
              <w:t>Deferred financing costs paid</w:t>
            </w:r>
          </w:p>
        </w:tc>
        <w:tc>
          <w:tcPr>
            <w:tcW w:w="6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258" w:type="dxa"/>
            <w:tcBorders/>
            <w:shd w:fill="CCEEFF" w:val="clear"/>
            <w:vAlign w:val="bottom"/>
          </w:tcPr>
          <w:p>
            <w:pPr>
              <w:pStyle w:val="TableContents"/>
              <w:bidi w:val="0"/>
              <w:spacing w:before="0" w:after="0"/>
              <w:jc w:val="right"/>
              <w:rPr>
                <w:color w:val="000000"/>
              </w:rPr>
            </w:pPr>
            <w:r>
              <w:rPr>
                <w:color w:val="000000"/>
              </w:rPr>
              <w:t>(333</w:t>
            </w:r>
          </w:p>
        </w:tc>
        <w:tc>
          <w:tcPr>
            <w:tcW w:w="136" w:type="dxa"/>
            <w:tcBorders/>
            <w:shd w:fill="CCEEFF" w:val="clear"/>
            <w:vAlign w:val="bottom"/>
          </w:tcPr>
          <w:p>
            <w:pPr>
              <w:pStyle w:val="TableContents"/>
              <w:bidi w:val="0"/>
              <w:spacing w:before="0" w:after="0"/>
              <w:jc w:val="left"/>
              <w:rPr>
                <w:color w:val="000000"/>
              </w:rPr>
            </w:pPr>
            <w:r>
              <w:rPr>
                <w:color w:val="000000"/>
              </w:rPr>
              <w:t>)</w:t>
            </w:r>
          </w:p>
        </w:tc>
        <w:tc>
          <w:tcPr>
            <w:tcW w:w="86"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153" w:type="dxa"/>
            <w:tcBorders/>
            <w:shd w:fill="CCEEFF" w:val="clear"/>
            <w:vAlign w:val="bottom"/>
          </w:tcPr>
          <w:p>
            <w:pPr>
              <w:pStyle w:val="TableContents"/>
              <w:bidi w:val="0"/>
              <w:spacing w:before="0" w:after="0"/>
              <w:jc w:val="right"/>
              <w:rPr>
                <w:color w:val="000000"/>
              </w:rPr>
            </w:pPr>
            <w:r>
              <w:rPr>
                <w:color w:val="000000"/>
              </w:rPr>
              <w:t>(850</w:t>
            </w:r>
          </w:p>
        </w:tc>
        <w:tc>
          <w:tcPr>
            <w:tcW w:w="9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134" w:type="dxa"/>
            <w:tcBorders/>
            <w:shd w:fill="CCEEFF" w:val="clear"/>
            <w:vAlign w:val="bottom"/>
          </w:tcPr>
          <w:p>
            <w:pPr>
              <w:pStyle w:val="TableContents"/>
              <w:bidi w:val="0"/>
              <w:spacing w:before="0" w:after="0"/>
              <w:jc w:val="right"/>
              <w:rPr>
                <w:color w:val="000000"/>
              </w:rPr>
            </w:pPr>
            <w:r>
              <w:rPr>
                <w:color w:val="000000"/>
              </w:rPr>
              <w:t>(333</w:t>
            </w:r>
          </w:p>
        </w:tc>
        <w:tc>
          <w:tcPr>
            <w:tcW w:w="123" w:type="dxa"/>
            <w:tcBorders/>
            <w:shd w:fill="CCEEFF" w:val="clear"/>
            <w:vAlign w:val="bottom"/>
          </w:tcPr>
          <w:p>
            <w:pPr>
              <w:pStyle w:val="TableContents"/>
              <w:bidi w:val="0"/>
              <w:spacing w:before="0" w:after="0"/>
              <w:jc w:val="left"/>
              <w:rPr>
                <w:color w:val="000000"/>
              </w:rPr>
            </w:pPr>
            <w:r>
              <w:rPr>
                <w:color w:val="000000"/>
              </w:rPr>
              <w:t>)</w:t>
            </w:r>
          </w:p>
        </w:tc>
        <w:tc>
          <w:tcPr>
            <w:tcW w:w="77"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039" w:type="dxa"/>
            <w:tcBorders/>
            <w:shd w:fill="CCEEFF" w:val="clear"/>
            <w:vAlign w:val="bottom"/>
          </w:tcPr>
          <w:p>
            <w:pPr>
              <w:pStyle w:val="TableContents"/>
              <w:bidi w:val="0"/>
              <w:spacing w:before="0" w:after="0"/>
              <w:jc w:val="right"/>
              <w:rPr>
                <w:color w:val="000000"/>
              </w:rPr>
            </w:pPr>
            <w:r>
              <w:rPr>
                <w:color w:val="000000"/>
              </w:rPr>
              <w:t>(2,185</w:t>
            </w:r>
          </w:p>
        </w:tc>
        <w:tc>
          <w:tcPr>
            <w:tcW w:w="110" w:type="dxa"/>
            <w:tcBorders/>
            <w:shd w:fill="CCEEFF" w:val="clear"/>
            <w:vAlign w:val="bottom"/>
          </w:tcPr>
          <w:p>
            <w:pPr>
              <w:pStyle w:val="TableContents"/>
              <w:bidi w:val="0"/>
              <w:spacing w:before="0" w:after="0"/>
              <w:jc w:val="left"/>
              <w:rPr>
                <w:color w:val="000000"/>
              </w:rPr>
            </w:pPr>
            <w:r>
              <w:rPr>
                <w:color w:val="000000"/>
              </w:rPr>
              <w:t>)</w:t>
            </w:r>
          </w:p>
        </w:tc>
      </w:tr>
      <w:tr>
        <w:trPr/>
        <w:tc>
          <w:tcPr>
            <w:tcW w:w="7700" w:type="dxa"/>
            <w:tcBorders/>
            <w:vAlign w:val="bottom"/>
          </w:tcPr>
          <w:p>
            <w:pPr>
              <w:pStyle w:val="TableContents"/>
              <w:bidi w:val="0"/>
              <w:spacing w:before="0" w:after="0"/>
              <w:ind w:left="180" w:right="0" w:hanging="180"/>
              <w:jc w:val="left"/>
              <w:rPr>
                <w:color w:val="000000"/>
              </w:rPr>
            </w:pPr>
            <w:r>
              <w:rPr>
                <w:color w:val="000000"/>
              </w:rPr>
              <w:t>Net proceeds from offering of Class A common shares, net of offering costs</w:t>
            </w:r>
          </w:p>
        </w:tc>
        <w:tc>
          <w:tcPr>
            <w:tcW w:w="6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258" w:type="dxa"/>
            <w:tcBorders/>
            <w:vAlign w:val="bottom"/>
          </w:tcPr>
          <w:p>
            <w:pPr>
              <w:pStyle w:val="TableContents"/>
              <w:bidi w:val="0"/>
              <w:spacing w:before="0" w:after="0"/>
              <w:jc w:val="right"/>
              <w:rPr>
                <w:color w:val="000000"/>
              </w:rPr>
            </w:pPr>
            <w:r>
              <w:rPr>
                <w:color w:val="000000"/>
              </w:rPr>
              <w:t>40</w:t>
            </w:r>
          </w:p>
        </w:tc>
        <w:tc>
          <w:tcPr>
            <w:tcW w:w="136"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153" w:type="dxa"/>
            <w:tcBorders/>
            <w:vAlign w:val="bottom"/>
          </w:tcPr>
          <w:p>
            <w:pPr>
              <w:pStyle w:val="TableContents"/>
              <w:bidi w:val="0"/>
              <w:spacing w:before="0" w:after="0"/>
              <w:jc w:val="right"/>
              <w:rPr>
                <w:color w:val="000000"/>
              </w:rPr>
            </w:pPr>
            <w:r>
              <w:rPr>
                <w:color w:val="000000"/>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134" w:type="dxa"/>
            <w:tcBorders/>
            <w:vAlign w:val="bottom"/>
          </w:tcPr>
          <w:p>
            <w:pPr>
              <w:pStyle w:val="TableContents"/>
              <w:bidi w:val="0"/>
              <w:spacing w:before="0" w:after="0"/>
              <w:jc w:val="right"/>
              <w:rPr>
                <w:color w:val="000000"/>
              </w:rPr>
            </w:pPr>
            <w:r>
              <w:rPr>
                <w:color w:val="000000"/>
              </w:rPr>
              <w:t>-</w:t>
            </w:r>
          </w:p>
        </w:tc>
        <w:tc>
          <w:tcPr>
            <w:tcW w:w="123"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039" w:type="dxa"/>
            <w:tcBorders/>
            <w:vAlign w:val="bottom"/>
          </w:tcPr>
          <w:p>
            <w:pPr>
              <w:pStyle w:val="TableContents"/>
              <w:bidi w:val="0"/>
              <w:spacing w:before="0" w:after="0"/>
              <w:jc w:val="right"/>
              <w:rPr>
                <w:color w:val="000000"/>
              </w:rPr>
            </w:pPr>
            <w:r>
              <w:rPr>
                <w:color w:val="000000"/>
              </w:rPr>
              <w:t>-</w:t>
            </w:r>
          </w:p>
        </w:tc>
        <w:tc>
          <w:tcPr>
            <w:tcW w:w="110" w:type="dxa"/>
            <w:tcBorders/>
            <w:vAlign w:val="bottom"/>
          </w:tcPr>
          <w:p>
            <w:pPr>
              <w:pStyle w:val="TableContents"/>
              <w:bidi w:val="0"/>
              <w:spacing w:before="0" w:after="283"/>
              <w:jc w:val="left"/>
              <w:rPr/>
            </w:pPr>
            <w:r>
              <w:rPr/>
              <w:t> </w:t>
            </w:r>
          </w:p>
        </w:tc>
      </w:tr>
      <w:tr>
        <w:trPr/>
        <w:tc>
          <w:tcPr>
            <w:tcW w:w="7700" w:type="dxa"/>
            <w:tcBorders/>
            <w:shd w:fill="CCEEFF" w:val="clear"/>
            <w:vAlign w:val="bottom"/>
          </w:tcPr>
          <w:p>
            <w:pPr>
              <w:pStyle w:val="TableContents"/>
              <w:bidi w:val="0"/>
              <w:spacing w:before="0" w:after="0"/>
              <w:ind w:left="180" w:right="0" w:hanging="180"/>
              <w:jc w:val="left"/>
              <w:rPr>
                <w:color w:val="000000"/>
              </w:rPr>
            </w:pPr>
            <w:r>
              <w:rPr>
                <w:color w:val="000000"/>
              </w:rPr>
              <w:t>Class A common shares-dividend paid</w:t>
            </w:r>
          </w:p>
        </w:tc>
        <w:tc>
          <w:tcPr>
            <w:tcW w:w="6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258" w:type="dxa"/>
            <w:tcBorders/>
            <w:shd w:fill="CCEEFF" w:val="clear"/>
            <w:vAlign w:val="bottom"/>
          </w:tcPr>
          <w:p>
            <w:pPr>
              <w:pStyle w:val="TableContents"/>
              <w:bidi w:val="0"/>
              <w:spacing w:before="0" w:after="0"/>
              <w:jc w:val="right"/>
              <w:rPr>
                <w:color w:val="000000"/>
              </w:rPr>
            </w:pPr>
            <w:r>
              <w:rPr>
                <w:color w:val="000000"/>
              </w:rPr>
              <w:t>(22,522</w:t>
            </w:r>
          </w:p>
        </w:tc>
        <w:tc>
          <w:tcPr>
            <w:tcW w:w="136" w:type="dxa"/>
            <w:tcBorders/>
            <w:shd w:fill="CCEEFF" w:val="clear"/>
            <w:vAlign w:val="bottom"/>
          </w:tcPr>
          <w:p>
            <w:pPr>
              <w:pStyle w:val="TableContents"/>
              <w:bidi w:val="0"/>
              <w:spacing w:before="0" w:after="0"/>
              <w:jc w:val="left"/>
              <w:rPr>
                <w:color w:val="000000"/>
              </w:rPr>
            </w:pPr>
            <w:r>
              <w:rPr>
                <w:color w:val="000000"/>
              </w:rPr>
              <w:t>)</w:t>
            </w:r>
          </w:p>
        </w:tc>
        <w:tc>
          <w:tcPr>
            <w:tcW w:w="86"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153" w:type="dxa"/>
            <w:tcBorders/>
            <w:shd w:fill="CCEEFF" w:val="clear"/>
            <w:vAlign w:val="bottom"/>
          </w:tcPr>
          <w:p>
            <w:pPr>
              <w:pStyle w:val="TableContents"/>
              <w:bidi w:val="0"/>
              <w:spacing w:before="0" w:after="0"/>
              <w:jc w:val="right"/>
              <w:rPr>
                <w:color w:val="000000"/>
              </w:rPr>
            </w:pPr>
            <w:r>
              <w:rPr>
                <w:color w:val="000000"/>
              </w:rPr>
              <w:t>(18,763</w:t>
            </w:r>
          </w:p>
        </w:tc>
        <w:tc>
          <w:tcPr>
            <w:tcW w:w="9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134" w:type="dxa"/>
            <w:tcBorders/>
            <w:shd w:fill="CCEEFF" w:val="clear"/>
            <w:vAlign w:val="bottom"/>
          </w:tcPr>
          <w:p>
            <w:pPr>
              <w:pStyle w:val="TableContents"/>
              <w:bidi w:val="0"/>
              <w:spacing w:before="0" w:after="0"/>
              <w:jc w:val="right"/>
              <w:rPr>
                <w:color w:val="000000"/>
              </w:rPr>
            </w:pPr>
            <w:r>
              <w:rPr>
                <w:color w:val="000000"/>
              </w:rPr>
              <w:t>(45,006</w:t>
            </w:r>
          </w:p>
        </w:tc>
        <w:tc>
          <w:tcPr>
            <w:tcW w:w="123" w:type="dxa"/>
            <w:tcBorders/>
            <w:shd w:fill="CCEEFF" w:val="clear"/>
            <w:vAlign w:val="bottom"/>
          </w:tcPr>
          <w:p>
            <w:pPr>
              <w:pStyle w:val="TableContents"/>
              <w:bidi w:val="0"/>
              <w:spacing w:before="0" w:after="0"/>
              <w:jc w:val="left"/>
              <w:rPr>
                <w:color w:val="000000"/>
              </w:rPr>
            </w:pPr>
            <w:r>
              <w:rPr>
                <w:color w:val="000000"/>
              </w:rPr>
              <w:t>)</w:t>
            </w:r>
          </w:p>
        </w:tc>
        <w:tc>
          <w:tcPr>
            <w:tcW w:w="77"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039" w:type="dxa"/>
            <w:tcBorders/>
            <w:shd w:fill="CCEEFF" w:val="clear"/>
            <w:vAlign w:val="bottom"/>
          </w:tcPr>
          <w:p>
            <w:pPr>
              <w:pStyle w:val="TableContents"/>
              <w:bidi w:val="0"/>
              <w:spacing w:before="0" w:after="0"/>
              <w:jc w:val="right"/>
              <w:rPr>
                <w:color w:val="000000"/>
              </w:rPr>
            </w:pPr>
            <w:r>
              <w:rPr>
                <w:color w:val="000000"/>
              </w:rPr>
              <w:t>(34,806</w:t>
            </w:r>
          </w:p>
        </w:tc>
        <w:tc>
          <w:tcPr>
            <w:tcW w:w="110" w:type="dxa"/>
            <w:tcBorders/>
            <w:shd w:fill="CCEEFF" w:val="clear"/>
            <w:vAlign w:val="bottom"/>
          </w:tcPr>
          <w:p>
            <w:pPr>
              <w:pStyle w:val="TableContents"/>
              <w:bidi w:val="0"/>
              <w:spacing w:before="0" w:after="0"/>
              <w:jc w:val="left"/>
              <w:rPr>
                <w:color w:val="000000"/>
              </w:rPr>
            </w:pPr>
            <w:r>
              <w:rPr>
                <w:color w:val="000000"/>
              </w:rPr>
              <w:t>)</w:t>
            </w:r>
          </w:p>
        </w:tc>
      </w:tr>
      <w:tr>
        <w:trPr/>
        <w:tc>
          <w:tcPr>
            <w:tcW w:w="7700" w:type="dxa"/>
            <w:tcBorders/>
            <w:vAlign w:val="bottom"/>
          </w:tcPr>
          <w:p>
            <w:pPr>
              <w:pStyle w:val="TableContents"/>
              <w:bidi w:val="0"/>
              <w:spacing w:before="0" w:after="0"/>
              <w:ind w:left="180" w:right="0" w:hanging="180"/>
              <w:jc w:val="left"/>
              <w:rPr>
                <w:color w:val="000000"/>
              </w:rPr>
            </w:pPr>
            <w:r>
              <w:rPr>
                <w:color w:val="000000"/>
              </w:rPr>
              <w:t>Series B preferred shares-dividend paid</w:t>
            </w:r>
          </w:p>
        </w:tc>
        <w:tc>
          <w:tcPr>
            <w:tcW w:w="60" w:type="dxa"/>
            <w:tcBorders/>
            <w:vAlign w:val="bottom"/>
          </w:tcPr>
          <w:p>
            <w:pPr>
              <w:pStyle w:val="TableContents"/>
              <w:bidi w:val="0"/>
              <w:spacing w:before="0" w:after="283"/>
              <w:jc w:val="left"/>
              <w:rPr/>
            </w:pPr>
            <w:r>
              <w:rPr/>
              <w:t> </w:t>
            </w:r>
          </w:p>
        </w:tc>
        <w:tc>
          <w:tcPr>
            <w:tcW w:w="201" w:type="dxa"/>
            <w:tcBorders>
              <w:bottom w:val="single" w:sz="12" w:space="0" w:color="000000"/>
            </w:tcBorders>
            <w:tcMar>
              <w:bottom w:w="28" w:type="dxa"/>
            </w:tcMar>
            <w:vAlign w:val="bottom"/>
          </w:tcPr>
          <w:p>
            <w:pPr>
              <w:pStyle w:val="TableContents"/>
              <w:bidi w:val="0"/>
              <w:spacing w:before="0" w:after="283"/>
              <w:jc w:val="left"/>
              <w:rPr/>
            </w:pPr>
            <w:r>
              <w:rPr/>
              <w:t> </w:t>
            </w:r>
          </w:p>
        </w:tc>
        <w:tc>
          <w:tcPr>
            <w:tcW w:w="1258"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(2,384</w:t>
            </w:r>
          </w:p>
        </w:tc>
        <w:tc>
          <w:tcPr>
            <w:tcW w:w="136" w:type="dxa"/>
            <w:tcBorders/>
            <w:vAlign w:val="bottom"/>
          </w:tcPr>
          <w:p>
            <w:pPr>
              <w:pStyle w:val="TableContents"/>
              <w:bidi w:val="0"/>
              <w:spacing w:before="0" w:after="0"/>
              <w:jc w:val="left"/>
              <w:rPr>
                <w:color w:val="000000"/>
              </w:rPr>
            </w:pPr>
            <w:r>
              <w:rPr>
                <w:color w:val="000000"/>
              </w:rPr>
              <w:t>)</w:t>
            </w:r>
          </w:p>
        </w:tc>
        <w:tc>
          <w:tcPr>
            <w:tcW w:w="86" w:type="dxa"/>
            <w:tcBorders/>
            <w:vAlign w:val="bottom"/>
          </w:tcPr>
          <w:p>
            <w:pPr>
              <w:pStyle w:val="TableContents"/>
              <w:bidi w:val="0"/>
              <w:spacing w:before="0" w:after="283"/>
              <w:jc w:val="left"/>
              <w:rPr/>
            </w:pPr>
            <w:r>
              <w:rPr/>
              <w:t> </w:t>
            </w:r>
          </w:p>
        </w:tc>
        <w:tc>
          <w:tcPr>
            <w:tcW w:w="201" w:type="dxa"/>
            <w:tcBorders>
              <w:bottom w:val="single" w:sz="12" w:space="0" w:color="000000"/>
            </w:tcBorders>
            <w:tcMar>
              <w:bottom w:w="28" w:type="dxa"/>
            </w:tcMar>
            <w:vAlign w:val="bottom"/>
          </w:tcPr>
          <w:p>
            <w:pPr>
              <w:pStyle w:val="TableContents"/>
              <w:bidi w:val="0"/>
              <w:spacing w:before="0" w:after="283"/>
              <w:jc w:val="left"/>
              <w:rPr/>
            </w:pPr>
            <w:r>
              <w:rPr/>
              <w:t> </w:t>
            </w:r>
          </w:p>
        </w:tc>
        <w:tc>
          <w:tcPr>
            <w:tcW w:w="1153"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(2,384</w:t>
            </w:r>
          </w:p>
        </w:tc>
        <w:tc>
          <w:tcPr>
            <w:tcW w:w="9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181" w:type="dxa"/>
            <w:tcBorders>
              <w:bottom w:val="single" w:sz="12" w:space="0" w:color="000000"/>
            </w:tcBorders>
            <w:tcMar>
              <w:bottom w:w="28" w:type="dxa"/>
            </w:tcMar>
            <w:vAlign w:val="bottom"/>
          </w:tcPr>
          <w:p>
            <w:pPr>
              <w:pStyle w:val="TableContents"/>
              <w:bidi w:val="0"/>
              <w:spacing w:before="0" w:after="283"/>
              <w:jc w:val="left"/>
              <w:rPr/>
            </w:pPr>
            <w:r>
              <w:rPr/>
              <w:t> </w:t>
            </w:r>
          </w:p>
        </w:tc>
        <w:tc>
          <w:tcPr>
            <w:tcW w:w="1134"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(4,768</w:t>
            </w:r>
          </w:p>
        </w:tc>
        <w:tc>
          <w:tcPr>
            <w:tcW w:w="123" w:type="dxa"/>
            <w:tcBorders/>
            <w:vAlign w:val="bottom"/>
          </w:tcPr>
          <w:p>
            <w:pPr>
              <w:pStyle w:val="TableContents"/>
              <w:bidi w:val="0"/>
              <w:spacing w:before="0" w:after="0"/>
              <w:jc w:val="left"/>
              <w:rPr>
                <w:color w:val="000000"/>
              </w:rPr>
            </w:pPr>
            <w:r>
              <w:rPr>
                <w:color w:val="000000"/>
              </w:rPr>
              <w:t>)</w:t>
            </w:r>
          </w:p>
        </w:tc>
        <w:tc>
          <w:tcPr>
            <w:tcW w:w="77" w:type="dxa"/>
            <w:tcBorders/>
            <w:vAlign w:val="bottom"/>
          </w:tcPr>
          <w:p>
            <w:pPr>
              <w:pStyle w:val="TableContents"/>
              <w:bidi w:val="0"/>
              <w:spacing w:before="0" w:after="283"/>
              <w:jc w:val="left"/>
              <w:rPr/>
            </w:pPr>
            <w:r>
              <w:rPr/>
              <w:t> </w:t>
            </w:r>
          </w:p>
        </w:tc>
        <w:tc>
          <w:tcPr>
            <w:tcW w:w="181" w:type="dxa"/>
            <w:tcBorders>
              <w:bottom w:val="single" w:sz="12" w:space="0" w:color="000000"/>
            </w:tcBorders>
            <w:tcMar>
              <w:bottom w:w="28" w:type="dxa"/>
            </w:tcMar>
            <w:vAlign w:val="bottom"/>
          </w:tcPr>
          <w:p>
            <w:pPr>
              <w:pStyle w:val="TableContents"/>
              <w:bidi w:val="0"/>
              <w:spacing w:before="0" w:after="283"/>
              <w:jc w:val="left"/>
              <w:rPr/>
            </w:pPr>
            <w:r>
              <w:rPr/>
              <w:t> </w:t>
            </w:r>
          </w:p>
        </w:tc>
        <w:tc>
          <w:tcPr>
            <w:tcW w:w="1039"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(4,768</w:t>
            </w:r>
          </w:p>
        </w:tc>
        <w:tc>
          <w:tcPr>
            <w:tcW w:w="110" w:type="dxa"/>
            <w:tcBorders/>
            <w:vAlign w:val="bottom"/>
          </w:tcPr>
          <w:p>
            <w:pPr>
              <w:pStyle w:val="TableContents"/>
              <w:bidi w:val="0"/>
              <w:spacing w:before="0" w:after="0"/>
              <w:jc w:val="left"/>
              <w:rPr>
                <w:color w:val="000000"/>
              </w:rPr>
            </w:pPr>
            <w:r>
              <w:rPr>
                <w:color w:val="000000"/>
              </w:rPr>
              <w:t>)</w:t>
            </w:r>
          </w:p>
        </w:tc>
      </w:tr>
      <w:tr>
        <w:trPr/>
        <w:tc>
          <w:tcPr>
            <w:tcW w:w="7700" w:type="dxa"/>
            <w:tcBorders/>
            <w:shd w:fill="CCEEFF" w:val="clear"/>
            <w:vAlign w:val="bottom"/>
          </w:tcPr>
          <w:p>
            <w:pPr>
              <w:pStyle w:val="TableContents"/>
              <w:bidi w:val="0"/>
              <w:spacing w:before="0" w:after="0"/>
              <w:ind w:left="180" w:right="0" w:hanging="180"/>
              <w:jc w:val="left"/>
              <w:rPr>
                <w:b/>
                <w:color w:val="000000"/>
              </w:rPr>
            </w:pPr>
            <w:r>
              <w:rPr>
                <w:b/>
                <w:color w:val="000000"/>
              </w:rPr>
              <w:t>Net cash (used in)/provided by financing activities</w:t>
            </w:r>
          </w:p>
        </w:tc>
        <w:tc>
          <w:tcPr>
            <w:tcW w:w="60" w:type="dxa"/>
            <w:tcBorders/>
            <w:shd w:fill="CCEEFF" w:val="clear"/>
            <w:vAlign w:val="bottom"/>
          </w:tcPr>
          <w:p>
            <w:pPr>
              <w:pStyle w:val="TableContents"/>
              <w:bidi w:val="0"/>
              <w:spacing w:before="0" w:after="283"/>
              <w:jc w:val="left"/>
              <w:rPr/>
            </w:pPr>
            <w:r>
              <w:rPr/>
              <w:t> </w:t>
            </w:r>
          </w:p>
        </w:tc>
        <w:tc>
          <w:tcPr>
            <w:tcW w:w="201" w:type="dxa"/>
            <w:tcBorders>
              <w:bottom w:val="single" w:sz="12" w:space="0" w:color="000000"/>
            </w:tcBorders>
            <w:shd w:fill="CCEEFF" w:val="clear"/>
            <w:tcMar>
              <w:bottom w:w="28" w:type="dxa"/>
            </w:tcMar>
            <w:vAlign w:val="bottom"/>
          </w:tcPr>
          <w:p>
            <w:pPr>
              <w:pStyle w:val="TableContents"/>
              <w:bidi w:val="0"/>
              <w:spacing w:before="0" w:after="0"/>
              <w:jc w:val="left"/>
              <w:rPr>
                <w:b/>
                <w:color w:val="000000"/>
              </w:rPr>
            </w:pPr>
            <w:r>
              <w:rPr>
                <w:b/>
                <w:color w:val="000000"/>
              </w:rPr>
              <w:t>$</w:t>
            </w:r>
          </w:p>
        </w:tc>
        <w:tc>
          <w:tcPr>
            <w:tcW w:w="1258" w:type="dxa"/>
            <w:tcBorders>
              <w:bottom w:val="single" w:sz="12" w:space="0" w:color="000000"/>
            </w:tcBorders>
            <w:shd w:fill="CCEEFF" w:val="clear"/>
            <w:tcMar>
              <w:bottom w:w="28" w:type="dxa"/>
            </w:tcMar>
            <w:vAlign w:val="bottom"/>
          </w:tcPr>
          <w:p>
            <w:pPr>
              <w:pStyle w:val="TableContents"/>
              <w:bidi w:val="0"/>
              <w:spacing w:before="0" w:after="0"/>
              <w:jc w:val="right"/>
              <w:rPr>
                <w:b/>
                <w:color w:val="000000"/>
              </w:rPr>
            </w:pPr>
            <w:r>
              <w:rPr>
                <w:b/>
                <w:color w:val="000000"/>
              </w:rPr>
              <w:t>(6,590</w:t>
            </w:r>
          </w:p>
        </w:tc>
        <w:tc>
          <w:tcPr>
            <w:tcW w:w="136" w:type="dxa"/>
            <w:tcBorders/>
            <w:shd w:fill="CCEEFF" w:val="clear"/>
            <w:vAlign w:val="bottom"/>
          </w:tcPr>
          <w:p>
            <w:pPr>
              <w:pStyle w:val="TableContents"/>
              <w:bidi w:val="0"/>
              <w:spacing w:before="0" w:after="0"/>
              <w:jc w:val="left"/>
              <w:rPr>
                <w:b/>
                <w:color w:val="000000"/>
              </w:rPr>
            </w:pPr>
            <w:r>
              <w:rPr>
                <w:b/>
                <w:color w:val="000000"/>
              </w:rPr>
              <w:t>)</w:t>
            </w:r>
          </w:p>
        </w:tc>
        <w:tc>
          <w:tcPr>
            <w:tcW w:w="86" w:type="dxa"/>
            <w:tcBorders/>
            <w:shd w:fill="CCEEFF" w:val="clear"/>
            <w:vAlign w:val="bottom"/>
          </w:tcPr>
          <w:p>
            <w:pPr>
              <w:pStyle w:val="TableContents"/>
              <w:bidi w:val="0"/>
              <w:spacing w:before="0" w:after="283"/>
              <w:jc w:val="left"/>
              <w:rPr/>
            </w:pPr>
            <w:r>
              <w:rPr/>
              <w:t> </w:t>
            </w:r>
          </w:p>
        </w:tc>
        <w:tc>
          <w:tcPr>
            <w:tcW w:w="201" w:type="dxa"/>
            <w:tcBorders>
              <w:bottom w:val="single" w:sz="12" w:space="0" w:color="000000"/>
            </w:tcBorders>
            <w:shd w:fill="CCEEFF" w:val="clear"/>
            <w:tcMar>
              <w:bottom w:w="28" w:type="dxa"/>
            </w:tcMar>
            <w:vAlign w:val="bottom"/>
          </w:tcPr>
          <w:p>
            <w:pPr>
              <w:pStyle w:val="TableContents"/>
              <w:bidi w:val="0"/>
              <w:spacing w:before="0" w:after="0"/>
              <w:jc w:val="left"/>
              <w:rPr>
                <w:b/>
                <w:color w:val="000000"/>
              </w:rPr>
            </w:pPr>
            <w:r>
              <w:rPr>
                <w:b/>
                <w:color w:val="000000"/>
              </w:rPr>
              <w:t>$</w:t>
            </w:r>
          </w:p>
        </w:tc>
        <w:tc>
          <w:tcPr>
            <w:tcW w:w="1153" w:type="dxa"/>
            <w:tcBorders>
              <w:bottom w:val="single" w:sz="12" w:space="0" w:color="000000"/>
            </w:tcBorders>
            <w:shd w:fill="CCEEFF" w:val="clear"/>
            <w:tcMar>
              <w:bottom w:w="28" w:type="dxa"/>
            </w:tcMar>
            <w:vAlign w:val="bottom"/>
          </w:tcPr>
          <w:p>
            <w:pPr>
              <w:pStyle w:val="TableContents"/>
              <w:bidi w:val="0"/>
              <w:spacing w:before="0" w:after="0"/>
              <w:jc w:val="right"/>
              <w:rPr>
                <w:b/>
                <w:color w:val="000000"/>
              </w:rPr>
            </w:pPr>
            <w:r>
              <w:rPr>
                <w:b/>
                <w:color w:val="000000"/>
              </w:rPr>
              <w:t>(31,382</w:t>
            </w:r>
          </w:p>
        </w:tc>
        <w:tc>
          <w:tcPr>
            <w:tcW w:w="95" w:type="dxa"/>
            <w:tcBorders/>
            <w:shd w:fill="CCEEFF" w:val="clear"/>
            <w:vAlign w:val="bottom"/>
          </w:tcPr>
          <w:p>
            <w:pPr>
              <w:pStyle w:val="TableContents"/>
              <w:bidi w:val="0"/>
              <w:spacing w:before="0" w:after="0"/>
              <w:jc w:val="left"/>
              <w:rPr>
                <w:b/>
                <w:color w:val="000000"/>
              </w:rPr>
            </w:pPr>
            <w:r>
              <w:rPr>
                <w:b/>
                <w:color w:val="000000"/>
              </w:rPr>
              <w:t>)</w:t>
            </w:r>
          </w:p>
        </w:tc>
        <w:tc>
          <w:tcPr>
            <w:tcW w:w="60" w:type="dxa"/>
            <w:tcBorders/>
            <w:shd w:fill="CCEEFF" w:val="clear"/>
            <w:vAlign w:val="bottom"/>
          </w:tcPr>
          <w:p>
            <w:pPr>
              <w:pStyle w:val="TableContents"/>
              <w:bidi w:val="0"/>
              <w:spacing w:before="0" w:after="283"/>
              <w:jc w:val="left"/>
              <w:rPr/>
            </w:pPr>
            <w:r>
              <w:rPr/>
              <w:t> </w:t>
            </w:r>
          </w:p>
        </w:tc>
        <w:tc>
          <w:tcPr>
            <w:tcW w:w="181" w:type="dxa"/>
            <w:tcBorders>
              <w:bottom w:val="single" w:sz="12" w:space="0" w:color="000000"/>
            </w:tcBorders>
            <w:shd w:fill="CCEEFF" w:val="clear"/>
            <w:tcMar>
              <w:bottom w:w="28" w:type="dxa"/>
            </w:tcMar>
            <w:vAlign w:val="bottom"/>
          </w:tcPr>
          <w:p>
            <w:pPr>
              <w:pStyle w:val="TableContents"/>
              <w:bidi w:val="0"/>
              <w:spacing w:before="0" w:after="0"/>
              <w:jc w:val="left"/>
              <w:rPr>
                <w:b/>
                <w:color w:val="000000"/>
              </w:rPr>
            </w:pPr>
            <w:r>
              <w:rPr>
                <w:b/>
                <w:color w:val="000000"/>
              </w:rPr>
              <w:t>$</w:t>
            </w:r>
          </w:p>
        </w:tc>
        <w:tc>
          <w:tcPr>
            <w:tcW w:w="1134" w:type="dxa"/>
            <w:tcBorders>
              <w:bottom w:val="single" w:sz="12" w:space="0" w:color="000000"/>
            </w:tcBorders>
            <w:shd w:fill="CCEEFF" w:val="clear"/>
            <w:tcMar>
              <w:bottom w:w="28" w:type="dxa"/>
            </w:tcMar>
            <w:vAlign w:val="bottom"/>
          </w:tcPr>
          <w:p>
            <w:pPr>
              <w:pStyle w:val="TableContents"/>
              <w:bidi w:val="0"/>
              <w:spacing w:before="0" w:after="0"/>
              <w:jc w:val="right"/>
              <w:rPr>
                <w:b/>
                <w:color w:val="000000"/>
              </w:rPr>
            </w:pPr>
            <w:r>
              <w:rPr>
                <w:b/>
                <w:color w:val="000000"/>
              </w:rPr>
              <w:t>(68,390</w:t>
            </w:r>
          </w:p>
        </w:tc>
        <w:tc>
          <w:tcPr>
            <w:tcW w:w="123" w:type="dxa"/>
            <w:tcBorders/>
            <w:shd w:fill="CCEEFF" w:val="clear"/>
            <w:vAlign w:val="bottom"/>
          </w:tcPr>
          <w:p>
            <w:pPr>
              <w:pStyle w:val="TableContents"/>
              <w:bidi w:val="0"/>
              <w:spacing w:before="0" w:after="0"/>
              <w:jc w:val="left"/>
              <w:rPr>
                <w:b/>
                <w:color w:val="000000"/>
              </w:rPr>
            </w:pPr>
            <w:r>
              <w:rPr>
                <w:b/>
                <w:color w:val="000000"/>
              </w:rPr>
              <w:t>)</w:t>
            </w:r>
          </w:p>
        </w:tc>
        <w:tc>
          <w:tcPr>
            <w:tcW w:w="77" w:type="dxa"/>
            <w:tcBorders/>
            <w:shd w:fill="CCEEFF" w:val="clear"/>
            <w:vAlign w:val="bottom"/>
          </w:tcPr>
          <w:p>
            <w:pPr>
              <w:pStyle w:val="TableContents"/>
              <w:bidi w:val="0"/>
              <w:spacing w:before="0" w:after="283"/>
              <w:jc w:val="left"/>
              <w:rPr/>
            </w:pPr>
            <w:r>
              <w:rPr/>
              <w:t> </w:t>
            </w:r>
          </w:p>
        </w:tc>
        <w:tc>
          <w:tcPr>
            <w:tcW w:w="181" w:type="dxa"/>
            <w:tcBorders>
              <w:bottom w:val="single" w:sz="12" w:space="0" w:color="000000"/>
            </w:tcBorders>
            <w:shd w:fill="CCEEFF" w:val="clear"/>
            <w:tcMar>
              <w:bottom w:w="28" w:type="dxa"/>
            </w:tcMar>
            <w:vAlign w:val="bottom"/>
          </w:tcPr>
          <w:p>
            <w:pPr>
              <w:pStyle w:val="TableContents"/>
              <w:bidi w:val="0"/>
              <w:spacing w:before="0" w:after="0"/>
              <w:jc w:val="left"/>
              <w:rPr>
                <w:b/>
                <w:color w:val="000000"/>
              </w:rPr>
            </w:pPr>
            <w:r>
              <w:rPr>
                <w:b/>
                <w:color w:val="000000"/>
              </w:rPr>
              <w:t>$</w:t>
            </w:r>
          </w:p>
        </w:tc>
        <w:tc>
          <w:tcPr>
            <w:tcW w:w="1039" w:type="dxa"/>
            <w:tcBorders>
              <w:bottom w:val="single" w:sz="12" w:space="0" w:color="000000"/>
            </w:tcBorders>
            <w:shd w:fill="CCEEFF" w:val="clear"/>
            <w:tcMar>
              <w:bottom w:w="28" w:type="dxa"/>
            </w:tcMar>
            <w:vAlign w:val="bottom"/>
          </w:tcPr>
          <w:p>
            <w:pPr>
              <w:pStyle w:val="TableContents"/>
              <w:bidi w:val="0"/>
              <w:spacing w:before="0" w:after="0"/>
              <w:jc w:val="right"/>
              <w:rPr>
                <w:b/>
                <w:color w:val="000000"/>
              </w:rPr>
            </w:pPr>
            <w:r>
              <w:rPr>
                <w:b/>
                <w:color w:val="000000"/>
              </w:rPr>
              <w:t>35,459</w:t>
            </w:r>
          </w:p>
        </w:tc>
        <w:tc>
          <w:tcPr>
            <w:tcW w:w="110" w:type="dxa"/>
            <w:tcBorders/>
            <w:shd w:fill="CCEEFF" w:val="clear"/>
            <w:vAlign w:val="bottom"/>
          </w:tcPr>
          <w:p>
            <w:pPr>
              <w:pStyle w:val="TableContents"/>
              <w:bidi w:val="0"/>
              <w:spacing w:before="0" w:after="283"/>
              <w:jc w:val="left"/>
              <w:rPr/>
            </w:pPr>
            <w:r>
              <w:rPr/>
              <w:t> </w:t>
            </w:r>
          </w:p>
        </w:tc>
      </w:tr>
      <w:tr>
        <w:trPr/>
        <w:tc>
          <w:tcPr>
            <w:tcW w:w="7700" w:type="dxa"/>
            <w:tcBorders/>
            <w:vAlign w:val="bottom"/>
          </w:tcPr>
          <w:p>
            <w:pPr>
              <w:pStyle w:val="TableContents"/>
              <w:bidi w:val="0"/>
              <w:spacing w:before="0" w:after="0"/>
              <w:ind w:left="180" w:right="0" w:hanging="180"/>
              <w:jc w:val="left"/>
              <w:rPr>
                <w:b/>
                <w:color w:val="000000"/>
              </w:rPr>
            </w:pPr>
            <w:r>
              <w:rPr>
                <w:b/>
                <w:color w:val="000000"/>
              </w:rPr>
              <w:t>Net (decrease)/increase in cash and cash equivalents and restricted cash</w:t>
            </w:r>
          </w:p>
        </w:tc>
        <w:tc>
          <w:tcPr>
            <w:tcW w:w="6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258" w:type="dxa"/>
            <w:tcBorders/>
            <w:vAlign w:val="bottom"/>
          </w:tcPr>
          <w:p>
            <w:pPr>
              <w:pStyle w:val="TableContents"/>
              <w:bidi w:val="0"/>
              <w:spacing w:before="0" w:after="0"/>
              <w:jc w:val="right"/>
              <w:rPr>
                <w:b/>
                <w:color w:val="000000"/>
              </w:rPr>
            </w:pPr>
            <w:r>
              <w:rPr>
                <w:b/>
                <w:color w:val="000000"/>
              </w:rPr>
              <w:t>(23,010</w:t>
            </w:r>
          </w:p>
        </w:tc>
        <w:tc>
          <w:tcPr>
            <w:tcW w:w="136" w:type="dxa"/>
            <w:tcBorders/>
            <w:vAlign w:val="bottom"/>
          </w:tcPr>
          <w:p>
            <w:pPr>
              <w:pStyle w:val="TableContents"/>
              <w:bidi w:val="0"/>
              <w:spacing w:before="0" w:after="0"/>
              <w:jc w:val="left"/>
              <w:rPr>
                <w:b/>
                <w:color w:val="000000"/>
              </w:rPr>
            </w:pPr>
            <w:r>
              <w:rPr>
                <w:b/>
                <w:color w:val="000000"/>
              </w:rPr>
              <w:t>)</w:t>
            </w:r>
          </w:p>
        </w:tc>
        <w:tc>
          <w:tcPr>
            <w:tcW w:w="86"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153" w:type="dxa"/>
            <w:tcBorders/>
            <w:vAlign w:val="bottom"/>
          </w:tcPr>
          <w:p>
            <w:pPr>
              <w:pStyle w:val="TableContents"/>
              <w:bidi w:val="0"/>
              <w:spacing w:before="0" w:after="0"/>
              <w:jc w:val="right"/>
              <w:rPr>
                <w:b/>
                <w:color w:val="000000"/>
              </w:rPr>
            </w:pPr>
            <w:r>
              <w:rPr>
                <w:b/>
                <w:color w:val="000000"/>
              </w:rPr>
              <w:t>78,080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134" w:type="dxa"/>
            <w:tcBorders/>
            <w:vAlign w:val="bottom"/>
          </w:tcPr>
          <w:p>
            <w:pPr>
              <w:pStyle w:val="TableContents"/>
              <w:bidi w:val="0"/>
              <w:spacing w:before="0" w:after="0"/>
              <w:jc w:val="right"/>
              <w:rPr>
                <w:b/>
                <w:color w:val="000000"/>
              </w:rPr>
            </w:pPr>
            <w:r>
              <w:rPr>
                <w:b/>
                <w:color w:val="000000"/>
              </w:rPr>
              <w:t>100,080</w:t>
            </w:r>
          </w:p>
        </w:tc>
        <w:tc>
          <w:tcPr>
            <w:tcW w:w="123"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039" w:type="dxa"/>
            <w:tcBorders/>
            <w:vAlign w:val="bottom"/>
          </w:tcPr>
          <w:p>
            <w:pPr>
              <w:pStyle w:val="TableContents"/>
              <w:bidi w:val="0"/>
              <w:spacing w:before="0" w:after="0"/>
              <w:jc w:val="right"/>
              <w:rPr>
                <w:b/>
                <w:color w:val="000000"/>
              </w:rPr>
            </w:pPr>
            <w:r>
              <w:rPr>
                <w:b/>
                <w:color w:val="000000"/>
              </w:rPr>
              <w:t>248,451</w:t>
            </w:r>
          </w:p>
        </w:tc>
        <w:tc>
          <w:tcPr>
            <w:tcW w:w="110" w:type="dxa"/>
            <w:tcBorders/>
            <w:vAlign w:val="bottom"/>
          </w:tcPr>
          <w:p>
            <w:pPr>
              <w:pStyle w:val="TableContents"/>
              <w:bidi w:val="0"/>
              <w:spacing w:before="0" w:after="283"/>
              <w:jc w:val="left"/>
              <w:rPr/>
            </w:pPr>
            <w:r>
              <w:rPr/>
              <w:t> </w:t>
            </w:r>
          </w:p>
        </w:tc>
      </w:tr>
      <w:tr>
        <w:trPr/>
        <w:tc>
          <w:tcPr>
            <w:tcW w:w="7700" w:type="dxa"/>
            <w:tcBorders/>
            <w:shd w:fill="CCEEFF" w:val="clear"/>
            <w:vAlign w:val="bottom"/>
          </w:tcPr>
          <w:p>
            <w:pPr>
              <w:pStyle w:val="TableContents"/>
              <w:bidi w:val="0"/>
              <w:spacing w:before="0" w:after="0"/>
              <w:ind w:left="180" w:right="0" w:hanging="180"/>
              <w:jc w:val="left"/>
              <w:rPr>
                <w:color w:val="000000"/>
              </w:rPr>
            </w:pPr>
            <w:r>
              <w:rPr>
                <w:color w:val="000000"/>
              </w:rPr>
              <w:t>Cash and cash equivalents and restricted cash at beginning of the period</w:t>
            </w:r>
          </w:p>
        </w:tc>
        <w:tc>
          <w:tcPr>
            <w:tcW w:w="60" w:type="dxa"/>
            <w:tcBorders/>
            <w:shd w:fill="CCEEFF" w:val="clear"/>
            <w:vAlign w:val="bottom"/>
          </w:tcPr>
          <w:p>
            <w:pPr>
              <w:pStyle w:val="TableContents"/>
              <w:bidi w:val="0"/>
              <w:spacing w:before="0" w:after="283"/>
              <w:jc w:val="left"/>
              <w:rPr/>
            </w:pPr>
            <w:r>
              <w:rPr/>
              <w:t> </w:t>
            </w:r>
          </w:p>
        </w:tc>
        <w:tc>
          <w:tcPr>
            <w:tcW w:w="20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58"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462,430</w:t>
            </w:r>
          </w:p>
        </w:tc>
        <w:tc>
          <w:tcPr>
            <w:tcW w:w="136"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20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53"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417,995</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34"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339,340</w:t>
            </w:r>
          </w:p>
        </w:tc>
        <w:tc>
          <w:tcPr>
            <w:tcW w:w="123"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18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39"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247,624</w:t>
            </w:r>
          </w:p>
        </w:tc>
        <w:tc>
          <w:tcPr>
            <w:tcW w:w="110" w:type="dxa"/>
            <w:tcBorders/>
            <w:shd w:fill="CCEEFF" w:val="clear"/>
            <w:vAlign w:val="bottom"/>
          </w:tcPr>
          <w:p>
            <w:pPr>
              <w:pStyle w:val="TableContents"/>
              <w:bidi w:val="0"/>
              <w:spacing w:before="0" w:after="283"/>
              <w:jc w:val="left"/>
              <w:rPr/>
            </w:pPr>
            <w:r>
              <w:rPr/>
              <w:t> </w:t>
            </w:r>
          </w:p>
        </w:tc>
      </w:tr>
      <w:tr>
        <w:trPr/>
        <w:tc>
          <w:tcPr>
            <w:tcW w:w="7700" w:type="dxa"/>
            <w:tcBorders/>
            <w:vAlign w:val="bottom"/>
          </w:tcPr>
          <w:p>
            <w:pPr>
              <w:pStyle w:val="TableContents"/>
              <w:bidi w:val="0"/>
              <w:spacing w:before="0" w:after="0"/>
              <w:ind w:left="180" w:right="0" w:hanging="180"/>
              <w:jc w:val="left"/>
              <w:rPr>
                <w:b/>
                <w:color w:val="000000"/>
              </w:rPr>
            </w:pPr>
            <w:r>
              <w:rPr>
                <w:b/>
                <w:color w:val="000000"/>
              </w:rPr>
              <w:t>Cash and cash equivalents and restricted cash at end of the period</w:t>
            </w:r>
          </w:p>
        </w:tc>
        <w:tc>
          <w:tcPr>
            <w:tcW w:w="60" w:type="dxa"/>
            <w:tcBorders/>
            <w:vAlign w:val="bottom"/>
          </w:tcPr>
          <w:p>
            <w:pPr>
              <w:pStyle w:val="TableContents"/>
              <w:bidi w:val="0"/>
              <w:spacing w:before="0" w:after="283"/>
              <w:jc w:val="left"/>
              <w:rPr/>
            </w:pPr>
            <w:r>
              <w:rPr/>
              <w:t> </w:t>
            </w:r>
          </w:p>
        </w:tc>
        <w:tc>
          <w:tcPr>
            <w:tcW w:w="201" w:type="dxa"/>
            <w:tcBorders>
              <w:bottom w:val="double" w:sz="8" w:space="0" w:color="000000"/>
            </w:tcBorders>
            <w:tcMar>
              <w:bottom w:w="28" w:type="dxa"/>
            </w:tcMar>
            <w:vAlign w:val="bottom"/>
          </w:tcPr>
          <w:p>
            <w:pPr>
              <w:pStyle w:val="TableContents"/>
              <w:bidi w:val="0"/>
              <w:spacing w:before="0" w:after="0"/>
              <w:jc w:val="left"/>
              <w:rPr>
                <w:b/>
                <w:color w:val="000000"/>
              </w:rPr>
            </w:pPr>
            <w:r>
              <w:rPr>
                <w:b/>
                <w:color w:val="000000"/>
              </w:rPr>
              <w:t>$</w:t>
            </w:r>
          </w:p>
        </w:tc>
        <w:tc>
          <w:tcPr>
            <w:tcW w:w="1258" w:type="dxa"/>
            <w:tcBorders>
              <w:bottom w:val="double" w:sz="8" w:space="0" w:color="000000"/>
            </w:tcBorders>
            <w:tcMar>
              <w:bottom w:w="28" w:type="dxa"/>
            </w:tcMar>
            <w:vAlign w:val="bottom"/>
          </w:tcPr>
          <w:p>
            <w:pPr>
              <w:pStyle w:val="TableContents"/>
              <w:bidi w:val="0"/>
              <w:spacing w:before="0" w:after="0"/>
              <w:jc w:val="right"/>
              <w:rPr>
                <w:b/>
                <w:color w:val="000000"/>
              </w:rPr>
            </w:pPr>
            <w:r>
              <w:rPr>
                <w:b/>
                <w:color w:val="000000"/>
              </w:rPr>
              <w:t>439,420</w:t>
            </w:r>
          </w:p>
        </w:tc>
        <w:tc>
          <w:tcPr>
            <w:tcW w:w="136"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201" w:type="dxa"/>
            <w:tcBorders>
              <w:bottom w:val="double" w:sz="8" w:space="0" w:color="000000"/>
            </w:tcBorders>
            <w:tcMar>
              <w:bottom w:w="28" w:type="dxa"/>
            </w:tcMar>
            <w:vAlign w:val="bottom"/>
          </w:tcPr>
          <w:p>
            <w:pPr>
              <w:pStyle w:val="TableContents"/>
              <w:bidi w:val="0"/>
              <w:spacing w:before="0" w:after="0"/>
              <w:jc w:val="left"/>
              <w:rPr>
                <w:b/>
                <w:color w:val="000000"/>
              </w:rPr>
            </w:pPr>
            <w:r>
              <w:rPr>
                <w:b/>
                <w:color w:val="000000"/>
              </w:rPr>
              <w:t>$</w:t>
            </w:r>
          </w:p>
        </w:tc>
        <w:tc>
          <w:tcPr>
            <w:tcW w:w="1153" w:type="dxa"/>
            <w:tcBorders>
              <w:bottom w:val="double" w:sz="8" w:space="0" w:color="000000"/>
            </w:tcBorders>
            <w:tcMar>
              <w:bottom w:w="28" w:type="dxa"/>
            </w:tcMar>
            <w:vAlign w:val="bottom"/>
          </w:tcPr>
          <w:p>
            <w:pPr>
              <w:pStyle w:val="TableContents"/>
              <w:bidi w:val="0"/>
              <w:spacing w:before="0" w:after="0"/>
              <w:jc w:val="right"/>
              <w:rPr>
                <w:b/>
                <w:color w:val="000000"/>
              </w:rPr>
            </w:pPr>
            <w:r>
              <w:rPr>
                <w:b/>
                <w:color w:val="000000"/>
              </w:rPr>
              <w:t>496,075</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1" w:type="dxa"/>
            <w:tcBorders>
              <w:bottom w:val="double" w:sz="8" w:space="0" w:color="000000"/>
            </w:tcBorders>
            <w:tcMar>
              <w:bottom w:w="28" w:type="dxa"/>
            </w:tcMar>
            <w:vAlign w:val="bottom"/>
          </w:tcPr>
          <w:p>
            <w:pPr>
              <w:pStyle w:val="TableContents"/>
              <w:bidi w:val="0"/>
              <w:spacing w:before="0" w:after="0"/>
              <w:jc w:val="left"/>
              <w:rPr>
                <w:b/>
                <w:color w:val="000000"/>
              </w:rPr>
            </w:pPr>
            <w:r>
              <w:rPr>
                <w:b/>
                <w:color w:val="000000"/>
              </w:rPr>
              <w:t>$</w:t>
            </w:r>
          </w:p>
        </w:tc>
        <w:tc>
          <w:tcPr>
            <w:tcW w:w="1134" w:type="dxa"/>
            <w:tcBorders>
              <w:bottom w:val="double" w:sz="8" w:space="0" w:color="000000"/>
            </w:tcBorders>
            <w:tcMar>
              <w:bottom w:w="28" w:type="dxa"/>
            </w:tcMar>
            <w:vAlign w:val="bottom"/>
          </w:tcPr>
          <w:p>
            <w:pPr>
              <w:pStyle w:val="TableContents"/>
              <w:bidi w:val="0"/>
              <w:spacing w:before="0" w:after="0"/>
              <w:jc w:val="right"/>
              <w:rPr>
                <w:b/>
                <w:color w:val="000000"/>
              </w:rPr>
            </w:pPr>
            <w:r>
              <w:rPr>
                <w:b/>
                <w:color w:val="000000"/>
              </w:rPr>
              <w:t>439,420</w:t>
            </w:r>
          </w:p>
        </w:tc>
        <w:tc>
          <w:tcPr>
            <w:tcW w:w="123"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81" w:type="dxa"/>
            <w:tcBorders>
              <w:bottom w:val="double" w:sz="8" w:space="0" w:color="000000"/>
            </w:tcBorders>
            <w:tcMar>
              <w:bottom w:w="28" w:type="dxa"/>
            </w:tcMar>
            <w:vAlign w:val="bottom"/>
          </w:tcPr>
          <w:p>
            <w:pPr>
              <w:pStyle w:val="TableContents"/>
              <w:bidi w:val="0"/>
              <w:spacing w:before="0" w:after="0"/>
              <w:jc w:val="left"/>
              <w:rPr>
                <w:b/>
                <w:color w:val="000000"/>
              </w:rPr>
            </w:pPr>
            <w:r>
              <w:rPr>
                <w:b/>
                <w:color w:val="000000"/>
              </w:rPr>
              <w:t>$</w:t>
            </w:r>
          </w:p>
        </w:tc>
        <w:tc>
          <w:tcPr>
            <w:tcW w:w="1039" w:type="dxa"/>
            <w:tcBorders>
              <w:bottom w:val="double" w:sz="8" w:space="0" w:color="000000"/>
            </w:tcBorders>
            <w:tcMar>
              <w:bottom w:w="28" w:type="dxa"/>
            </w:tcMar>
            <w:vAlign w:val="bottom"/>
          </w:tcPr>
          <w:p>
            <w:pPr>
              <w:pStyle w:val="TableContents"/>
              <w:bidi w:val="0"/>
              <w:spacing w:before="0" w:after="0"/>
              <w:jc w:val="right"/>
              <w:rPr>
                <w:b/>
                <w:color w:val="000000"/>
              </w:rPr>
            </w:pPr>
            <w:r>
              <w:rPr>
                <w:b/>
                <w:color w:val="000000"/>
              </w:rPr>
              <w:t>496,075</w:t>
            </w:r>
          </w:p>
        </w:tc>
        <w:tc>
          <w:tcPr>
            <w:tcW w:w="110" w:type="dxa"/>
            <w:tcBorders/>
            <w:vAlign w:val="bottom"/>
          </w:tcPr>
          <w:p>
            <w:pPr>
              <w:pStyle w:val="TableContents"/>
              <w:bidi w:val="0"/>
              <w:spacing w:before="0" w:after="283"/>
              <w:jc w:val="left"/>
              <w:rPr/>
            </w:pPr>
            <w:r>
              <w:rPr/>
              <w:t> </w:t>
            </w:r>
          </w:p>
        </w:tc>
      </w:tr>
      <w:tr>
        <w:trPr/>
        <w:tc>
          <w:tcPr>
            <w:tcW w:w="7700" w:type="dxa"/>
            <w:tcBorders/>
            <w:shd w:fill="CCEEFF" w:val="clear"/>
            <w:vAlign w:val="bottom"/>
          </w:tcPr>
          <w:p>
            <w:pPr>
              <w:pStyle w:val="TableContents"/>
              <w:bidi w:val="0"/>
              <w:spacing w:before="0" w:after="0"/>
              <w:ind w:left="180" w:right="0" w:hanging="180"/>
              <w:jc w:val="left"/>
              <w:rPr>
                <w:b/>
                <w:color w:val="000000"/>
              </w:rPr>
            </w:pPr>
            <w:r>
              <w:rPr>
                <w:b/>
                <w:color w:val="000000"/>
              </w:rPr>
              <w:t>Supplementary Cash Flow Information:</w:t>
            </w:r>
          </w:p>
        </w:tc>
        <w:tc>
          <w:tcPr>
            <w:tcW w:w="6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258" w:type="dxa"/>
            <w:tcBorders/>
            <w:shd w:fill="CCEEFF" w:val="clear"/>
            <w:vAlign w:val="bottom"/>
          </w:tcPr>
          <w:p>
            <w:pPr>
              <w:pStyle w:val="TableContents"/>
              <w:bidi w:val="0"/>
              <w:spacing w:before="0" w:after="283"/>
              <w:jc w:val="right"/>
              <w:rPr/>
            </w:pPr>
            <w:r>
              <w:rPr/>
              <w:t> </w:t>
            </w:r>
          </w:p>
        </w:tc>
        <w:tc>
          <w:tcPr>
            <w:tcW w:w="136"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153"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134" w:type="dxa"/>
            <w:tcBorders/>
            <w:shd w:fill="CCEEFF" w:val="clear"/>
            <w:vAlign w:val="bottom"/>
          </w:tcPr>
          <w:p>
            <w:pPr>
              <w:pStyle w:val="TableContents"/>
              <w:bidi w:val="0"/>
              <w:spacing w:before="0" w:after="283"/>
              <w:jc w:val="right"/>
              <w:rPr/>
            </w:pPr>
            <w:r>
              <w:rPr/>
              <w:t> </w:t>
            </w:r>
          </w:p>
        </w:tc>
        <w:tc>
          <w:tcPr>
            <w:tcW w:w="123"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039" w:type="dxa"/>
            <w:tcBorders/>
            <w:shd w:fill="CCEEFF" w:val="clear"/>
            <w:vAlign w:val="bottom"/>
          </w:tcPr>
          <w:p>
            <w:pPr>
              <w:pStyle w:val="TableContents"/>
              <w:bidi w:val="0"/>
              <w:spacing w:before="0" w:after="283"/>
              <w:jc w:val="right"/>
              <w:rPr/>
            </w:pPr>
            <w:r>
              <w:rPr/>
              <w:t> </w:t>
            </w:r>
          </w:p>
        </w:tc>
        <w:tc>
          <w:tcPr>
            <w:tcW w:w="110" w:type="dxa"/>
            <w:tcBorders/>
            <w:shd w:fill="CCEEFF" w:val="clear"/>
            <w:vAlign w:val="bottom"/>
          </w:tcPr>
          <w:p>
            <w:pPr>
              <w:pStyle w:val="TableContents"/>
              <w:bidi w:val="0"/>
              <w:spacing w:before="0" w:after="283"/>
              <w:jc w:val="left"/>
              <w:rPr/>
            </w:pPr>
            <w:r>
              <w:rPr/>
              <w:t> </w:t>
            </w:r>
          </w:p>
        </w:tc>
      </w:tr>
      <w:tr>
        <w:trPr/>
        <w:tc>
          <w:tcPr>
            <w:tcW w:w="7700" w:type="dxa"/>
            <w:tcBorders/>
            <w:vAlign w:val="bottom"/>
          </w:tcPr>
          <w:p>
            <w:pPr>
              <w:pStyle w:val="TableContents"/>
              <w:bidi w:val="0"/>
              <w:spacing w:before="0" w:after="0"/>
              <w:ind w:left="180" w:right="0" w:hanging="180"/>
              <w:jc w:val="left"/>
              <w:rPr>
                <w:color w:val="000000"/>
              </w:rPr>
            </w:pPr>
            <w:r>
              <w:rPr>
                <w:color w:val="000000"/>
              </w:rPr>
              <w:t>Cash paid for interest</w:t>
            </w:r>
          </w:p>
        </w:tc>
        <w:tc>
          <w:tcPr>
            <w:tcW w:w="6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258" w:type="dxa"/>
            <w:tcBorders/>
            <w:vAlign w:val="bottom"/>
          </w:tcPr>
          <w:p>
            <w:pPr>
              <w:pStyle w:val="TableContents"/>
              <w:bidi w:val="0"/>
              <w:spacing w:before="0" w:after="0"/>
              <w:jc w:val="right"/>
              <w:rPr>
                <w:color w:val="000000"/>
              </w:rPr>
            </w:pPr>
            <w:r>
              <w:rPr>
                <w:color w:val="000000"/>
              </w:rPr>
              <w:t>9,564</w:t>
            </w:r>
          </w:p>
        </w:tc>
        <w:tc>
          <w:tcPr>
            <w:tcW w:w="136"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153" w:type="dxa"/>
            <w:tcBorders/>
            <w:vAlign w:val="bottom"/>
          </w:tcPr>
          <w:p>
            <w:pPr>
              <w:pStyle w:val="TableContents"/>
              <w:bidi w:val="0"/>
              <w:spacing w:before="0" w:after="0"/>
              <w:jc w:val="right"/>
              <w:rPr>
                <w:color w:val="000000"/>
              </w:rPr>
            </w:pPr>
            <w:r>
              <w:rPr>
                <w:color w:val="000000"/>
              </w:rPr>
              <w:t>11,846</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134" w:type="dxa"/>
            <w:tcBorders/>
            <w:vAlign w:val="bottom"/>
          </w:tcPr>
          <w:p>
            <w:pPr>
              <w:pStyle w:val="TableContents"/>
              <w:bidi w:val="0"/>
              <w:spacing w:before="0" w:after="0"/>
              <w:jc w:val="right"/>
              <w:rPr>
                <w:color w:val="000000"/>
              </w:rPr>
            </w:pPr>
            <w:r>
              <w:rPr>
                <w:color w:val="000000"/>
              </w:rPr>
              <w:t>20,035</w:t>
            </w:r>
          </w:p>
        </w:tc>
        <w:tc>
          <w:tcPr>
            <w:tcW w:w="123"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039" w:type="dxa"/>
            <w:tcBorders/>
            <w:vAlign w:val="bottom"/>
          </w:tcPr>
          <w:p>
            <w:pPr>
              <w:pStyle w:val="TableContents"/>
              <w:bidi w:val="0"/>
              <w:spacing w:before="0" w:after="0"/>
              <w:jc w:val="right"/>
              <w:rPr>
                <w:color w:val="000000"/>
              </w:rPr>
            </w:pPr>
            <w:r>
              <w:rPr>
                <w:color w:val="000000"/>
              </w:rPr>
              <w:t>23,061</w:t>
            </w:r>
          </w:p>
        </w:tc>
        <w:tc>
          <w:tcPr>
            <w:tcW w:w="110" w:type="dxa"/>
            <w:tcBorders/>
            <w:vAlign w:val="bottom"/>
          </w:tcPr>
          <w:p>
            <w:pPr>
              <w:pStyle w:val="TableContents"/>
              <w:bidi w:val="0"/>
              <w:spacing w:before="0" w:after="283"/>
              <w:jc w:val="left"/>
              <w:rPr/>
            </w:pPr>
            <w:r>
              <w:rPr/>
              <w:t> </w:t>
            </w:r>
          </w:p>
        </w:tc>
      </w:tr>
      <w:tr>
        <w:trPr/>
        <w:tc>
          <w:tcPr>
            <w:tcW w:w="7700" w:type="dxa"/>
            <w:tcBorders/>
            <w:shd w:fill="CCEEFF" w:val="clear"/>
            <w:vAlign w:val="bottom"/>
          </w:tcPr>
          <w:p>
            <w:pPr>
              <w:pStyle w:val="TableContents"/>
              <w:bidi w:val="0"/>
              <w:spacing w:before="0" w:after="0"/>
              <w:ind w:left="180" w:right="0" w:hanging="180"/>
              <w:jc w:val="left"/>
              <w:rPr>
                <w:color w:val="000000"/>
              </w:rPr>
            </w:pPr>
            <w:r>
              <w:rPr>
                <w:color w:val="000000"/>
              </w:rPr>
              <w:t>Cash received from interest rate caps</w:t>
            </w:r>
          </w:p>
        </w:tc>
        <w:tc>
          <w:tcPr>
            <w:tcW w:w="6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258" w:type="dxa"/>
            <w:tcBorders/>
            <w:shd w:fill="CCEEFF" w:val="clear"/>
            <w:vAlign w:val="bottom"/>
          </w:tcPr>
          <w:p>
            <w:pPr>
              <w:pStyle w:val="TableContents"/>
              <w:bidi w:val="0"/>
              <w:spacing w:before="0" w:after="0"/>
              <w:jc w:val="right"/>
              <w:rPr>
                <w:color w:val="000000"/>
              </w:rPr>
            </w:pPr>
            <w:r>
              <w:rPr>
                <w:color w:val="000000"/>
              </w:rPr>
              <w:t>1,703</w:t>
            </w:r>
          </w:p>
        </w:tc>
        <w:tc>
          <w:tcPr>
            <w:tcW w:w="136"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153" w:type="dxa"/>
            <w:tcBorders/>
            <w:shd w:fill="CCEEFF" w:val="clear"/>
            <w:vAlign w:val="bottom"/>
          </w:tcPr>
          <w:p>
            <w:pPr>
              <w:pStyle w:val="TableContents"/>
              <w:bidi w:val="0"/>
              <w:spacing w:before="0" w:after="0"/>
              <w:jc w:val="right"/>
              <w:rPr>
                <w:color w:val="000000"/>
              </w:rPr>
            </w:pPr>
            <w:r>
              <w:rPr>
                <w:color w:val="000000"/>
              </w:rPr>
              <w:t>4,641</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134" w:type="dxa"/>
            <w:tcBorders/>
            <w:shd w:fill="CCEEFF" w:val="clear"/>
            <w:vAlign w:val="bottom"/>
          </w:tcPr>
          <w:p>
            <w:pPr>
              <w:pStyle w:val="TableContents"/>
              <w:bidi w:val="0"/>
              <w:spacing w:before="0" w:after="0"/>
              <w:jc w:val="right"/>
              <w:rPr>
                <w:color w:val="000000"/>
              </w:rPr>
            </w:pPr>
            <w:r>
              <w:rPr>
                <w:color w:val="000000"/>
              </w:rPr>
              <w:t>4,067</w:t>
            </w:r>
          </w:p>
        </w:tc>
        <w:tc>
          <w:tcPr>
            <w:tcW w:w="123"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039" w:type="dxa"/>
            <w:tcBorders/>
            <w:shd w:fill="CCEEFF" w:val="clear"/>
            <w:vAlign w:val="bottom"/>
          </w:tcPr>
          <w:p>
            <w:pPr>
              <w:pStyle w:val="TableContents"/>
              <w:bidi w:val="0"/>
              <w:spacing w:before="0" w:after="0"/>
              <w:jc w:val="right"/>
              <w:rPr>
                <w:color w:val="000000"/>
              </w:rPr>
            </w:pPr>
            <w:r>
              <w:rPr>
                <w:color w:val="000000"/>
              </w:rPr>
              <w:t>9,133</w:t>
            </w:r>
          </w:p>
        </w:tc>
        <w:tc>
          <w:tcPr>
            <w:tcW w:w="110" w:type="dxa"/>
            <w:tcBorders/>
            <w:shd w:fill="CCEEFF" w:val="clear"/>
            <w:vAlign w:val="bottom"/>
          </w:tcPr>
          <w:p>
            <w:pPr>
              <w:pStyle w:val="TableContents"/>
              <w:bidi w:val="0"/>
              <w:spacing w:before="0" w:after="283"/>
              <w:jc w:val="left"/>
              <w:rPr/>
            </w:pPr>
            <w:r>
              <w:rPr/>
              <w:t> </w:t>
            </w:r>
          </w:p>
        </w:tc>
      </w:tr>
      <w:tr>
        <w:trPr/>
        <w:tc>
          <w:tcPr>
            <w:tcW w:w="7700" w:type="dxa"/>
            <w:tcBorders/>
            <w:vAlign w:val="bottom"/>
          </w:tcPr>
          <w:p>
            <w:pPr>
              <w:pStyle w:val="TableContents"/>
              <w:bidi w:val="0"/>
              <w:spacing w:before="0" w:after="0"/>
              <w:ind w:left="180" w:right="0" w:hanging="180"/>
              <w:jc w:val="left"/>
              <w:rPr>
                <w:b/>
                <w:color w:val="000000"/>
              </w:rPr>
            </w:pPr>
            <w:r>
              <w:rPr>
                <w:b/>
                <w:color w:val="000000"/>
              </w:rPr>
              <w:t>Non-cash investing activities:</w:t>
            </w:r>
          </w:p>
        </w:tc>
        <w:tc>
          <w:tcPr>
            <w:tcW w:w="6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258" w:type="dxa"/>
            <w:tcBorders/>
            <w:vAlign w:val="bottom"/>
          </w:tcPr>
          <w:p>
            <w:pPr>
              <w:pStyle w:val="TableContents"/>
              <w:bidi w:val="0"/>
              <w:spacing w:before="0" w:after="283"/>
              <w:jc w:val="right"/>
              <w:rPr/>
            </w:pPr>
            <w:r>
              <w:rPr/>
              <w:t> </w:t>
            </w:r>
          </w:p>
        </w:tc>
        <w:tc>
          <w:tcPr>
            <w:tcW w:w="136"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153"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134" w:type="dxa"/>
            <w:tcBorders/>
            <w:vAlign w:val="bottom"/>
          </w:tcPr>
          <w:p>
            <w:pPr>
              <w:pStyle w:val="TableContents"/>
              <w:bidi w:val="0"/>
              <w:spacing w:before="0" w:after="283"/>
              <w:jc w:val="right"/>
              <w:rPr/>
            </w:pPr>
            <w:r>
              <w:rPr/>
              <w:t> </w:t>
            </w:r>
          </w:p>
        </w:tc>
        <w:tc>
          <w:tcPr>
            <w:tcW w:w="123"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039" w:type="dxa"/>
            <w:tcBorders/>
            <w:vAlign w:val="bottom"/>
          </w:tcPr>
          <w:p>
            <w:pPr>
              <w:pStyle w:val="TableContents"/>
              <w:bidi w:val="0"/>
              <w:spacing w:before="0" w:after="283"/>
              <w:jc w:val="right"/>
              <w:rPr/>
            </w:pPr>
            <w:r>
              <w:rPr/>
              <w:t> </w:t>
            </w:r>
          </w:p>
        </w:tc>
        <w:tc>
          <w:tcPr>
            <w:tcW w:w="110" w:type="dxa"/>
            <w:tcBorders/>
            <w:vAlign w:val="bottom"/>
          </w:tcPr>
          <w:p>
            <w:pPr>
              <w:pStyle w:val="TableContents"/>
              <w:bidi w:val="0"/>
              <w:spacing w:before="0" w:after="283"/>
              <w:jc w:val="left"/>
              <w:rPr/>
            </w:pPr>
            <w:r>
              <w:rPr/>
              <w:t> </w:t>
            </w:r>
          </w:p>
        </w:tc>
      </w:tr>
      <w:tr>
        <w:trPr/>
        <w:tc>
          <w:tcPr>
            <w:tcW w:w="7700" w:type="dxa"/>
            <w:tcBorders/>
            <w:shd w:fill="CCEEFF" w:val="clear"/>
            <w:vAlign w:val="bottom"/>
          </w:tcPr>
          <w:p>
            <w:pPr>
              <w:pStyle w:val="TableContents"/>
              <w:bidi w:val="0"/>
              <w:spacing w:before="0" w:after="0"/>
              <w:ind w:left="180" w:right="0" w:hanging="180"/>
              <w:jc w:val="left"/>
              <w:rPr>
                <w:color w:val="000000"/>
              </w:rPr>
            </w:pPr>
            <w:r>
              <w:rPr>
                <w:color w:val="000000"/>
              </w:rPr>
              <w:t>Acquisition of vessels and intangibles</w:t>
            </w:r>
          </w:p>
        </w:tc>
        <w:tc>
          <w:tcPr>
            <w:tcW w:w="6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258" w:type="dxa"/>
            <w:tcBorders/>
            <w:shd w:fill="CCEEFF" w:val="clear"/>
            <w:vAlign w:val="bottom"/>
          </w:tcPr>
          <w:p>
            <w:pPr>
              <w:pStyle w:val="TableContents"/>
              <w:bidi w:val="0"/>
              <w:spacing w:before="0" w:after="0"/>
              <w:jc w:val="right"/>
              <w:rPr>
                <w:color w:val="000000"/>
              </w:rPr>
            </w:pPr>
            <w:r>
              <w:rPr>
                <w:color w:val="000000"/>
              </w:rPr>
              <w:t>-</w:t>
            </w:r>
          </w:p>
        </w:tc>
        <w:tc>
          <w:tcPr>
            <w:tcW w:w="136"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153" w:type="dxa"/>
            <w:tcBorders/>
            <w:shd w:fill="CCEEFF" w:val="clear"/>
            <w:vAlign w:val="bottom"/>
          </w:tcPr>
          <w:p>
            <w:pPr>
              <w:pStyle w:val="TableContents"/>
              <w:bidi w:val="0"/>
              <w:spacing w:before="0" w:after="0"/>
              <w:jc w:val="right"/>
              <w:rPr>
                <w:color w:val="000000"/>
              </w:rPr>
            </w:pPr>
            <w:r>
              <w:rPr>
                <w:color w:val="000000"/>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134" w:type="dxa"/>
            <w:tcBorders/>
            <w:shd w:fill="CCEEFF" w:val="clear"/>
            <w:vAlign w:val="bottom"/>
          </w:tcPr>
          <w:p>
            <w:pPr>
              <w:pStyle w:val="TableContents"/>
              <w:bidi w:val="0"/>
              <w:spacing w:before="0" w:after="0"/>
              <w:jc w:val="right"/>
              <w:rPr>
                <w:color w:val="000000"/>
              </w:rPr>
            </w:pPr>
            <w:r>
              <w:rPr>
                <w:color w:val="000000"/>
              </w:rPr>
              <w:t>19,061</w:t>
            </w:r>
          </w:p>
        </w:tc>
        <w:tc>
          <w:tcPr>
            <w:tcW w:w="123"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039" w:type="dxa"/>
            <w:tcBorders/>
            <w:shd w:fill="CCEEFF" w:val="clear"/>
            <w:vAlign w:val="bottom"/>
          </w:tcPr>
          <w:p>
            <w:pPr>
              <w:pStyle w:val="TableContents"/>
              <w:bidi w:val="0"/>
              <w:spacing w:before="0" w:after="0"/>
              <w:jc w:val="right"/>
              <w:rPr>
                <w:color w:val="000000"/>
              </w:rPr>
            </w:pPr>
            <w:r>
              <w:rPr>
                <w:color w:val="000000"/>
              </w:rPr>
              <w:t>15,987</w:t>
            </w:r>
          </w:p>
        </w:tc>
        <w:tc>
          <w:tcPr>
            <w:tcW w:w="110" w:type="dxa"/>
            <w:tcBorders/>
            <w:shd w:fill="CCEEFF" w:val="clear"/>
            <w:vAlign w:val="bottom"/>
          </w:tcPr>
          <w:p>
            <w:pPr>
              <w:pStyle w:val="TableContents"/>
              <w:bidi w:val="0"/>
              <w:spacing w:before="0" w:after="283"/>
              <w:jc w:val="left"/>
              <w:rPr/>
            </w:pPr>
            <w:r>
              <w:rPr/>
              <w:t> </w:t>
            </w:r>
          </w:p>
        </w:tc>
      </w:tr>
      <w:tr>
        <w:trPr/>
        <w:tc>
          <w:tcPr>
            <w:tcW w:w="7700" w:type="dxa"/>
            <w:tcBorders/>
            <w:vAlign w:val="bottom"/>
          </w:tcPr>
          <w:p>
            <w:pPr>
              <w:pStyle w:val="TableContents"/>
              <w:bidi w:val="0"/>
              <w:spacing w:before="0" w:after="0"/>
              <w:ind w:left="180" w:right="0" w:hanging="180"/>
              <w:jc w:val="left"/>
              <w:rPr>
                <w:b/>
                <w:color w:val="000000"/>
              </w:rPr>
            </w:pPr>
            <w:r>
              <w:rPr>
                <w:b/>
                <w:color w:val="000000"/>
              </w:rPr>
              <w:t>Non-cash financing activities:</w:t>
            </w:r>
          </w:p>
        </w:tc>
        <w:tc>
          <w:tcPr>
            <w:tcW w:w="6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258" w:type="dxa"/>
            <w:tcBorders/>
            <w:vAlign w:val="bottom"/>
          </w:tcPr>
          <w:p>
            <w:pPr>
              <w:pStyle w:val="TableContents"/>
              <w:bidi w:val="0"/>
              <w:spacing w:before="0" w:after="283"/>
              <w:jc w:val="right"/>
              <w:rPr/>
            </w:pPr>
            <w:r>
              <w:rPr/>
              <w:t> </w:t>
            </w:r>
          </w:p>
        </w:tc>
        <w:tc>
          <w:tcPr>
            <w:tcW w:w="136"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153"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134" w:type="dxa"/>
            <w:tcBorders/>
            <w:vAlign w:val="bottom"/>
          </w:tcPr>
          <w:p>
            <w:pPr>
              <w:pStyle w:val="TableContents"/>
              <w:bidi w:val="0"/>
              <w:spacing w:before="0" w:after="283"/>
              <w:jc w:val="right"/>
              <w:rPr/>
            </w:pPr>
            <w:r>
              <w:rPr/>
              <w:t> </w:t>
            </w:r>
          </w:p>
        </w:tc>
        <w:tc>
          <w:tcPr>
            <w:tcW w:w="123"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039" w:type="dxa"/>
            <w:tcBorders/>
            <w:vAlign w:val="bottom"/>
          </w:tcPr>
          <w:p>
            <w:pPr>
              <w:pStyle w:val="TableContents"/>
              <w:bidi w:val="0"/>
              <w:spacing w:before="0" w:after="283"/>
              <w:jc w:val="right"/>
              <w:rPr/>
            </w:pPr>
            <w:r>
              <w:rPr/>
              <w:t> </w:t>
            </w:r>
          </w:p>
        </w:tc>
        <w:tc>
          <w:tcPr>
            <w:tcW w:w="110" w:type="dxa"/>
            <w:tcBorders/>
            <w:vAlign w:val="bottom"/>
          </w:tcPr>
          <w:p>
            <w:pPr>
              <w:pStyle w:val="TableContents"/>
              <w:bidi w:val="0"/>
              <w:spacing w:before="0" w:after="283"/>
              <w:jc w:val="left"/>
              <w:rPr/>
            </w:pPr>
            <w:r>
              <w:rPr/>
              <w:t> </w:t>
            </w:r>
          </w:p>
        </w:tc>
      </w:tr>
      <w:tr>
        <w:trPr/>
        <w:tc>
          <w:tcPr>
            <w:tcW w:w="7700" w:type="dxa"/>
            <w:tcBorders/>
            <w:shd w:fill="CCEEFF" w:val="clear"/>
            <w:vAlign w:val="bottom"/>
          </w:tcPr>
          <w:p>
            <w:pPr>
              <w:pStyle w:val="TableContents"/>
              <w:bidi w:val="0"/>
              <w:spacing w:before="0" w:after="0"/>
              <w:ind w:left="180" w:right="0" w:hanging="180"/>
              <w:jc w:val="left"/>
              <w:rPr>
                <w:color w:val="000000"/>
              </w:rPr>
            </w:pPr>
            <w:r>
              <w:rPr>
                <w:color w:val="000000"/>
              </w:rPr>
              <w:t>Unrealized loss on derivative assets/ FX option</w:t>
            </w:r>
          </w:p>
        </w:tc>
        <w:tc>
          <w:tcPr>
            <w:tcW w:w="6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258" w:type="dxa"/>
            <w:tcBorders/>
            <w:shd w:fill="CCEEFF" w:val="clear"/>
            <w:vAlign w:val="bottom"/>
          </w:tcPr>
          <w:p>
            <w:pPr>
              <w:pStyle w:val="TableContents"/>
              <w:bidi w:val="0"/>
              <w:spacing w:before="0" w:after="0"/>
              <w:jc w:val="right"/>
              <w:rPr>
                <w:color w:val="000000"/>
              </w:rPr>
            </w:pPr>
            <w:r>
              <w:rPr>
                <w:color w:val="000000"/>
              </w:rPr>
              <w:t>(947</w:t>
            </w:r>
          </w:p>
        </w:tc>
        <w:tc>
          <w:tcPr>
            <w:tcW w:w="136" w:type="dxa"/>
            <w:tcBorders/>
            <w:shd w:fill="CCEEFF" w:val="clear"/>
            <w:vAlign w:val="bottom"/>
          </w:tcPr>
          <w:p>
            <w:pPr>
              <w:pStyle w:val="TableContents"/>
              <w:bidi w:val="0"/>
              <w:spacing w:before="0" w:after="0"/>
              <w:jc w:val="left"/>
              <w:rPr>
                <w:color w:val="000000"/>
              </w:rPr>
            </w:pPr>
            <w:r>
              <w:rPr>
                <w:color w:val="000000"/>
              </w:rPr>
              <w:t>)</w:t>
            </w:r>
          </w:p>
        </w:tc>
        <w:tc>
          <w:tcPr>
            <w:tcW w:w="86"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153" w:type="dxa"/>
            <w:tcBorders/>
            <w:shd w:fill="CCEEFF" w:val="clear"/>
            <w:vAlign w:val="bottom"/>
          </w:tcPr>
          <w:p>
            <w:pPr>
              <w:pStyle w:val="TableContents"/>
              <w:bidi w:val="0"/>
              <w:spacing w:before="0" w:after="0"/>
              <w:jc w:val="right"/>
              <w:rPr>
                <w:color w:val="000000"/>
              </w:rPr>
            </w:pPr>
            <w:r>
              <w:rPr>
                <w:color w:val="000000"/>
              </w:rPr>
              <w:t>(2,459</w:t>
            </w:r>
          </w:p>
        </w:tc>
        <w:tc>
          <w:tcPr>
            <w:tcW w:w="9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134" w:type="dxa"/>
            <w:tcBorders/>
            <w:shd w:fill="CCEEFF" w:val="clear"/>
            <w:vAlign w:val="bottom"/>
          </w:tcPr>
          <w:p>
            <w:pPr>
              <w:pStyle w:val="TableContents"/>
              <w:bidi w:val="0"/>
              <w:spacing w:before="0" w:after="0"/>
              <w:jc w:val="right"/>
              <w:rPr>
                <w:color w:val="000000"/>
              </w:rPr>
            </w:pPr>
            <w:r>
              <w:rPr>
                <w:color w:val="000000"/>
              </w:rPr>
              <w:t>(2,153</w:t>
            </w:r>
          </w:p>
        </w:tc>
        <w:tc>
          <w:tcPr>
            <w:tcW w:w="123" w:type="dxa"/>
            <w:tcBorders/>
            <w:shd w:fill="CCEEFF" w:val="clear"/>
            <w:vAlign w:val="bottom"/>
          </w:tcPr>
          <w:p>
            <w:pPr>
              <w:pStyle w:val="TableContents"/>
              <w:bidi w:val="0"/>
              <w:spacing w:before="0" w:after="0"/>
              <w:jc w:val="left"/>
              <w:rPr>
                <w:color w:val="000000"/>
              </w:rPr>
            </w:pPr>
            <w:r>
              <w:rPr>
                <w:color w:val="000000"/>
              </w:rPr>
              <w:t>)</w:t>
            </w:r>
          </w:p>
        </w:tc>
        <w:tc>
          <w:tcPr>
            <w:tcW w:w="77"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039" w:type="dxa"/>
            <w:tcBorders/>
            <w:shd w:fill="CCEEFF" w:val="clear"/>
            <w:vAlign w:val="bottom"/>
          </w:tcPr>
          <w:p>
            <w:pPr>
              <w:pStyle w:val="TableContents"/>
              <w:bidi w:val="0"/>
              <w:spacing w:before="0" w:after="0"/>
              <w:jc w:val="right"/>
              <w:rPr>
                <w:color w:val="000000"/>
              </w:rPr>
            </w:pPr>
            <w:r>
              <w:rPr>
                <w:color w:val="000000"/>
              </w:rPr>
              <w:t>(5,960</w:t>
            </w:r>
          </w:p>
        </w:tc>
        <w:tc>
          <w:tcPr>
            <w:tcW w:w="110" w:type="dxa"/>
            <w:tcBorders/>
            <w:shd w:fill="CCEEFF" w:val="clear"/>
            <w:vAlign w:val="bottom"/>
          </w:tcPr>
          <w:p>
            <w:pPr>
              <w:pStyle w:val="TableContents"/>
              <w:bidi w:val="0"/>
              <w:spacing w:before="0" w:after="0"/>
              <w:jc w:val="left"/>
              <w:rPr>
                <w:color w:val="000000"/>
              </w:rPr>
            </w:pPr>
            <w:r>
              <w:rPr>
                <w:color w:val="000000"/>
              </w:rPr>
              <w:t>)</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rFonts w:ascii="Times New Roman" w:hAnsi="Times New Roman"/>
          <w:color w:val="000000"/>
          <w:sz w:val="20"/>
        </w:rPr>
      </w:pPr>
      <w:r>
        <w:rPr>
          <w:rFonts w:ascii="Times New Roman" w:hAnsi="Times New Roman"/>
          <w:b w:val="false"/>
          <w:i w:val="false"/>
          <w:caps w:val="false"/>
          <w:smallCaps w:val="false"/>
          <w:color w:val="000000"/>
          <w:sz w:val="16"/>
        </w:rPr>
        <w:t>Page 17</w:t>
      </w:r>
      <w:r>
        <w:rPr>
          <w:rFonts w:ascii="Times New Roman" w:hAnsi="Times New Roman"/>
          <w:color w:val="000000"/>
          <w:sz w:val="20"/>
        </w:rPr>
        <w:t xml:space="preserve"> </w:t>
      </w:r>
    </w:p>
    <w:p>
      <w:pPr>
        <w:pStyle w:val="HorizontalLine"/>
        <w:pBdr>
          <w:bottom w:val="single" w:sz="12" w:space="0" w:color="808080"/>
        </w:pBdr>
        <w:bidi w:val="0"/>
        <w:spacing w:before="0" w:after="283"/>
        <w:jc w:val="center"/>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9843</Words>
  <Characters>52436</Characters>
  <CharactersWithSpaces>61876</CharactersWithSpaces>
  <Paragraphs>3148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