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May 16,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ind w:left="49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6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020" w:type="dxa"/>
            <w:vAlign w:val="bottom"/>
          </w:tcPr>
          <w:p>
            <w:pPr>
              <w:spacing w:after="0"/>
              <w:rPr>
                <w:sz w:val="23"/>
                <w:szCs w:val="23"/>
                <w:color w:val="auto"/>
              </w:rPr>
            </w:pPr>
          </w:p>
        </w:tc>
      </w:tr>
      <w:tr>
        <w:trPr>
          <w:trHeight w:val="358"/>
        </w:trPr>
        <w:tc>
          <w:tcPr>
            <w:tcW w:w="8400" w:type="dxa"/>
            <w:vAlign w:val="bottom"/>
            <w:gridSpan w:val="2"/>
          </w:tcPr>
          <w:p>
            <w:pPr>
              <w:spacing w:after="0"/>
              <w:rPr>
                <w:sz w:val="20"/>
                <w:szCs w:val="20"/>
                <w:color w:val="auto"/>
              </w:rPr>
            </w:pPr>
            <w:r>
              <w:rPr>
                <w:rFonts w:ascii="Arial" w:cs="Arial" w:eastAsia="Arial" w:hAnsi="Arial"/>
                <w:sz w:val="18"/>
                <w:szCs w:val="18"/>
                <w:color w:val="auto"/>
                <w:w w:val="92"/>
              </w:rPr>
              <w:t>If “Yes” is marked, indicate below the file number assigned to the registrant in connection with Rule 12g3-2(b): 82-</w:t>
            </w:r>
          </w:p>
        </w:tc>
        <w:tc>
          <w:tcPr>
            <w:tcW w:w="3020" w:type="dxa"/>
            <w:vAlign w:val="bottom"/>
          </w:tcPr>
          <w:p>
            <w:pPr>
              <w:jc w:val="right"/>
              <w:ind w:right="2632"/>
              <w:spacing w:after="0"/>
              <w:rPr>
                <w:sz w:val="20"/>
                <w:szCs w:val="20"/>
                <w:color w:val="auto"/>
              </w:rPr>
            </w:pPr>
            <w:r>
              <w:rPr>
                <w:rFonts w:ascii="Arial" w:cs="Arial" w:eastAsia="Arial" w:hAnsi="Arial"/>
                <w:sz w:val="18"/>
                <w:szCs w:val="18"/>
                <w:color w:val="auto"/>
              </w:rPr>
              <w:t>.</w:t>
            </w:r>
          </w:p>
        </w:tc>
      </w:tr>
      <w:tr>
        <w:trPr>
          <w:trHeight w:val="124"/>
        </w:trPr>
        <w:tc>
          <w:tcPr>
            <w:tcW w:w="57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May 16, 2011 of Global Ship Lease, Inc. (the “Company”) reporting the Company’s financial results for the first quarter of 2011. Attached hereto as Exhibit II are the Company’s interim unaudited consolidated financial statements for the three month period ended March 31, 2011.</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620" w:val="left"/>
          <w:tab w:leader="none" w:pos="7820" w:val="left"/>
          <w:tab w:leader="none" w:pos="8160" w:val="left"/>
        </w:tabs>
        <w:rPr>
          <w:sz w:val="20"/>
          <w:szCs w:val="20"/>
          <w:color w:val="auto"/>
        </w:rPr>
      </w:pPr>
      <w:r>
        <w:rPr>
          <w:rFonts w:ascii="Arial" w:cs="Arial" w:eastAsia="Arial" w:hAnsi="Arial"/>
          <w:sz w:val="18"/>
          <w:szCs w:val="18"/>
          <w:color w:val="auto"/>
        </w:rPr>
        <w:t>Date: May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I</w:t>
      </w:r>
      <w:r>
        <w:rPr>
          <w:rFonts w:ascii="Arial" w:cs="Arial" w:eastAsia="Arial" w:hAnsi="Arial"/>
          <w:sz w:val="13"/>
          <w:szCs w:val="13"/>
          <w:color w:val="auto"/>
        </w:rPr>
        <w:t>AN</w:t>
      </w:r>
      <w:r>
        <w:rPr>
          <w:rFonts w:ascii="Arial" w:cs="Arial" w:eastAsia="Arial" w:hAnsi="Arial"/>
          <w:sz w:val="16"/>
          <w:szCs w:val="16"/>
          <w:color w:val="auto"/>
        </w:rPr>
        <w:t xml:space="preserve"> J. W</w:t>
      </w:r>
      <w:r>
        <w:rPr>
          <w:rFonts w:ascii="Arial" w:cs="Arial" w:eastAsia="Arial" w:hAnsi="Arial"/>
          <w:sz w:val="13"/>
          <w:szCs w:val="13"/>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10795</wp:posOffset>
            </wp:positionV>
            <wp:extent cx="3439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Ian J. Webber</w:t>
      </w:r>
    </w:p>
    <w:p>
      <w:pPr>
        <w:jc w:val="center"/>
        <w:ind w:left="600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00"/>
          </w:cols>
          <w:pgMar w:left="240" w:top="274"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First Quarter of 2011</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LONDON, ENGLAND — May 16, 2011 </w:t>
      </w:r>
      <w:r>
        <w:rPr>
          <w:rFonts w:ascii="Arial" w:cs="Arial" w:eastAsia="Arial" w:hAnsi="Arial"/>
          <w:sz w:val="18"/>
          <w:szCs w:val="18"/>
          <w:color w:val="auto"/>
        </w:rPr>
        <w:t>- Global Ship Lease, Inc. (NYSE:GSL), a containership charter owner, announced today its unaudited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March 31,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Year To Date Highlights</w:t>
      </w:r>
    </w:p>
    <w:p>
      <w:pPr>
        <w:spacing w:after="0" w:line="96" w:lineRule="exact"/>
        <w:rPr>
          <w:sz w:val="20"/>
          <w:szCs w:val="20"/>
          <w:color w:val="auto"/>
        </w:rPr>
      </w:pPr>
    </w:p>
    <w:p>
      <w:pPr>
        <w:ind w:left="460" w:right="3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$39.1 million for the first quarter 2011, down slightly from $39.2 million for the first quarter 2010 due to three days offhire in first quarter 2011 for a planned drydocking</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$10.8 million for the first quarter 2011, including a $5.0 million non-cash interest rate derivative mark-to-market gain. Reported net income for the first quarter 2010 was $3.3 million, including $4.9 million non-cash mark-to-market loss</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$26.2 million EBITDA</w:t>
      </w:r>
      <w:r>
        <w:rPr>
          <w:rFonts w:ascii="Arial" w:cs="Arial" w:eastAsia="Arial" w:hAnsi="Arial"/>
          <w:sz w:val="11"/>
          <w:szCs w:val="11"/>
          <w:color w:val="auto"/>
        </w:rPr>
        <w:t>(1)</w:t>
      </w:r>
      <w:r>
        <w:rPr>
          <w:rFonts w:ascii="Arial" w:cs="Arial" w:eastAsia="Arial" w:hAnsi="Arial"/>
          <w:sz w:val="18"/>
          <w:szCs w:val="18"/>
          <w:color w:val="auto"/>
        </w:rPr>
        <w:t xml:space="preserve"> for the first quarter 2011, down on $28.3 million for the first quarter 2010 due mainly to increased crew costs and the timing of maintenance and stores spend</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items, normalized net income</w:t>
      </w:r>
      <w:r>
        <w:rPr>
          <w:rFonts w:ascii="Arial" w:cs="Arial" w:eastAsia="Arial" w:hAnsi="Arial"/>
          <w:sz w:val="11"/>
          <w:szCs w:val="11"/>
          <w:color w:val="auto"/>
        </w:rPr>
        <w:t>(1)</w:t>
      </w:r>
      <w:r>
        <w:rPr>
          <w:rFonts w:ascii="Arial" w:cs="Arial" w:eastAsia="Arial" w:hAnsi="Arial"/>
          <w:sz w:val="18"/>
          <w:szCs w:val="18"/>
          <w:color w:val="auto"/>
        </w:rPr>
        <w:t xml:space="preserve"> was $5.9 million for the first quarter 2011 compared to normalized net income of $8.2 million for the first quarter 2010</w:t>
      </w:r>
    </w:p>
    <w:p>
      <w:pPr>
        <w:spacing w:after="0" w:line="50"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Loan-to-value under the Company’s credit facility as at April 30, 2011 was less than 75%. Therefore, the interest margin paid on borrowings decreases to 3.00% from 3.50%, prepayment of borrowings becomes fixed at $10 million per quarter and dividends to common shareholders are permitted</w:t>
      </w:r>
    </w:p>
    <w:p>
      <w:pPr>
        <w:spacing w:after="0" w:line="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Ian Webber, Chief Executive Officer of Global Ship Lease, stated, “During the first quarter, our fleet performed as expected, enabling the Company to once again achieve strong utilization. With our entire 17 vessel fleet operating on time charters, we continue to generate sizeable cash flows. As we progress through the year, we remain committed to seeking opportunities to capitalize on the industry’s strong fundamentals while maintaining a significant focus on preserving our financial strength.”</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Mr. Webber continued, “As containerized trade has continued to recover, we have seen steady improvement in asset values. This improvement, together with aggressive pay down of debt, has had a favorable effect on our loan-to-value ratio which was below 75% at the last test date, benefiting Global Ship Lease in a number of ways. First, the interest margin paid on borrowings will decrease to 3.00% from 3.50% which will save approximately $2.5 million of cash interest in a full year. Second, the cash sweep mechanism to prepay borrowings no longer applies and prepayments become fixed at $10 million per quarter. Finally, the Company is permitted to pay dividends to common shareholders. We believe that the Company’s business model supports the delivery of dividends to common shareholders over the long-term and the Board will continue to evaluate the dividend policy on a quarterly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Three</w:t>
            </w:r>
          </w:p>
        </w:tc>
        <w:tc>
          <w:tcPr>
            <w:tcW w:w="52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81"/>
              </w:rPr>
              <w:t>Three</w:t>
            </w:r>
          </w:p>
        </w:tc>
      </w:tr>
      <w:tr>
        <w:trPr>
          <w:trHeight w:val="149"/>
        </w:trPr>
        <w:tc>
          <w:tcPr>
            <w:tcW w:w="4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months</w:t>
            </w:r>
          </w:p>
        </w:tc>
        <w:tc>
          <w:tcPr>
            <w:tcW w:w="52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months</w:t>
            </w:r>
          </w:p>
        </w:tc>
      </w:tr>
      <w:tr>
        <w:trPr>
          <w:trHeight w:val="149"/>
        </w:trPr>
        <w:tc>
          <w:tcPr>
            <w:tcW w:w="4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ended</w:t>
            </w:r>
          </w:p>
        </w:tc>
        <w:tc>
          <w:tcPr>
            <w:tcW w:w="52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4420" w:type="dxa"/>
            <w:vAlign w:val="bottom"/>
          </w:tcPr>
          <w:p>
            <w:pPr>
              <w:spacing w:after="0"/>
              <w:rPr>
                <w:sz w:val="12"/>
                <w:szCs w:val="12"/>
                <w:color w:val="auto"/>
              </w:rPr>
            </w:pPr>
          </w:p>
        </w:tc>
        <w:tc>
          <w:tcPr>
            <w:tcW w:w="3080" w:type="dxa"/>
            <w:vAlign w:val="bottom"/>
            <w:gridSpan w:val="2"/>
          </w:tcPr>
          <w:p>
            <w:pPr>
              <w:jc w:val="center"/>
              <w:ind w:left="2396"/>
              <w:spacing w:after="0" w:line="149" w:lineRule="exact"/>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3"/>
          </w:tcPr>
          <w:p>
            <w:pPr>
              <w:jc w:val="center"/>
              <w:ind w:left="316"/>
              <w:spacing w:after="0" w:line="149" w:lineRule="exact"/>
              <w:rPr>
                <w:sz w:val="20"/>
                <w:szCs w:val="20"/>
                <w:color w:val="auto"/>
              </w:rPr>
            </w:pPr>
            <w:r>
              <w:rPr>
                <w:rFonts w:ascii="Arial" w:cs="Arial" w:eastAsia="Arial" w:hAnsi="Arial"/>
                <w:sz w:val="14"/>
                <w:szCs w:val="14"/>
                <w:color w:val="auto"/>
                <w:w w:val="86"/>
              </w:rPr>
              <w:t>March 31,</w:t>
            </w:r>
          </w:p>
        </w:tc>
      </w:tr>
      <w:tr>
        <w:trPr>
          <w:trHeight w:val="161"/>
        </w:trPr>
        <w:tc>
          <w:tcPr>
            <w:tcW w:w="44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2010</w:t>
            </w:r>
          </w:p>
        </w:tc>
        <w:tc>
          <w:tcPr>
            <w:tcW w:w="100" w:type="dxa"/>
            <w:vAlign w:val="bottom"/>
          </w:tcPr>
          <w:p>
            <w:pPr>
              <w:spacing w:after="0"/>
              <w:rPr>
                <w:sz w:val="14"/>
                <w:szCs w:val="14"/>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39,104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39,151</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Income</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16,276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18,404</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10,839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0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EBITDA (1)</w:t>
            </w: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26,225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28,275</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34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17 vessel fleet generated revenue from fixed rate long-term time charters of $39.1 million in the three months ended March 31, 2011, down slightly on revenue of $39.2 million for the comparative period in 2010. The decrease in revenue is due to three days offhire for a planned dry-docking which commenced on March 28, 2011. During the three months ended March 31, 2011, there were 1,530 ownership days, the same as the comparable period in 2010. The three days offhire for dry-dockings in the three months ended March 31, 2011, gives a utilization of 99.8%. In the comparable period of 2010, there were two days unplanned off-hire, representing utilization of 99.9%.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Vessel operating expenses, which include costs of crew, lubricating oil, spares and insurance, were $11.0 million for the three months ended March 31, 2011. The average cost per ownership day was $7,218, up $205 or 2.9% on $7,013 for the rolling four quarters ended March 31, 2011. The increase is due to increased crew costs, broadly from the third quarter 2010, as a result of inflation and adverse exchange rate movements as a portion of crew costs are denominated in euros, and from higher spend on supplies, partly in anticipation of scheduled dry-dockings. The first quarter 2011 average daily cost was up 15.1% from the average daily cost of $6,269 for the comparative period in 2010 due to increased crew costs and higher spend on supplies and because spend in first quarter 2010 was disproportionately low.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Vessel operating expenses continue to be at less than the capped amounts included in Global Ship Lease’s ship management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Depreciation of $9.9 million for the three months ended March 31, 2011 was the same as in the comparative period in 2010 as there were no changes to the fleet.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General and administrative costs incurred were $1.9 million in the three months ended March 31, 2011, including $0.1 million non-cash charge for stock based incentives, compared to $1.8 million for the comparable period in 2010, including $0.3 million non-cash charge for stock based incentives.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26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operating income</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Other operating income in the three months ended March 31, 2011 was $0.1 million, down on $0.6 million for the three months ended March 31, 2010 which included $0.5 million tax refund relating to Marathon Acquisition Corp. prior to August 14,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a result of the above, EBITDA was $26.2 million the three months ended March 31, 2011 down against $28.3 million for the three months ended March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March 31, 2011 was $5.6 million. The Company’s borrowings under its credit facility averaged $532.8 million during the three months ended March 31, 2011. There were $48.0 million preferred shares throughout the period giving total average borrowings through the three months ended March 31, 2011 of $580.8 million. Interest expense in the comparative period in 2010 was $5.9 million on average borrowings, including the preferred shares, of $634.3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ended March 31, 2011 and 2010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$0.2 million gain in the three months ended March 31, 2011, reflecting primarily movements in the forward curve for interest rates. Of this amount, $4.8 million was a realized loss for settlements of swaps in the period and $5.0 million was an unrealized gain for revaluation of the balance sheet position. This compares to a $9.3 million loss in the three months ended March 31, 2010 of which $4.4 million was a realized loss and $4.9 million was an unrealized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the total mark-to-market unrealized loss recognized as a liability on the balance sheet was $39.5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March 31, 2011 and in three months ended March 31, 2010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Net income for the three months ended March 31, 2011 was $10.8 million including $5.0 million non-cash interest rate derivative mark-to-market gain. For the three months ended March 31, 2010 net income was $3.3 million, including $4.9 million non-cash interest rate derivative mark-to-market loss. Normalized net income was $5.9 million for the three months ended March 31, 2011 and $8.2 million for the three months ended March 31,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leverage ratio under the loan-to-value test as at April 30, 2011 was less 75% and greater than 65%. Accordingly, the interest margin applied on amounts borrowed under the credit facility will decrease by 50 basis points to 3.00%. Further, the full cash sweep to prepay borrowings no longer applies and prepayments become fixed at $10 million per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Finally, Global Ship Lease may resume the payment of dividends to common shareholders.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next loan-to-value test including updated market values of the Company’s vessels will be as at November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2011 a total of $13.8 million of debt was prepaid leaving a balance outstanding of $519.0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paying a dividend on common shares.</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Board of Directors reviews the Company’s dividend policy on a quarterly basis, taking into consideration capital structure, growth opportunities, industry fundamentals, asset value trends and financial performance including cash flow, among others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 Utilization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fleet utilization for the three months ended March 31, 2011 and 2010 and for the year ended December 31, 2010.</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160" w:type="dxa"/>
            <w:vAlign w:val="bottom"/>
            <w:gridSpan w:val="4"/>
            <w:vMerge w:val="restart"/>
          </w:tcPr>
          <w:p>
            <w:pPr>
              <w:jc w:val="right"/>
              <w:ind w:right="840"/>
              <w:spacing w:after="0"/>
              <w:rPr>
                <w:sz w:val="20"/>
                <w:szCs w:val="20"/>
                <w:color w:val="auto"/>
              </w:rPr>
            </w:pPr>
            <w:r>
              <w:rPr>
                <w:rFonts w:ascii="Arial" w:cs="Arial" w:eastAsia="Arial" w:hAnsi="Arial"/>
                <w:sz w:val="14"/>
                <w:szCs w:val="14"/>
                <w:color w:val="auto"/>
              </w:rPr>
              <w:t>Three months ended</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Year</w:t>
            </w:r>
          </w:p>
        </w:tc>
        <w:tc>
          <w:tcPr>
            <w:tcW w:w="0" w:type="dxa"/>
            <w:vAlign w:val="bottom"/>
          </w:tcPr>
          <w:p>
            <w:pPr>
              <w:spacing w:after="0"/>
              <w:rPr>
                <w:sz w:val="1"/>
                <w:szCs w:val="1"/>
                <w:color w:val="auto"/>
              </w:rPr>
            </w:pPr>
          </w:p>
        </w:tc>
      </w:tr>
      <w:tr>
        <w:trPr>
          <w:trHeight w:val="146"/>
        </w:trPr>
        <w:tc>
          <w:tcPr>
            <w:tcW w:w="3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160" w:type="dxa"/>
            <w:vAlign w:val="bottom"/>
            <w:gridSpan w:val="4"/>
            <w:vMerge w:val="continue"/>
          </w:tcPr>
          <w:p>
            <w:pPr>
              <w:spacing w:after="0"/>
              <w:rPr>
                <w:sz w:val="12"/>
                <w:szCs w:val="12"/>
                <w:color w:val="auto"/>
              </w:rPr>
            </w:pPr>
          </w:p>
        </w:tc>
        <w:tc>
          <w:tcPr>
            <w:tcW w:w="6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7"/>
              </w:rPr>
              <w:t>ended</w:t>
            </w: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640"/>
              <w:spacing w:after="0" w:line="131" w:lineRule="exact"/>
              <w:rPr>
                <w:sz w:val="20"/>
                <w:szCs w:val="20"/>
                <w:color w:val="auto"/>
              </w:rPr>
            </w:pPr>
            <w:r>
              <w:rPr>
                <w:rFonts w:ascii="Arial" w:cs="Arial" w:eastAsia="Arial" w:hAnsi="Arial"/>
                <w:sz w:val="14"/>
                <w:szCs w:val="14"/>
                <w:color w:val="auto"/>
                <w:w w:val="88"/>
              </w:rPr>
              <w:t>Mar 31,</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8"/>
              </w:rPr>
              <w:t>Mar 31,</w:t>
            </w:r>
          </w:p>
        </w:tc>
        <w:tc>
          <w:tcPr>
            <w:tcW w:w="620" w:type="dxa"/>
            <w:vAlign w:val="bottom"/>
          </w:tcPr>
          <w:p>
            <w:pPr>
              <w:spacing w:after="0"/>
              <w:rPr>
                <w:sz w:val="11"/>
                <w:szCs w:val="11"/>
                <w:color w:val="auto"/>
              </w:rPr>
            </w:pPr>
          </w:p>
        </w:tc>
        <w:tc>
          <w:tcPr>
            <w:tcW w:w="6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9"/>
        </w:trPr>
        <w:tc>
          <w:tcPr>
            <w:tcW w:w="6760" w:type="dxa"/>
            <w:vAlign w:val="bottom"/>
            <w:gridSpan w:val="2"/>
          </w:tcPr>
          <w:p>
            <w:pPr>
              <w:spacing w:after="0" w:line="159" w:lineRule="exact"/>
              <w:rPr>
                <w:sz w:val="20"/>
                <w:szCs w:val="20"/>
                <w:color w:val="auto"/>
              </w:rPr>
            </w:pPr>
            <w:r>
              <w:rPr>
                <w:rFonts w:ascii="Arial" w:cs="Arial" w:eastAsia="Arial" w:hAnsi="Arial"/>
                <w:sz w:val="14"/>
                <w:szCs w:val="14"/>
                <w:color w:val="auto"/>
              </w:rPr>
              <w:t>Days</w:t>
            </w:r>
          </w:p>
        </w:tc>
        <w:tc>
          <w:tcPr>
            <w:tcW w:w="460" w:type="dxa"/>
            <w:vAlign w:val="bottom"/>
          </w:tcPr>
          <w:p>
            <w:pPr>
              <w:jc w:val="right"/>
              <w:ind w:right="20"/>
              <w:spacing w:after="0" w:line="159" w:lineRule="exact"/>
              <w:rPr>
                <w:sz w:val="20"/>
                <w:szCs w:val="20"/>
                <w:color w:val="auto"/>
              </w:rPr>
            </w:pPr>
            <w:r>
              <w:rPr>
                <w:rFonts w:ascii="Arial" w:cs="Arial" w:eastAsia="Arial" w:hAnsi="Arial"/>
                <w:sz w:val="14"/>
                <w:szCs w:val="14"/>
                <w:color w:val="auto"/>
              </w:rPr>
              <w:t>2011</w:t>
            </w:r>
          </w:p>
        </w:tc>
        <w:tc>
          <w:tcPr>
            <w:tcW w:w="620" w:type="dxa"/>
            <w:vAlign w:val="bottom"/>
          </w:tcPr>
          <w:p>
            <w:pPr>
              <w:spacing w:after="0"/>
              <w:rPr>
                <w:sz w:val="13"/>
                <w:szCs w:val="13"/>
                <w:color w:val="auto"/>
              </w:rPr>
            </w:pPr>
          </w:p>
        </w:tc>
        <w:tc>
          <w:tcPr>
            <w:tcW w:w="460" w:type="dxa"/>
            <w:vAlign w:val="bottom"/>
          </w:tcPr>
          <w:p>
            <w:pPr>
              <w:jc w:val="right"/>
              <w:ind w:right="18"/>
              <w:spacing w:after="0" w:line="159" w:lineRule="exact"/>
              <w:rPr>
                <w:sz w:val="20"/>
                <w:szCs w:val="20"/>
                <w:color w:val="auto"/>
              </w:rPr>
            </w:pPr>
            <w:r>
              <w:rPr>
                <w:rFonts w:ascii="Arial" w:cs="Arial" w:eastAsia="Arial" w:hAnsi="Arial"/>
                <w:sz w:val="14"/>
                <w:szCs w:val="14"/>
                <w:color w:val="auto"/>
              </w:rPr>
              <w:t>2010</w:t>
            </w:r>
          </w:p>
        </w:tc>
        <w:tc>
          <w:tcPr>
            <w:tcW w:w="620" w:type="dxa"/>
            <w:vAlign w:val="bottom"/>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0" w:type="dxa"/>
            <w:vAlign w:val="bottom"/>
            <w:tcBorders>
              <w:top w:val="single" w:sz="8" w:color="auto"/>
            </w:tcBorders>
          </w:tcPr>
          <w:p>
            <w:pPr>
              <w:spacing w:after="0"/>
              <w:rPr>
                <w:sz w:val="8"/>
                <w:szCs w:val="8"/>
                <w:color w:val="auto"/>
              </w:rPr>
            </w:pPr>
          </w:p>
        </w:tc>
        <w:tc>
          <w:tcPr>
            <w:tcW w:w="64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1,530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1,530</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1"/>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days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1,527</w:t>
            </w:r>
          </w:p>
        </w:tc>
        <w:tc>
          <w:tcPr>
            <w:tcW w:w="6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1,528</w:t>
            </w:r>
          </w:p>
        </w:tc>
        <w:tc>
          <w:tcPr>
            <w:tcW w:w="6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6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Seven vessels are scheduled to be drydocked in 2011 and six in 2012. This will lead to increased planned offhire.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Charter</w:t>
            </w:r>
          </w:p>
        </w:tc>
        <w:tc>
          <w:tcPr>
            <w:tcW w:w="2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5"/>
              </w:rPr>
              <w:t>Capacity</w:t>
            </w:r>
          </w:p>
        </w:tc>
        <w:tc>
          <w:tcPr>
            <w:tcW w:w="8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Year</w:t>
            </w:r>
          </w:p>
        </w:tc>
        <w:tc>
          <w:tcPr>
            <w:tcW w:w="15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Term</w:t>
            </w: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960" w:type="dxa"/>
            <w:vAlign w:val="bottom"/>
          </w:tcPr>
          <w:p>
            <w:pPr>
              <w:spacing w:after="0"/>
              <w:rPr>
                <w:sz w:val="15"/>
                <w:szCs w:val="15"/>
                <w:color w:val="auto"/>
              </w:rPr>
            </w:pPr>
          </w:p>
        </w:tc>
        <w:tc>
          <w:tcPr>
            <w:tcW w:w="1040" w:type="dxa"/>
            <w:vAlign w:val="bottom"/>
            <w:gridSpan w:val="2"/>
          </w:tcPr>
          <w:p>
            <w:pPr>
              <w:jc w:val="right"/>
              <w:ind w:right="400"/>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by GSL</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4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4,113</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1997</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2007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78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4000" w:type="dxa"/>
            <w:vAlign w:val="bottom"/>
            <w:gridSpan w:val="3"/>
          </w:tcPr>
          <w:p>
            <w:pPr>
              <w:jc w:val="right"/>
              <w:ind w:right="400"/>
              <w:spacing w:after="0"/>
              <w:rPr>
                <w:sz w:val="20"/>
                <w:szCs w:val="20"/>
                <w:color w:val="auto"/>
              </w:rPr>
            </w:pPr>
            <w:r>
              <w:rPr>
                <w:rFonts w:ascii="Arial" w:cs="Arial" w:eastAsia="Arial" w:hAnsi="Arial"/>
                <w:sz w:val="18"/>
                <w:szCs w:val="18"/>
                <w:color w:val="auto"/>
              </w:rPr>
              <w:t>4,113</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1996</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December 2007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0" w:type="dxa"/>
            <w:vAlign w:val="bottom"/>
            <w:gridSpan w:val="3"/>
          </w:tcPr>
          <w:p>
            <w:pPr>
              <w:jc w:val="right"/>
              <w:ind w:right="1360"/>
              <w:spacing w:after="0"/>
              <w:rPr>
                <w:sz w:val="20"/>
                <w:szCs w:val="20"/>
                <w:color w:val="auto"/>
              </w:rPr>
            </w:pPr>
            <w:r>
              <w:rPr>
                <w:rFonts w:ascii="Arial" w:cs="Arial" w:eastAsia="Arial" w:hAnsi="Arial"/>
                <w:sz w:val="18"/>
                <w:szCs w:val="18"/>
                <w:color w:val="auto"/>
              </w:rPr>
              <w:t>Page 4</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2,262</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1999</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CMA CGM Utrillo</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2,262</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1999</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0" w:type="dxa"/>
            <w:vAlign w:val="bottom"/>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Delmas Keta</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2,207</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Julie Delmas</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2,207</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0" w:type="dxa"/>
            <w:vAlign w:val="bottom"/>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Kumasi</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2,207</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Marie Delmas</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2,207</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2002</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0" w:type="dxa"/>
            <w:vAlign w:val="bottom"/>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2,272</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CMA CGM Manet</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2,272</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2001</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0" w:type="dxa"/>
            <w:vAlign w:val="bottom"/>
          </w:tcPr>
          <w:p>
            <w:pPr>
              <w:ind w:left="100"/>
              <w:spacing w:after="0"/>
              <w:rPr>
                <w:sz w:val="20"/>
                <w:szCs w:val="20"/>
                <w:color w:val="auto"/>
              </w:rPr>
            </w:pPr>
            <w:r>
              <w:rPr>
                <w:rFonts w:ascii="Arial" w:cs="Arial" w:eastAsia="Arial" w:hAnsi="Arial"/>
                <w:sz w:val="18"/>
                <w:szCs w:val="18"/>
                <w:color w:val="auto"/>
              </w:rPr>
              <w:t>$18,465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5,100</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$33,750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CMA CGM Château d’If</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5,100</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2007</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200" w:type="dxa"/>
            <w:vAlign w:val="bottom"/>
          </w:tcPr>
          <w:p>
            <w:pPr>
              <w:ind w:left="100"/>
              <w:spacing w:after="0"/>
              <w:rPr>
                <w:sz w:val="20"/>
                <w:szCs w:val="20"/>
                <w:color w:val="auto"/>
              </w:rPr>
            </w:pPr>
            <w:r>
              <w:rPr>
                <w:rFonts w:ascii="Arial" w:cs="Arial" w:eastAsia="Arial" w:hAnsi="Arial"/>
                <w:sz w:val="18"/>
                <w:szCs w:val="18"/>
                <w:color w:val="auto"/>
              </w:rPr>
              <w:t>$33,750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10,960</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$47,200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CMA CGM Jamaica</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4,298</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0" w:type="dxa"/>
            <w:vAlign w:val="bottom"/>
          </w:tcPr>
          <w:p>
            <w:pPr>
              <w:ind w:left="100"/>
              <w:spacing w:after="0"/>
              <w:rPr>
                <w:sz w:val="20"/>
                <w:szCs w:val="20"/>
                <w:color w:val="auto"/>
              </w:rPr>
            </w:pPr>
            <w:r>
              <w:rPr>
                <w:rFonts w:ascii="Arial" w:cs="Arial" w:eastAsia="Arial" w:hAnsi="Arial"/>
                <w:sz w:val="18"/>
                <w:szCs w:val="18"/>
                <w:color w:val="auto"/>
              </w:rPr>
              <w:t>$25,350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4,045</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$25,350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CMA CGM America</w:t>
            </w:r>
          </w:p>
        </w:tc>
        <w:tc>
          <w:tcPr>
            <w:tcW w:w="3340" w:type="dxa"/>
            <w:vAlign w:val="bottom"/>
          </w:tcPr>
          <w:p>
            <w:pPr>
              <w:jc w:val="right"/>
              <w:ind w:right="52"/>
              <w:spacing w:after="0"/>
              <w:rPr>
                <w:sz w:val="20"/>
                <w:szCs w:val="20"/>
                <w:color w:val="auto"/>
              </w:rPr>
            </w:pPr>
            <w:r>
              <w:rPr>
                <w:rFonts w:ascii="Arial" w:cs="Arial" w:eastAsia="Arial" w:hAnsi="Arial"/>
                <w:sz w:val="18"/>
                <w:szCs w:val="18"/>
                <w:color w:val="auto"/>
              </w:rPr>
              <w:t>4,045</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200" w:type="dxa"/>
            <w:vAlign w:val="bottom"/>
          </w:tcPr>
          <w:p>
            <w:pPr>
              <w:ind w:left="100"/>
              <w:spacing w:after="0"/>
              <w:rPr>
                <w:sz w:val="20"/>
                <w:szCs w:val="20"/>
                <w:color w:val="auto"/>
              </w:rPr>
            </w:pPr>
            <w:r>
              <w:rPr>
                <w:rFonts w:ascii="Arial" w:cs="Arial" w:eastAsia="Arial" w:hAnsi="Arial"/>
                <w:sz w:val="18"/>
                <w:szCs w:val="18"/>
                <w:color w:val="auto"/>
              </w:rPr>
              <w:t>$25,350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3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6,627</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$34,000   12</w:t>
            </w: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tab/>
        <w:t>Twenty-foot Equivalent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has options to purchase two further vessels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5"/>
              </w:rPr>
              <w:t>Capacity</w:t>
            </w:r>
          </w:p>
        </w:tc>
        <w:tc>
          <w:tcPr>
            <w:tcW w:w="30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Potential Delivery</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in TEUs</w:t>
            </w:r>
          </w:p>
        </w:tc>
        <w:tc>
          <w:tcPr>
            <w:tcW w:w="3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Date to GSL</w:t>
            </w:r>
          </w:p>
        </w:tc>
        <w:tc>
          <w:tcPr>
            <w:tcW w:w="2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Charterer</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Zim Alabama </w:t>
            </w:r>
            <w:r>
              <w:rPr>
                <w:rFonts w:ascii="Arial" w:cs="Arial" w:eastAsia="Arial" w:hAnsi="Arial"/>
                <w:sz w:val="11"/>
                <w:szCs w:val="11"/>
                <w:color w:val="auto"/>
              </w:rPr>
              <w:t>(2)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2010</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ZIM</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(3)</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 xml:space="preserve">Zim Texas </w:t>
            </w: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rPr>
              <w:t>4,250</w:t>
            </w:r>
          </w:p>
        </w:tc>
        <w:tc>
          <w:tcPr>
            <w:tcW w:w="1020" w:type="dxa"/>
            <w:vAlign w:val="bottom"/>
            <w:gridSpan w:val="3"/>
          </w:tcPr>
          <w:p>
            <w:pPr>
              <w:ind w:left="360"/>
              <w:spacing w:after="0"/>
              <w:rPr>
                <w:sz w:val="20"/>
                <w:szCs w:val="20"/>
                <w:color w:val="auto"/>
              </w:rPr>
            </w:pPr>
            <w:r>
              <w:rPr>
                <w:rFonts w:ascii="Arial" w:cs="Arial" w:eastAsia="Arial" w:hAnsi="Arial"/>
                <w:sz w:val="18"/>
                <w:szCs w:val="18"/>
                <w:color w:val="auto"/>
              </w:rPr>
              <w:t>2011</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2012</w:t>
            </w:r>
          </w:p>
        </w:tc>
        <w:tc>
          <w:tcPr>
            <w:tcW w:w="2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ZIM</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(3)</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Option to purchase from German interests for a payment of $61.25 million per vessel.</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Six-year charter from December 2011/January 2012 that could be extended to seven years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March 31, 2011 today, Monday, May 16, 2011 at 10:30 a.m. Eastern Time. There are two ways to access the conference call: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(1) Dial-in: (866) 966-9439 or (631) 510-7498; Passcode: 64345551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If you are unable to participate at this time, a replay of the call will be available through Monday, May 30, 2011 at (866) 247-4222 or (631) 510-7499. Enter the code 64345551 to access the audio replay. The webcast will also be archived on the Company’s website: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88" w:right="239" w:bottom="1440" w:gutter="0" w:footer="0" w:header="0"/>
        </w:sectPr>
      </w:pPr>
    </w:p>
    <w:bookmarkStart w:id="7" w:name="page8"/>
    <w:bookmarkEnd w:id="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owns 17 vessels with a total capacity of 66,297 TEU with an average age, weighted by TEU capacity, at March 31, 2011 of 7.1 years. All of the current vessels are fixed on long-term charters to CMA CGM with an average remaining term of 7.8 years, or 9.1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Three</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Mar 31,</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Mar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1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9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w:t>
            </w:r>
          </w:p>
        </w:tc>
        <w:tc>
          <w:tcPr>
            <w:tcW w:w="9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10,839</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323"/>
        </w:trPr>
        <w:tc>
          <w:tcPr>
            <w:tcW w:w="920" w:type="dxa"/>
            <w:vAlign w:val="bottom"/>
            <w:gridSpan w:val="2"/>
          </w:tcPr>
          <w:p>
            <w:pPr>
              <w:spacing w:after="0"/>
              <w:rPr>
                <w:sz w:val="20"/>
                <w:szCs w:val="20"/>
                <w:color w:val="auto"/>
              </w:rPr>
            </w:pPr>
            <w:r>
              <w:rPr>
                <w:rFonts w:ascii="Arial" w:cs="Arial" w:eastAsia="Arial" w:hAnsi="Arial"/>
                <w:sz w:val="18"/>
                <w:szCs w:val="18"/>
                <w:color w:val="auto"/>
              </w:rPr>
              <w:t>Adjust:</w:t>
            </w:r>
          </w:p>
        </w:tc>
        <w:tc>
          <w:tcPr>
            <w:tcW w:w="9100" w:type="dxa"/>
            <w:vAlign w:val="bottom"/>
          </w:tcPr>
          <w:p>
            <w:pPr>
              <w:ind w:left="80"/>
              <w:spacing w:after="0"/>
              <w:rPr>
                <w:sz w:val="20"/>
                <w:szCs w:val="20"/>
                <w:color w:val="auto"/>
              </w:rPr>
            </w:pPr>
            <w:r>
              <w:rPr>
                <w:rFonts w:ascii="Arial" w:cs="Arial" w:eastAsia="Arial" w:hAnsi="Arial"/>
                <w:sz w:val="18"/>
                <w:szCs w:val="18"/>
                <w:color w:val="auto"/>
              </w:rPr>
              <w:t>Depreciation</w:t>
            </w:r>
          </w:p>
        </w:tc>
        <w:tc>
          <w:tcPr>
            <w:tcW w:w="540" w:type="dxa"/>
            <w:vAlign w:val="bottom"/>
          </w:tcPr>
          <w:p>
            <w:pPr>
              <w:jc w:val="right"/>
              <w:spacing w:after="0"/>
              <w:rPr>
                <w:sz w:val="20"/>
                <w:szCs w:val="20"/>
                <w:color w:val="auto"/>
              </w:rPr>
            </w:pPr>
            <w:r>
              <w:rPr>
                <w:rFonts w:ascii="Arial" w:cs="Arial" w:eastAsia="Arial" w:hAnsi="Arial"/>
                <w:sz w:val="18"/>
                <w:szCs w:val="18"/>
                <w:color w:val="auto"/>
              </w:rPr>
              <w:t>9,949</w:t>
            </w:r>
          </w:p>
        </w:tc>
        <w:tc>
          <w:tcPr>
            <w:tcW w:w="22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income</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5,610</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Realized and unrealized (gain) loss on interest rate derivatives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100" w:type="dxa"/>
            <w:vAlign w:val="bottom"/>
          </w:tcPr>
          <w:p>
            <w:pPr>
              <w:ind w:left="80"/>
              <w:spacing w:after="0"/>
              <w:rPr>
                <w:sz w:val="20"/>
                <w:szCs w:val="20"/>
                <w:color w:val="auto"/>
              </w:rPr>
            </w:pPr>
            <w:r>
              <w:rPr>
                <w:rFonts w:ascii="Arial" w:cs="Arial" w:eastAsia="Arial" w:hAnsi="Arial"/>
                <w:sz w:val="18"/>
                <w:szCs w:val="18"/>
                <w:color w:val="auto"/>
              </w:rPr>
              <w:t>Income tax</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9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26,225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 –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Three</w:t>
            </w:r>
          </w:p>
        </w:tc>
        <w:tc>
          <w:tcPr>
            <w:tcW w:w="560" w:type="dxa"/>
            <w:vAlign w:val="bottom"/>
            <w:gridSpan w:val="2"/>
          </w:tcPr>
          <w:p>
            <w:pPr>
              <w:ind w:left="80"/>
              <w:spacing w:after="0"/>
              <w:rPr>
                <w:sz w:val="20"/>
                <w:szCs w:val="20"/>
                <w:color w:val="auto"/>
              </w:rPr>
            </w:pPr>
            <w:r>
              <w:rPr>
                <w:rFonts w:ascii="Arial" w:cs="Arial" w:eastAsia="Arial" w:hAnsi="Arial"/>
                <w:sz w:val="14"/>
                <w:szCs w:val="14"/>
                <w:color w:val="auto"/>
              </w:rPr>
              <w:t>Three</w:t>
            </w:r>
          </w:p>
        </w:tc>
      </w:tr>
      <w:tr>
        <w:trPr>
          <w:trHeight w:val="149"/>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months</w:t>
            </w: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months</w:t>
            </w:r>
          </w:p>
        </w:tc>
      </w:tr>
      <w:tr>
        <w:trPr>
          <w:trHeight w:val="149"/>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ended</w:t>
            </w:r>
          </w:p>
        </w:tc>
        <w:tc>
          <w:tcPr>
            <w:tcW w:w="5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ended</w:t>
            </w:r>
          </w:p>
        </w:tc>
      </w:tr>
      <w:tr>
        <w:trPr>
          <w:trHeight w:val="149"/>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Mar 31,</w:t>
            </w: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Mar 31,</w:t>
            </w:r>
          </w:p>
        </w:tc>
      </w:tr>
      <w:tr>
        <w:trPr>
          <w:trHeight w:val="159"/>
        </w:trPr>
        <w:tc>
          <w:tcPr>
            <w:tcW w:w="20" w:type="dxa"/>
            <w:vAlign w:val="bottom"/>
          </w:tcPr>
          <w:p>
            <w:pPr>
              <w:spacing w:after="0"/>
              <w:rPr>
                <w:sz w:val="13"/>
                <w:szCs w:val="13"/>
                <w:color w:val="auto"/>
              </w:rPr>
            </w:pPr>
          </w:p>
        </w:tc>
        <w:tc>
          <w:tcPr>
            <w:tcW w:w="1008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20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10,839</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3,281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Adjust: Unrealized (gain) loss on derivatives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(4,962)</w:t>
            </w:r>
          </w:p>
        </w:tc>
        <w:tc>
          <w:tcPr>
            <w:tcW w:w="460" w:type="dxa"/>
            <w:vAlign w:val="bottom"/>
          </w:tcPr>
          <w:p>
            <w:pPr>
              <w:ind w:left="80"/>
              <w:spacing w:after="0"/>
              <w:rPr>
                <w:sz w:val="20"/>
                <w:szCs w:val="20"/>
                <w:color w:val="auto"/>
              </w:rPr>
            </w:pPr>
            <w:r>
              <w:rPr>
                <w:rFonts w:ascii="Arial" w:cs="Arial" w:eastAsia="Arial" w:hAnsi="Arial"/>
                <w:sz w:val="18"/>
                <w:szCs w:val="18"/>
                <w:color w:val="auto"/>
                <w:w w:val="79"/>
              </w:rPr>
              <w:t>4,879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8,160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2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265" w:right="239" w:bottom="1440" w:gutter="0" w:footer="0" w:header="0"/>
        </w:sectPr>
      </w:pPr>
    </w:p>
    <w:bookmarkStart w:id="9" w:name="page10"/>
    <w:bookmarkEnd w:id="9"/>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Time charter revenue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39,104</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11,043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22,828</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18,404</w:t>
            </w: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interest rate derivatives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329"/>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60" w:type="dxa"/>
            <w:vAlign w:val="bottom"/>
            <w:gridSpan w:val="2"/>
            <w:vMerge w:val="continue"/>
          </w:tcPr>
          <w:p>
            <w:pPr>
              <w:spacing w:after="0"/>
              <w:rPr>
                <w:sz w:val="24"/>
                <w:szCs w:val="24"/>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47,186,378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47,405,490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46,937,546</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A common share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28,539</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41,476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913,386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922,498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asset – vessel purchase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13,645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930,668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972,144</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17,793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66,332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71,383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478,953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48,000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21,680</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570,273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636,605</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656,458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40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214,000,000 shares with a $0.01 par value;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47,188,978 shares issued and outstanding (2010 – 47,130,467)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472</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20,000,000 shares with a $0.01 par value;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7,405,956 shares issued and outstanding (2010 – 7,405,956)</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351,430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(16,437)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335,539</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972,144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10,839</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Depreciation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(4,962)</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Increase in other receivables and other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other liabilities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19,641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19,505</w:t>
            </w:r>
          </w:p>
        </w:tc>
        <w:tc>
          <w:tcPr>
            <w:tcW w:w="0" w:type="dxa"/>
            <w:vAlign w:val="bottom"/>
          </w:tcPr>
          <w:p>
            <w:pPr>
              <w:spacing w:after="0"/>
              <w:rPr>
                <w:sz w:val="1"/>
                <w:szCs w:val="1"/>
                <w:color w:val="auto"/>
              </w:rPr>
            </w:pPr>
          </w:p>
        </w:tc>
      </w:tr>
      <w:tr>
        <w:trPr>
          <w:trHeight w:val="329"/>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(4,867)</w:t>
            </w:r>
          </w:p>
        </w:tc>
        <w:tc>
          <w:tcPr>
            <w:tcW w:w="0" w:type="dxa"/>
            <w:vAlign w:val="bottom"/>
          </w:tcPr>
          <w:p>
            <w:pPr>
              <w:spacing w:after="0"/>
              <w:rPr>
                <w:sz w:val="1"/>
                <w:szCs w:val="1"/>
                <w:color w:val="auto"/>
              </w:rPr>
            </w:pPr>
          </w:p>
        </w:tc>
      </w:tr>
      <w:tr>
        <w:trPr>
          <w:trHeight w:val="329"/>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(13,816)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(4,092)</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gridSpan w:val="2"/>
            <w:vMerge w:val="continue"/>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(13,816)</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28,360</w:t>
            </w:r>
          </w:p>
        </w:tc>
        <w:tc>
          <w:tcPr>
            <w:tcW w:w="3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28,539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41,356</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02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interest paid during period</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5,374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vMerge w:val="restart"/>
          </w:tcPr>
          <w:p>
            <w:pPr>
              <w:ind w:left="5420"/>
              <w:spacing w:after="0"/>
              <w:rPr>
                <w:sz w:val="20"/>
                <w:szCs w:val="20"/>
                <w:color w:val="auto"/>
              </w:rPr>
            </w:pPr>
            <w:r>
              <w:rPr>
                <w:rFonts w:ascii="Arial" w:cs="Arial" w:eastAsia="Arial" w:hAnsi="Arial"/>
                <w:sz w:val="18"/>
                <w:szCs w:val="18"/>
                <w:color w:val="auto"/>
              </w:rPr>
              <w:t>Page 11</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0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 PERIOD ENDED MARCH 31, 2011</w:t>
      </w:r>
    </w:p>
    <w:p>
      <w:pPr>
        <w:sectPr>
          <w:pgSz w:w="11900" w:h="16838" w:orient="portrait"/>
          <w:cols w:equalWidth="0" w:num="1">
            <w:col w:w="10220"/>
          </w:cols>
          <w:pgMar w:left="14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Note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28,539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receivables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913,386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 – vessel purchase options</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other</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3,586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930,668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972,144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981,022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66,332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478,953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Preferred shares</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21,680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570,273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636,605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600" w:type="dxa"/>
            <w:vAlign w:val="bottom"/>
          </w:tcPr>
          <w:p>
            <w:pPr>
              <w:jc w:val="center"/>
              <w:ind w:left="269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0" w:type="dxa"/>
            <w:vAlign w:val="bottom"/>
          </w:tcPr>
          <w:p>
            <w:pPr>
              <w:jc w:val="center"/>
              <w:ind w:left="2712"/>
              <w:spacing w:after="0"/>
              <w:rPr>
                <w:sz w:val="20"/>
                <w:szCs w:val="20"/>
                <w:color w:val="auto"/>
              </w:rPr>
            </w:pPr>
            <w:r>
              <w:rPr>
                <w:rFonts w:ascii="Arial" w:cs="Arial" w:eastAsia="Arial" w:hAnsi="Arial"/>
                <w:sz w:val="18"/>
                <w:szCs w:val="18"/>
                <w:color w:val="auto"/>
                <w:w w:val="84"/>
              </w:rPr>
              <w:t>Page 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420" w:type="dxa"/>
            <w:vAlign w:val="bottom"/>
            <w:vMerge w:val="restart"/>
          </w:tcPr>
          <w:p>
            <w:pPr>
              <w:jc w:val="right"/>
              <w:ind w:right="139"/>
              <w:spacing w:after="0"/>
              <w:rPr>
                <w:sz w:val="20"/>
                <w:szCs w:val="20"/>
                <w:color w:val="auto"/>
              </w:rPr>
            </w:pPr>
            <w:r>
              <w:rPr>
                <w:rFonts w:ascii="Arial" w:cs="Arial" w:eastAsia="Arial" w:hAnsi="Arial"/>
                <w:sz w:val="14"/>
                <w:szCs w:val="14"/>
                <w:color w:val="auto"/>
              </w:rPr>
              <w:t>Note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8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214,000,000 shares with a $0.01 par value;</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47,188,978 shares issued and outstanding (2010 – 47,130,467)</w:t>
            </w:r>
          </w:p>
        </w:tc>
        <w:tc>
          <w:tcPr>
            <w:tcW w:w="2420" w:type="dxa"/>
            <w:vAlign w:val="bottom"/>
          </w:tcPr>
          <w:p>
            <w:pPr>
              <w:jc w:val="right"/>
              <w:ind w:right="139"/>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 authorized</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20,000,000 shares with a $0.01 par value;</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7,405,956 shares issued and outstanding (2010 – 7,405,956)</w:t>
            </w:r>
          </w:p>
        </w:tc>
        <w:tc>
          <w:tcPr>
            <w:tcW w:w="24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67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351,430</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(16,437)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335,539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324,564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972,144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320" w:type="dxa"/>
            <w:vAlign w:val="bottom"/>
            <w:vMerge w:val="restart"/>
          </w:tcPr>
          <w:p>
            <w:pPr>
              <w:jc w:val="right"/>
              <w:ind w:right="154"/>
              <w:spacing w:after="0"/>
              <w:rPr>
                <w:sz w:val="20"/>
                <w:szCs w:val="20"/>
                <w:color w:val="auto"/>
              </w:rPr>
            </w:pPr>
            <w:r>
              <w:rPr>
                <w:rFonts w:ascii="Arial" w:cs="Arial" w:eastAsia="Arial" w:hAnsi="Arial"/>
                <w:sz w:val="14"/>
                <w:szCs w:val="14"/>
                <w:color w:val="auto"/>
              </w:rPr>
              <w:t>Note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Time charter revenue</w:t>
            </w:r>
          </w:p>
        </w:tc>
        <w:tc>
          <w:tcPr>
            <w:tcW w:w="2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39,104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39,151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11,043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20,747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16,276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18,404</w:t>
            </w: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interest rate derivatives</w:t>
            </w:r>
          </w:p>
        </w:tc>
        <w:tc>
          <w:tcPr>
            <w:tcW w:w="2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(9,274)</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44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10,858</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4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10,839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47,186,378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47,405,490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46,937,546</w:t>
            </w:r>
          </w:p>
        </w:tc>
        <w:tc>
          <w:tcPr>
            <w:tcW w:w="0" w:type="dxa"/>
            <w:vAlign w:val="bottom"/>
          </w:tcPr>
          <w:p>
            <w:pPr>
              <w:spacing w:after="0"/>
              <w:rPr>
                <w:sz w:val="1"/>
                <w:szCs w:val="1"/>
                <w:color w:val="auto"/>
              </w:rPr>
            </w:pPr>
          </w:p>
        </w:tc>
      </w:tr>
      <w:tr>
        <w:trPr>
          <w:trHeight w:val="323"/>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 in $ per Class A common share</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0.23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32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7,405,956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Class B common share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320" w:type="dxa"/>
            <w:vAlign w:val="bottom"/>
          </w:tcPr>
          <w:p>
            <w:pPr>
              <w:jc w:val="right"/>
              <w:ind w:right="154"/>
              <w:spacing w:after="0"/>
              <w:rPr>
                <w:sz w:val="20"/>
                <w:szCs w:val="20"/>
                <w:color w:val="auto"/>
              </w:rPr>
            </w:pPr>
            <w:r>
              <w:rPr>
                <w:rFonts w:ascii="Arial" w:cs="Arial" w:eastAsia="Arial" w:hAnsi="Arial"/>
                <w:sz w:val="18"/>
                <w:szCs w:val="18"/>
                <w:color w:val="auto"/>
              </w:rPr>
              <w:t>12</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900" w:type="dxa"/>
            <w:vAlign w:val="bottom"/>
            <w:gridSpan w:val="2"/>
            <w:vMerge w:val="restart"/>
          </w:tcPr>
          <w:p>
            <w:pPr>
              <w:jc w:val="right"/>
              <w:ind w:right="412"/>
              <w:spacing w:after="0"/>
              <w:rPr>
                <w:sz w:val="20"/>
                <w:szCs w:val="20"/>
                <w:color w:val="auto"/>
              </w:rPr>
            </w:pPr>
            <w:r>
              <w:rPr>
                <w:rFonts w:ascii="Arial" w:cs="Arial" w:eastAsia="Arial" w:hAnsi="Arial"/>
                <w:sz w:val="14"/>
                <w:szCs w:val="14"/>
                <w:color w:val="auto"/>
              </w:rPr>
              <w:t>Note</w:t>
            </w: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10,839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Depreciation</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9,949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Increase in other receivables and other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other liabilities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Unrealized foreign exchange loss</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19,505</w:t>
            </w:r>
          </w:p>
        </w:tc>
        <w:tc>
          <w:tcPr>
            <w:tcW w:w="0" w:type="dxa"/>
            <w:vAlign w:val="bottom"/>
          </w:tcPr>
          <w:p>
            <w:pPr>
              <w:spacing w:after="0"/>
              <w:rPr>
                <w:sz w:val="1"/>
                <w:szCs w:val="1"/>
                <w:color w:val="auto"/>
              </w:rPr>
            </w:pPr>
          </w:p>
        </w:tc>
      </w:tr>
      <w:tr>
        <w:trPr>
          <w:trHeight w:val="32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(837)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32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4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(13,816)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41,356</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6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Total interest paid during period</w:t>
            </w:r>
          </w:p>
        </w:tc>
        <w:tc>
          <w:tcPr>
            <w:tcW w:w="9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5,374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9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jc w:val="center"/>
              <w:ind w:left="26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20" w:type="dxa"/>
            <w:vAlign w:val="bottom"/>
          </w:tcPr>
          <w:p>
            <w:pPr>
              <w:jc w:val="center"/>
              <w:ind w:left="2692"/>
              <w:spacing w:after="0"/>
              <w:rPr>
                <w:sz w:val="20"/>
                <w:szCs w:val="20"/>
                <w:color w:val="auto"/>
              </w:rPr>
            </w:pPr>
            <w:r>
              <w:rPr>
                <w:rFonts w:ascii="Arial" w:cs="Arial" w:eastAsia="Arial" w:hAnsi="Arial"/>
                <w:sz w:val="18"/>
                <w:szCs w:val="18"/>
                <w:color w:val="auto"/>
                <w:w w:val="84"/>
              </w:rPr>
              <w:t>Page 4</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Common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2"/>
              </w:rPr>
              <w:t>at $0.01</w:t>
            </w:r>
          </w:p>
        </w:tc>
        <w:tc>
          <w:tcPr>
            <w:tcW w:w="4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color w:val="auto"/>
                <w:w w:val="87"/>
              </w:rPr>
              <w:t>Common</w:t>
            </w:r>
          </w:p>
        </w:tc>
        <w:tc>
          <w:tcPr>
            <w:tcW w:w="4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4"/>
              </w:rPr>
              <w:t>Par value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line="159" w:lineRule="exact"/>
              <w:rPr>
                <w:sz w:val="20"/>
                <w:szCs w:val="20"/>
                <w:color w:val="auto"/>
              </w:rPr>
            </w:pPr>
            <w:r>
              <w:rPr>
                <w:rFonts w:ascii="Arial" w:cs="Arial" w:eastAsia="Arial" w:hAnsi="Arial"/>
                <w:sz w:val="14"/>
                <w:szCs w:val="14"/>
                <w:color w:val="auto"/>
              </w:rPr>
              <w:t>Stock</w:t>
            </w:r>
          </w:p>
        </w:tc>
        <w:tc>
          <w:tcPr>
            <w:tcW w:w="400" w:type="dxa"/>
            <w:vAlign w:val="bottom"/>
          </w:tcPr>
          <w:p>
            <w:pPr>
              <w:spacing w:after="0"/>
              <w:rPr>
                <w:sz w:val="13"/>
                <w:szCs w:val="13"/>
                <w:color w:val="auto"/>
              </w:rPr>
            </w:pPr>
          </w:p>
        </w:tc>
        <w:tc>
          <w:tcPr>
            <w:tcW w:w="10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54,086,150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$ 350,319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616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54,536,423</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$ 351,295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322"/>
        </w:trPr>
        <w:tc>
          <w:tcPr>
            <w:tcW w:w="616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54,594,934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351,430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(16,437)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335,539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300"/>
        <w:spacing w:after="0" w:line="306"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All vessels in operation are time chartered to CMA CGM S.A. (“CMA CGM”) for remaining terms as at March 31, 2011 ranging from 1.75 to 14.75 years (see note 7). The following table provides information about the 17 vessels chartered to CMA CGM and which are reflected in these interim unaudited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Capacity</w:t>
            </w:r>
          </w:p>
        </w:tc>
        <w:tc>
          <w:tcPr>
            <w:tcW w:w="4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Purchase Date by</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in TEUs</w:t>
            </w:r>
          </w:p>
        </w:tc>
        <w:tc>
          <w:tcPr>
            <w:tcW w:w="4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Duration</w:t>
            </w:r>
          </w:p>
        </w:tc>
        <w:tc>
          <w:tcPr>
            <w:tcW w:w="160" w:type="dxa"/>
            <w:vAlign w:val="bottom"/>
          </w:tcPr>
          <w:p>
            <w:pPr>
              <w:spacing w:after="0"/>
              <w:rPr>
                <w:sz w:val="11"/>
                <w:szCs w:val="11"/>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(1)</w:t>
            </w:r>
          </w:p>
        </w:tc>
        <w:tc>
          <w:tcPr>
            <w:tcW w:w="3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GSL</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line="168" w:lineRule="exact"/>
              <w:rPr>
                <w:sz w:val="20"/>
                <w:szCs w:val="20"/>
                <w:color w:val="auto"/>
              </w:rPr>
            </w:pPr>
            <w:r>
              <w:rPr>
                <w:rFonts w:ascii="Arial" w:cs="Arial" w:eastAsia="Arial" w:hAnsi="Arial"/>
                <w:sz w:val="12"/>
                <w:szCs w:val="12"/>
                <w:b w:val="1"/>
                <w:bCs w:val="1"/>
                <w:color w:val="auto"/>
                <w:w w:val="96"/>
              </w:rPr>
              <w:t xml:space="preserve">(years) </w:t>
            </w:r>
            <w:r>
              <w:rPr>
                <w:rFonts w:ascii="Arial" w:cs="Arial" w:eastAsia="Arial" w:hAnsi="Arial"/>
                <w:sz w:val="19"/>
                <w:szCs w:val="19"/>
                <w:b w:val="1"/>
                <w:bCs w:val="1"/>
                <w:color w:val="auto"/>
                <w:w w:val="96"/>
                <w:vertAlign w:val="superscript"/>
              </w:rPr>
              <w:t>(2)</w:t>
            </w:r>
          </w:p>
        </w:tc>
        <w:tc>
          <w:tcPr>
            <w:tcW w:w="1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1999</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1999</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2003</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2002</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2007</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2007</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10,960</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2008</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11.75</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11.75</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2006</w:t>
            </w: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11.75</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2001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2009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 at March 31, 2011</w:t>
      </w:r>
    </w:p>
    <w:p>
      <w:pPr>
        <w:spacing w:after="0" w:line="83" w:lineRule="exact"/>
        <w:rPr>
          <w:rFonts w:ascii="Arial" w:cs="Arial" w:eastAsia="Arial" w:hAnsi="Arial"/>
          <w:sz w:val="18"/>
          <w:szCs w:val="18"/>
          <w:i w:val="1"/>
          <w:iCs w:val="1"/>
          <w:color w:val="auto"/>
        </w:rPr>
      </w:pPr>
    </w:p>
    <w:p>
      <w:pPr>
        <w:ind w:left="460" w:right="40"/>
        <w:spacing w:after="0" w:line="294" w:lineRule="auto"/>
        <w:rPr>
          <w:rFonts w:ascii="Arial" w:cs="Arial" w:eastAsia="Arial" w:hAnsi="Arial"/>
          <w:sz w:val="18"/>
          <w:szCs w:val="18"/>
          <w:i w:val="1"/>
          <w:iCs w:val="1"/>
          <w:color w:val="auto"/>
        </w:rPr>
      </w:pPr>
      <w:r>
        <w:rPr>
          <w:rFonts w:ascii="Arial" w:cs="Arial" w:eastAsia="Arial" w:hAnsi="Arial"/>
          <w:sz w:val="16"/>
          <w:szCs w:val="16"/>
          <w:color w:val="auto"/>
        </w:rPr>
        <w:t>On November 8, 2010 the Company acquired purchase options giving it the right, but not the obligation, to purchase two vessels from German interests, on the first anniversary of their delivery by the builders to the sellers, for a payment of $61,250 per vessel. The purchase options are to be exercised no later than 270 days after the delivery of the vessels (one of which was in December 2010 and the other in January 2011) by the builders to the sellers. If the Company does not exercise a purchase option, the Company has no further liability. The charters to ZIM, subject to charterers consent to change of ownership of the vessels, will be for a remaining period of six years which could be extended for a further year at ZIM’s option (see notes 5 and 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Capacity</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Potential</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Charter</w:t>
            </w:r>
          </w:p>
        </w:tc>
        <w:tc>
          <w:tcPr>
            <w:tcW w:w="1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520" w:type="dxa"/>
            <w:vAlign w:val="bottom"/>
          </w:tcPr>
          <w:p>
            <w:pPr>
              <w:jc w:val="right"/>
              <w:ind w:right="125"/>
              <w:spacing w:after="0" w:line="135" w:lineRule="exact"/>
              <w:rPr>
                <w:sz w:val="20"/>
                <w:szCs w:val="20"/>
                <w:color w:val="auto"/>
              </w:rPr>
            </w:pPr>
            <w:r>
              <w:rPr>
                <w:rFonts w:ascii="Arial" w:cs="Arial" w:eastAsia="Arial" w:hAnsi="Arial"/>
                <w:sz w:val="14"/>
                <w:szCs w:val="14"/>
                <w:b w:val="1"/>
                <w:bCs w:val="1"/>
                <w:color w:val="auto"/>
              </w:rPr>
              <w:t>in</w:t>
            </w:r>
          </w:p>
        </w:tc>
        <w:tc>
          <w:tcPr>
            <w:tcW w:w="3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4"/>
                <w:szCs w:val="14"/>
                <w:b w:val="1"/>
                <w:bCs w:val="1"/>
                <w:color w:val="auto"/>
              </w:rPr>
              <w:t>Year</w:t>
            </w:r>
          </w:p>
        </w:tc>
        <w:tc>
          <w:tcPr>
            <w:tcW w:w="3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Delivery Date to</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Duration</w:t>
            </w:r>
          </w:p>
        </w:tc>
        <w:tc>
          <w:tcPr>
            <w:tcW w:w="1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2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TEUs </w:t>
            </w:r>
            <w:r>
              <w:rPr>
                <w:rFonts w:ascii="Arial" w:cs="Arial" w:eastAsia="Arial" w:hAnsi="Arial"/>
                <w:sz w:val="20"/>
                <w:szCs w:val="20"/>
                <w:b w:val="1"/>
                <w:bCs w:val="1"/>
                <w:color w:val="auto"/>
                <w:w w:val="90"/>
                <w:vertAlign w:val="superscript"/>
              </w:rPr>
              <w:t>(1)</w:t>
            </w:r>
          </w:p>
        </w:tc>
        <w:tc>
          <w:tcPr>
            <w:tcW w:w="30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Built</w:t>
            </w:r>
          </w:p>
        </w:tc>
        <w:tc>
          <w:tcPr>
            <w:tcW w:w="3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GSL</w:t>
            </w:r>
          </w:p>
        </w:tc>
        <w:tc>
          <w:tcPr>
            <w:tcW w:w="2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Charterer</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(years)</w:t>
            </w:r>
          </w:p>
        </w:tc>
        <w:tc>
          <w:tcPr>
            <w:tcW w:w="1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ZIM 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4"/>
              </w:rPr>
              <w:t>2010</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December 2011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ZIM</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(2)</w:t>
            </w:r>
          </w:p>
        </w:tc>
        <w:tc>
          <w:tcPr>
            <w:tcW w:w="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ZIM Texas</w:t>
            </w:r>
          </w:p>
        </w:tc>
        <w:tc>
          <w:tcPr>
            <w:tcW w:w="520" w:type="dxa"/>
            <w:vAlign w:val="bottom"/>
          </w:tcPr>
          <w:p>
            <w:pPr>
              <w:jc w:val="right"/>
              <w:spacing w:after="0"/>
              <w:rPr>
                <w:sz w:val="20"/>
                <w:szCs w:val="20"/>
                <w:color w:val="auto"/>
              </w:rPr>
            </w:pPr>
            <w:r>
              <w:rPr>
                <w:rFonts w:ascii="Arial" w:cs="Arial" w:eastAsia="Arial" w:hAnsi="Arial"/>
                <w:sz w:val="18"/>
                <w:szCs w:val="18"/>
                <w:color w:val="auto"/>
              </w:rPr>
              <w:t>4,250</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w w:val="84"/>
              </w:rPr>
              <w:t>2011</w:t>
            </w:r>
          </w:p>
        </w:tc>
        <w:tc>
          <w:tcPr>
            <w:tcW w:w="3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2012</w:t>
            </w:r>
          </w:p>
        </w:tc>
        <w:tc>
          <w:tcPr>
            <w:tcW w:w="2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ZIM</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r>
              <w:rPr>
                <w:rFonts w:ascii="Arial" w:cs="Arial" w:eastAsia="Arial" w:hAnsi="Arial"/>
                <w:sz w:val="11"/>
                <w:szCs w:val="11"/>
                <w:color w:val="auto"/>
              </w:rPr>
              <w:t>(2)</w:t>
            </w:r>
          </w:p>
        </w:tc>
        <w:tc>
          <w:tcPr>
            <w:tcW w:w="70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Six years charter that could be extended to seven years at Charterer’s option.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left="452" w:right="360"/>
        <w:spacing w:after="0" w:line="259"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vessel deliveries.</w:t>
      </w:r>
    </w:p>
    <w:p>
      <w:pPr>
        <w:spacing w:after="0" w:line="59" w:lineRule="exact"/>
        <w:rPr>
          <w:sz w:val="20"/>
          <w:szCs w:val="20"/>
          <w:color w:val="auto"/>
        </w:rPr>
      </w:pPr>
    </w:p>
    <w:p>
      <w:pPr>
        <w:ind w:left="452" w:right="140"/>
        <w:spacing w:after="0" w:line="294" w:lineRule="auto"/>
        <w:rPr>
          <w:sz w:val="20"/>
          <w:szCs w:val="20"/>
          <w:color w:val="auto"/>
        </w:rPr>
      </w:pPr>
      <w:r>
        <w:rPr>
          <w:rFonts w:ascii="Arial" w:cs="Arial" w:eastAsia="Arial" w:hAnsi="Arial"/>
          <w:sz w:val="16"/>
          <w:szCs w:val="16"/>
          <w:color w:val="auto"/>
        </w:rPr>
        <w:t>On January 28, 2011 CMA CGM further announced that, in accordance with agreements signed on November 25, 2010 between it and Yildirim Group of Turkey, it had issued $500 million in Redeemable Bonds, all of which were subscribed by the Yildirim Group. CMA CGM reported that this investment enables it to sustainably strengthen its balance sheet and secure its investment plan, while providing additional funds to support expansion. Further, CMA CGM has recently placed $475m of dollar-denominated senior notes that mature in 2017 with a coupon of 8.500%, and €325m of 8.875% euro-denominated senior notes that mature in 2019. The Company has not been involved in any of these matters.</w:t>
      </w:r>
    </w:p>
    <w:p>
      <w:pPr>
        <w:spacing w:after="0" w:line="35" w:lineRule="exact"/>
        <w:rPr>
          <w:sz w:val="20"/>
          <w:szCs w:val="20"/>
          <w:color w:val="auto"/>
        </w:rPr>
      </w:pPr>
    </w:p>
    <w:p>
      <w:pPr>
        <w:ind w:left="452" w:right="360"/>
        <w:spacing w:after="0" w:line="268" w:lineRule="auto"/>
        <w:rPr>
          <w:sz w:val="20"/>
          <w:szCs w:val="20"/>
          <w:color w:val="auto"/>
        </w:rPr>
      </w:pPr>
      <w:r>
        <w:rPr>
          <w:rFonts w:ascii="Arial" w:cs="Arial" w:eastAsia="Arial" w:hAnsi="Arial"/>
          <w:sz w:val="18"/>
          <w:szCs w:val="18"/>
          <w:color w:val="auto"/>
        </w:rPr>
        <w:t>CMA CGM has represented to the Company that with the recent bond issue, it has substantially completed its financial restructuring and consequently these financial statements have been prepared on a going concern basis.</w:t>
      </w:r>
    </w:p>
    <w:p>
      <w:pPr>
        <w:spacing w:after="0" w:line="51" w:lineRule="exact"/>
        <w:rPr>
          <w:sz w:val="20"/>
          <w:szCs w:val="20"/>
          <w:color w:val="auto"/>
        </w:rPr>
      </w:pPr>
    </w:p>
    <w:p>
      <w:pPr>
        <w:ind w:left="452" w:right="80"/>
        <w:spacing w:after="0" w:line="332"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two instalments have been outstanding during 2011. Under the charter contracts charterhire is due to be paid every 15 days in advance on the 1st and 16th of each month.</w:t>
      </w:r>
    </w:p>
    <w:p>
      <w:pPr>
        <w:spacing w:after="0" w:line="4"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As at March 31, 2011, one period of charterhire, due on March 16, 2011, was outstanding amounting to $6,770. This was received in April 2011. As at close of business on May 13, 2011, the latest practicable date prior to the issuance of these interim unaudited consolidated financial statements, charterhire due on May 1, 2011 totalling $6,442 was outstanding.</w:t>
      </w:r>
    </w:p>
    <w:p>
      <w:pPr>
        <w:spacing w:after="0" w:line="256"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2009 filed with the Securities and Exchange Commission on September 16, 2010 in the Company’s Annual Report on Form 20-F.</w:t>
      </w:r>
    </w:p>
    <w:p>
      <w:pPr>
        <w:spacing w:after="0" w:line="1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2010, the Financial Accounting Standards Board (“FASB”) issued an additional accounting pronouncement that amended certain requirements for subsequent events (FASB ASC Topic 855), which requires an SEC filer to evaluate subsequent events through the date the financial statements are available to be issued and removes the previous requirement to disclose the date through which subsequent events have been evaluated. The amendments were effective on issuance of the final pronouncement. The adoption of this pronouncement had no effect on the interim unaudited consolidated financial statements of the Company.</w:t>
      </w:r>
    </w:p>
    <w:p>
      <w:pPr>
        <w:spacing w:after="0" w:line="61" w:lineRule="exact"/>
        <w:rPr>
          <w:rFonts w:ascii="Arial" w:cs="Arial" w:eastAsia="Arial" w:hAnsi="Arial"/>
          <w:sz w:val="18"/>
          <w:szCs w:val="18"/>
          <w:b w:val="1"/>
          <w:bCs w:val="1"/>
          <w:color w:val="auto"/>
        </w:rPr>
      </w:pPr>
    </w:p>
    <w:p>
      <w:pPr>
        <w:ind w:left="452"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392"/>
          </w:cols>
          <w:pgMar w:left="248" w:top="274"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8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$1,007,875</w:t>
            </w: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$1,008,330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100" w:type="dxa"/>
            <w:vAlign w:val="bottom"/>
            <w:gridSpan w:val="5"/>
          </w:tcPr>
          <w:p>
            <w:pPr>
              <w:jc w:val="right"/>
              <w:ind w:right="240"/>
              <w:spacing w:after="0"/>
              <w:rPr>
                <w:sz w:val="20"/>
                <w:szCs w:val="20"/>
                <w:color w:val="auto"/>
              </w:rPr>
            </w:pPr>
            <w:r>
              <w:rPr>
                <w:rFonts w:ascii="Arial" w:cs="Arial" w:eastAsia="Arial" w:hAnsi="Arial"/>
                <w:sz w:val="18"/>
                <w:szCs w:val="18"/>
                <w:color w:val="auto"/>
              </w:rPr>
              <w:t>(95,326)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(85,832)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52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  913,386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922,498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55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0" w:type="dxa"/>
            <w:vAlign w:val="bottom"/>
            <w:vMerge w:val="continue"/>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8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Vessel purchase options</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Software development</w:t>
            </w:r>
          </w:p>
        </w:tc>
        <w:tc>
          <w:tcPr>
            <w:tcW w:w="2200" w:type="dxa"/>
            <w:vAlign w:val="bottom"/>
            <w:gridSpan w:val="2"/>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$ 13,687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On November 8, 2010, the Company signed agreements with the sellers of the two 4,250 TEU newbuildings to terminate the Company’s obligations to purchase the vessels and granted the Company options to purchase the vessels. The intangible assets relating to these purchase options are the fair value of the purchase options on the date of the agreement. These intangible assets will be amortised from the date of acquisition of the vessels. If the purchase options are not exercised, the intangible assets will be written off (see notes 2(a) and 8).</w:t>
      </w:r>
    </w:p>
    <w:p>
      <w:pPr>
        <w:spacing w:after="0" w:line="22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August 20, 2009, the Company amended the terms of the credit facility. Under the revised terms, the loan to value covenant (being the ratio of the balance outstanding on the credit facility to the aggregate charter free market value of the secured vessels) was waived up to and including November 30, 2010 with the next loan to value test scheduled for April 30, 2011 and all undrawn commitments were cancelled.</w:t>
      </w:r>
    </w:p>
    <w:p>
      <w:pPr>
        <w:spacing w:after="0" w:line="25"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Amounts borrowed under the amended credit facility during the waiver period bore interest at U.S. dollar Libor plus a margin of 3.50%. Thereafter, the margin will be between 2.50% and 3.50% depending on the loan to value, to be determined at the end of April, May, August and November each year with updated valuations to be obtained for the tests at the end of April and November.</w:t>
      </w:r>
    </w:p>
    <w:p>
      <w:pPr>
        <w:spacing w:after="0" w:line="59"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Commencing June 30, 2010 the balance of borrowings under the credit facility was repaid quarterly in an amount equal to free cash in excess of $20,000 determined as at the previous month end subject to a minimum of $40,000 repayment a year on a rolling 12 month trailing basis. On this basis, repayments of the credit facility were made in the year ended December 31, 2010 amounting to $51,330. A further repayment was made on March 31, 2011 amounting to $13,816. As of April 30, 2011 loan to value was less than 75% and greater than 65%. Under the terms of the credit facility, when loan to value is less than 75% and greater than 65% (i) interest margin paid on borrowings decreases to 3.00% from 3.50% (ii) the cash sweep mechanism to prepay borrowings no longer applies and prepayments of borrowings become fixed at $10 million per quarter and (iii) the Company is able to make dividend payments to common shareholders.</w:t>
      </w:r>
    </w:p>
    <w:p>
      <w:pPr>
        <w:spacing w:after="0" w:line="6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jc w:val="both"/>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17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4"/>
                <w:szCs w:val="14"/>
                <w:color w:val="auto"/>
              </w:rPr>
            </w:pPr>
          </w:p>
        </w:tc>
        <w:tc>
          <w:tcPr>
            <w:tcW w:w="1240" w:type="dxa"/>
            <w:vAlign w:val="bottom"/>
            <w:gridSpan w:val="6"/>
          </w:tcPr>
          <w:p>
            <w:pPr>
              <w:ind w:left="360"/>
              <w:spacing w:after="0"/>
              <w:rPr>
                <w:sz w:val="20"/>
                <w:szCs w:val="20"/>
                <w:color w:val="auto"/>
              </w:rPr>
            </w:pPr>
            <w:r>
              <w:rPr>
                <w:rFonts w:ascii="Arial" w:cs="Arial" w:eastAsia="Arial" w:hAnsi="Arial"/>
                <w:sz w:val="14"/>
                <w:szCs w:val="14"/>
                <w:color w:val="auto"/>
                <w:w w:val="97"/>
              </w:rPr>
              <w:t>December 31,</w:t>
            </w:r>
          </w:p>
        </w:tc>
      </w:tr>
      <w:tr>
        <w:trPr>
          <w:trHeight w:val="175"/>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3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5"/>
                <w:szCs w:val="15"/>
                <w:color w:val="auto"/>
              </w:rPr>
            </w:pPr>
          </w:p>
        </w:tc>
      </w:tr>
      <w:tr>
        <w:trPr>
          <w:trHeight w:val="216"/>
        </w:trPr>
        <w:tc>
          <w:tcPr>
            <w:tcW w:w="9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at Libor USD + 2.50% to 3.50%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$ 518,953</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532,769</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Less current instalments of long-term debt</w:t>
            </w:r>
          </w:p>
        </w:tc>
        <w:tc>
          <w:tcPr>
            <w:tcW w:w="16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(44,500)</w:t>
            </w: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478,953</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488,269</w:t>
            </w:r>
          </w:p>
        </w:tc>
        <w:tc>
          <w:tcPr>
            <w:tcW w:w="120" w:type="dxa"/>
            <w:vAlign w:val="bottom"/>
            <w:shd w:val="clear" w:color="auto" w:fill="CCEEFF"/>
          </w:tcPr>
          <w:p>
            <w:pPr>
              <w:spacing w:after="0"/>
              <w:rPr>
                <w:sz w:val="18"/>
                <w:szCs w:val="18"/>
                <w:color w:val="auto"/>
              </w:rPr>
            </w:pPr>
          </w:p>
        </w:tc>
      </w:tr>
      <w:tr>
        <w:trPr>
          <w:trHeight w:val="20"/>
        </w:trPr>
        <w:tc>
          <w:tcPr>
            <w:tcW w:w="1380" w:type="dxa"/>
            <w:vAlign w:val="bottom"/>
            <w:gridSpan w:val="2"/>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1"/>
        </w:trPr>
        <w:tc>
          <w:tcPr>
            <w:tcW w:w="8300" w:type="dxa"/>
            <w:vAlign w:val="bottom"/>
            <w:gridSpan w:val="6"/>
          </w:tcPr>
          <w:p>
            <w:pPr>
              <w:jc w:val="right"/>
              <w:ind w:right="140"/>
              <w:spacing w:after="0"/>
              <w:rPr>
                <w:sz w:val="20"/>
                <w:szCs w:val="20"/>
                <w:color w:val="auto"/>
              </w:rPr>
            </w:pPr>
            <w:r>
              <w:rPr>
                <w:rFonts w:ascii="Arial" w:cs="Arial" w:eastAsia="Arial" w:hAnsi="Arial"/>
                <w:sz w:val="18"/>
                <w:szCs w:val="18"/>
                <w:color w:val="auto"/>
                <w:w w:val="87"/>
              </w:rPr>
              <w:t>Based on loan to value being less than 75%, the estimated repayments in each of the relevant periods are as follows: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496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ending March 31,</w:t>
            </w: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80" w:type="dxa"/>
            <w:vAlign w:val="bottom"/>
            <w:gridSpan w:val="2"/>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2013</w:t>
            </w: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2015</w:t>
            </w: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380" w:type="dxa"/>
            <w:vAlign w:val="bottom"/>
            <w:gridSpan w:val="2"/>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1380" w:type="dxa"/>
            <w:vAlign w:val="bottom"/>
            <w:gridSpan w:val="2"/>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2017</w:t>
            </w: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318,953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 xml:space="preserve"> 518,953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CMA CGM is presented as a related party as it was, until the merger, the parent company of Global Ship Lease, Inc. and at March 31, 2011 is a significant shareholder of the Company, owning Class A and Class B common shares representing a 45% voting interest in the Company.</w:t>
      </w:r>
    </w:p>
    <w:p>
      <w:pPr>
        <w:spacing w:after="0" w:line="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9"/>
              </w:rPr>
              <w:t>March 31,</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1,463</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7,318</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7,318</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60"/>
        <w:spacing w:after="0" w:line="332" w:lineRule="auto"/>
        <w:rPr>
          <w:sz w:val="20"/>
          <w:szCs w:val="20"/>
          <w:color w:val="auto"/>
        </w:rPr>
      </w:pPr>
      <w:r>
        <w:rPr>
          <w:rFonts w:ascii="Arial" w:cs="Arial" w:eastAsia="Arial" w:hAnsi="Arial"/>
          <w:sz w:val="16"/>
          <w:szCs w:val="16"/>
          <w:color w:val="auto"/>
        </w:rPr>
        <w:t>CMA CGM charters all of the Company’s operating vessels and one of its subsidiaries provides the Company with ship management services. The current account balances at March 31, 2011 and December 31, 2010 relate to amounts payable to or recoverable from CMA CGM group companies.</w:t>
      </w:r>
    </w:p>
    <w:p>
      <w:pPr>
        <w:spacing w:after="0" w:line="4" w:lineRule="exact"/>
        <w:rPr>
          <w:sz w:val="20"/>
          <w:szCs w:val="20"/>
          <w:color w:val="auto"/>
        </w:rPr>
      </w:pPr>
    </w:p>
    <w:p>
      <w:pPr>
        <w:ind w:left="452" w:right="34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three months ended March 31, 2011, the Company paid CMA CGM dividends of $276 (2010: $271).</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72"/>
          </w:cols>
          <w:pgMar w:left="248" w:top="274" w:right="279" w:bottom="1440" w:gutter="0" w:footer="0" w:header="0"/>
        </w:sectPr>
      </w:pPr>
    </w:p>
    <w:bookmarkStart w:id="23" w:name="page24"/>
    <w:bookmarkEnd w:id="23"/>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(continued)</w:t>
      </w:r>
    </w:p>
    <w:p>
      <w:pPr>
        <w:spacing w:after="0" w:line="157"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Time Charter Agreements</w:t>
      </w:r>
    </w:p>
    <w:p>
      <w:pPr>
        <w:spacing w:after="0" w:line="96" w:lineRule="exact"/>
        <w:rPr>
          <w:rFonts w:ascii="Arial" w:cs="Arial" w:eastAsia="Arial" w:hAnsi="Arial"/>
          <w:sz w:val="18"/>
          <w:szCs w:val="18"/>
          <w:b w:val="1"/>
          <w:bCs w:val="1"/>
          <w:color w:val="auto"/>
        </w:rPr>
      </w:pPr>
    </w:p>
    <w:p>
      <w:pPr>
        <w:jc w:val="both"/>
        <w:ind w:left="452" w:right="1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All of the Company’s vessels are time chartered to CMA CGM. Under each of the time charters, hire is paid in advance and the daily rate is fixed for the duration of the charter. The charters are for remaining periods as at March 31, 2011 of between 1.75 and 14.75 years. Of the $1,443,954 maximum future charter hire receivable for the total fleet set out in note 8 (including for two vessels subject to purchase option agreements (see note 8) and to be chartered to ZIM, a company not related to CMA CGM), $1,321,202 relates to the 17 ships currently chartered to CMA CGM.</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Ship Management Agreements</w:t>
      </w:r>
    </w:p>
    <w:p>
      <w:pPr>
        <w:spacing w:after="0" w:line="96" w:lineRule="exact"/>
        <w:rPr>
          <w:rFonts w:ascii="Arial" w:cs="Arial" w:eastAsia="Arial" w:hAnsi="Arial"/>
          <w:sz w:val="18"/>
          <w:szCs w:val="18"/>
          <w:b w:val="1"/>
          <w:bCs w:val="1"/>
          <w:color w:val="auto"/>
        </w:rPr>
      </w:pPr>
    </w:p>
    <w:p>
      <w:pPr>
        <w:ind w:left="452"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outsources day to day technical management of its 17 vessels in operation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three months ended March 31, 2011 amounted to $485 (2010: $485).</w:t>
      </w:r>
    </w:p>
    <w:p>
      <w:pPr>
        <w:spacing w:after="0" w:line="3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286" w:lineRule="exact"/>
        <w:rPr>
          <w:rFonts w:ascii="Arial" w:cs="Arial" w:eastAsia="Arial" w:hAnsi="Arial"/>
          <w:sz w:val="18"/>
          <w:szCs w:val="18"/>
          <w:b w:val="1"/>
          <w:bCs w:val="1"/>
          <w:color w:val="auto"/>
        </w:rPr>
      </w:pPr>
    </w:p>
    <w:p>
      <w:pPr>
        <w:ind w:left="452" w:right="8440" w:hanging="452"/>
        <w:spacing w:after="0" w:line="417" w:lineRule="auto"/>
        <w:tabs>
          <w:tab w:leader="none" w:pos="441"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Vessel Purchase Options</w:t>
      </w:r>
    </w:p>
    <w:p>
      <w:pPr>
        <w:ind w:left="452"/>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On November 8, 2010 the Company acquired purchase options giving it the right, but not the obligation, to purchase two vessels from German interests, on the first anniversary of their delivery by the builders to the sellers, for a payment of $61,250 per vessel. The purchase options are to be exercised no later than 270 days after the delivery of the vessels (one of which was in December 2010 and the other in January 2011) by the builders to the sellers. If the Company does not exercise a purchase option, the Company has no further liability. The charters to ZIM, subject to charterers consent to change of ownership of the vessels, will be for a remaining period of six years which could be extended for a further year at ZIM’s option (see notes 2(a) and 5).</w:t>
      </w:r>
    </w:p>
    <w:p>
      <w:pPr>
        <w:spacing w:after="0" w:line="28"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ind w:left="452"/>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long term time charters for its vessels in operation at March 31, 2011. The charter hire (including that relating to vessels due for delivery in 2011 and 2012, assuming the Company’s purchase options are exercised), is fixed for the duration of the charter. The charters for the vessels in operation were originally for periods of between five and 17 years and the maximum future annual charter hire receivable for the fleet of 17 vessels as at March 31, 2011 and for the total contracted fleet of 19 vessels, taking account of actual or anticipated delivery dates and before allowance for any off-hire periods, is as follows:</w:t>
      </w:r>
    </w:p>
    <w:p>
      <w:pPr>
        <w:spacing w:after="0" w:line="167"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Fleet operated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440" w:type="dxa"/>
            <w:vAlign w:val="bottom"/>
            <w:gridSpan w:val="3"/>
          </w:tcPr>
          <w:p>
            <w:pPr>
              <w:ind w:left="2540"/>
              <w:spacing w:after="0" w:line="149" w:lineRule="exact"/>
              <w:rPr>
                <w:sz w:val="20"/>
                <w:szCs w:val="20"/>
                <w:color w:val="auto"/>
              </w:rPr>
            </w:pPr>
            <w:r>
              <w:rPr>
                <w:rFonts w:ascii="Arial" w:cs="Arial" w:eastAsia="Arial" w:hAnsi="Arial"/>
                <w:sz w:val="14"/>
                <w:szCs w:val="14"/>
                <w:b w:val="1"/>
                <w:bCs w:val="1"/>
                <w:color w:val="auto"/>
                <w:w w:val="87"/>
              </w:rPr>
              <w:t>as at March 31,</w:t>
            </w:r>
          </w:p>
        </w:tc>
        <w:tc>
          <w:tcPr>
            <w:tcW w:w="5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Total fleet to</w:t>
            </w:r>
          </w:p>
        </w:tc>
        <w:tc>
          <w:tcPr>
            <w:tcW w:w="0" w:type="dxa"/>
            <w:vAlign w:val="bottom"/>
          </w:tcPr>
          <w:p>
            <w:pPr>
              <w:spacing w:after="0"/>
              <w:rPr>
                <w:sz w:val="1"/>
                <w:szCs w:val="1"/>
                <w:color w:val="auto"/>
              </w:rPr>
            </w:pPr>
          </w:p>
        </w:tc>
      </w:tr>
      <w:tr>
        <w:trPr>
          <w:trHeight w:val="174"/>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Year ending March 31,</w:t>
            </w: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be operated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68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2013</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150,943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2015</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604,845</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254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1,321,202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1,443,954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4" w:name="page25"/>
    <w:bookmarkEnd w:id="24"/>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At March 31, 2011,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w:t>
      </w:r>
    </w:p>
    <w:p>
      <w:pPr>
        <w:spacing w:after="0" w:line="62" w:lineRule="exact"/>
        <w:rPr>
          <w:rFonts w:ascii="Arial" w:cs="Arial" w:eastAsia="Arial" w:hAnsi="Arial"/>
          <w:sz w:val="18"/>
          <w:szCs w:val="18"/>
          <w:b w:val="1"/>
          <w:bCs w:val="1"/>
          <w:color w:val="auto"/>
        </w:rPr>
      </w:pPr>
    </w:p>
    <w:p>
      <w:pPr>
        <w:ind w:left="4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right="12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shares holders are entitled to be paid is presented as part of interest expense.</w:t>
      </w: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addition to the outstanding Class A and B common shares and the Series A Preferred shares, there were 39,531,348 Public Warrants which gave the holder the right to purchase one Class A common share at a price of $6, and which expired on August 24, 2010. There were 5,500,000 Sponsor Warrants which had similar terms to the Public Warrants except that the exercise had to be on a cashless basis, and these also expired on August 24, 2010. Further, there are 6,188,088 Class A Warrants outstanding which expire on September 1, 2013 and give the holders the right to purchase one Class A common share at a price of $9.25.</w:t>
      </w:r>
    </w:p>
    <w:p>
      <w:pPr>
        <w:spacing w:after="0" w:line="61" w:lineRule="exact"/>
        <w:rPr>
          <w:rFonts w:ascii="Arial" w:cs="Arial" w:eastAsia="Arial" w:hAnsi="Arial"/>
          <w:sz w:val="18"/>
          <w:szCs w:val="18"/>
          <w:b w:val="1"/>
          <w:bCs w:val="1"/>
          <w:color w:val="auto"/>
        </w:rPr>
      </w:pPr>
    </w:p>
    <w:p>
      <w:pPr>
        <w:ind w:left="452" w:right="4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As at March 31, 2011, total proceeds received in 2008 from the exercise of Public Warrants prior to the warrant expiry on 24 August 2010, were $3,027 (December 31, 2010: $3,027). Such funds were to be used to redeem the Series A Preferred shares, with a minimum redemption amount of $5,000. As this threshold has not been reached, none of the preferred shares have been redeemed and the funds remain classified as restricted cash in the balance sheet.</w:t>
      </w:r>
    </w:p>
    <w:p>
      <w:pPr>
        <w:spacing w:after="0" w:line="203" w:lineRule="exact"/>
        <w:rPr>
          <w:rFonts w:ascii="Arial" w:cs="Arial" w:eastAsia="Arial" w:hAnsi="Arial"/>
          <w:sz w:val="18"/>
          <w:szCs w:val="18"/>
          <w:b w:val="1"/>
          <w:bCs w:val="1"/>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As of March 31, 2011 a total of $580,000 of debt has been swapped into fixed rate debt at a weighted average rate of 3.59%.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Realized gains or losses from interest rate derivatives are recognized in the statement of income together with cash settlements. In addition, the interest rate derivatives are “marked to market” each reporting period to determine the fair values which generate unrealized gains or losses. The unrealized gain on interest rate derivatives for the three months ended March 31, 2011 was $4,962 (2010: loss of $4,879).</w:t>
      </w:r>
    </w:p>
    <w:p>
      <w:pPr>
        <w:spacing w:after="0" w:line="25" w:lineRule="exact"/>
        <w:rPr>
          <w:rFonts w:ascii="Arial" w:cs="Arial" w:eastAsia="Arial" w:hAnsi="Arial"/>
          <w:sz w:val="18"/>
          <w:szCs w:val="18"/>
          <w:b w:val="1"/>
          <w:bCs w:val="1"/>
          <w:color w:val="auto"/>
        </w:rPr>
      </w:pPr>
    </w:p>
    <w:p>
      <w:pPr>
        <w:ind w:left="452"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March 31, 2011, these derivatives represented a liability of $39,473 (December 31, 2010: $44,435).</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72"/>
          </w:cols>
          <w:pgMar w:left="248" w:top="274" w:right="279" w:bottom="1440" w:gutter="0" w:footer="0" w:header="0"/>
        </w:sectPr>
      </w:pPr>
    </w:p>
    <w:bookmarkStart w:id="25" w:name="page26"/>
    <w:bookmarkEnd w:id="2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200" w:lineRule="exact"/>
        <w:rPr>
          <w:sz w:val="20"/>
          <w:szCs w:val="20"/>
          <w:color w:val="auto"/>
        </w:rPr>
      </w:pPr>
    </w:p>
    <w:p>
      <w:pPr>
        <w:spacing w:after="0" w:line="235"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w w:val="85"/>
              </w:rPr>
              <w:t>Restricted Stock Units</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2220" w:type="dxa"/>
            <w:vAlign w:val="bottom"/>
            <w:gridSpan w:val="4"/>
            <w:shd w:val="clear" w:color="auto" w:fill="CCEEFF"/>
          </w:tcPr>
          <w:p>
            <w:pPr>
              <w:jc w:val="right"/>
              <w:ind w:right="820"/>
              <w:spacing w:after="0" w:line="142" w:lineRule="exact"/>
              <w:rPr>
                <w:sz w:val="20"/>
                <w:szCs w:val="20"/>
                <w:color w:val="auto"/>
              </w:rPr>
            </w:pPr>
            <w:r>
              <w:rPr>
                <w:rFonts w:ascii="Arial" w:cs="Arial" w:eastAsia="Arial" w:hAnsi="Arial"/>
                <w:sz w:val="14"/>
                <w:szCs w:val="14"/>
                <w:color w:val="auto"/>
              </w:rPr>
              <w:t>Number of Units</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gridSpan w:val="2"/>
          </w:tcPr>
          <w:p>
            <w:pPr>
              <w:spacing w:after="0" w:line="138" w:lineRule="exact"/>
              <w:rPr>
                <w:sz w:val="20"/>
                <w:szCs w:val="20"/>
                <w:color w:val="auto"/>
              </w:rPr>
            </w:pPr>
            <w:r>
              <w:rPr>
                <w:rFonts w:ascii="Arial" w:cs="Arial" w:eastAsia="Arial" w:hAnsi="Arial"/>
                <w:sz w:val="14"/>
                <w:szCs w:val="14"/>
                <w:color w:val="auto"/>
                <w:w w:val="84"/>
              </w:rPr>
              <w:t>Weighted</w:t>
            </w:r>
          </w:p>
        </w:tc>
        <w:tc>
          <w:tcPr>
            <w:tcW w:w="400" w:type="dxa"/>
            <w:vAlign w:val="bottom"/>
          </w:tcPr>
          <w:p>
            <w:pPr>
              <w:spacing w:after="0"/>
              <w:rPr>
                <w:sz w:val="11"/>
                <w:szCs w:val="11"/>
                <w:color w:val="auto"/>
              </w:rPr>
            </w:pPr>
          </w:p>
        </w:tc>
        <w:tc>
          <w:tcPr>
            <w:tcW w:w="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400" w:type="dxa"/>
            <w:vAlign w:val="bottom"/>
          </w:tcPr>
          <w:p>
            <w:pPr>
              <w:spacing w:after="0"/>
              <w:rPr>
                <w:sz w:val="12"/>
                <w:szCs w:val="12"/>
                <w:color w:val="auto"/>
              </w:rPr>
            </w:pPr>
          </w:p>
        </w:tc>
        <w:tc>
          <w:tcPr>
            <w:tcW w:w="5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6"/>
              </w:rPr>
              <w:t>Value on</w:t>
            </w:r>
          </w:p>
        </w:tc>
        <w:tc>
          <w:tcPr>
            <w:tcW w:w="4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1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5"/>
              </w:rPr>
              <w:t>Management</w:t>
            </w:r>
          </w:p>
        </w:tc>
        <w:tc>
          <w:tcPr>
            <w:tcW w:w="110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Directors</w:t>
            </w:r>
          </w:p>
        </w:tc>
        <w:tc>
          <w:tcPr>
            <w:tcW w:w="100" w:type="dxa"/>
            <w:vAlign w:val="bottom"/>
          </w:tcPr>
          <w:p>
            <w:pPr>
              <w:spacing w:after="0"/>
              <w:rPr>
                <w:sz w:val="13"/>
                <w:szCs w:val="13"/>
                <w:color w:val="auto"/>
              </w:rPr>
            </w:pPr>
          </w:p>
        </w:tc>
        <w:tc>
          <w:tcPr>
            <w:tcW w:w="420" w:type="dxa"/>
            <w:vAlign w:val="bottom"/>
          </w:tcPr>
          <w:p>
            <w:pPr>
              <w:jc w:val="center"/>
              <w:spacing w:after="0" w:line="159" w:lineRule="exact"/>
              <w:rPr>
                <w:sz w:val="20"/>
                <w:szCs w:val="20"/>
                <w:color w:val="auto"/>
              </w:rPr>
            </w:pPr>
            <w:r>
              <w:rPr>
                <w:rFonts w:ascii="Arial" w:cs="Arial" w:eastAsia="Arial" w:hAnsi="Arial"/>
                <w:sz w:val="14"/>
                <w:szCs w:val="14"/>
                <w:color w:val="auto"/>
                <w:w w:val="80"/>
              </w:rPr>
              <w:t>date</w:t>
            </w:r>
          </w:p>
        </w:tc>
        <w:tc>
          <w:tcPr>
            <w:tcW w:w="400" w:type="dxa"/>
            <w:vAlign w:val="bottom"/>
          </w:tcPr>
          <w:p>
            <w:pPr>
              <w:spacing w:after="0"/>
              <w:rPr>
                <w:sz w:val="13"/>
                <w:szCs w:val="13"/>
                <w:color w:val="auto"/>
              </w:rPr>
            </w:pPr>
          </w:p>
        </w:tc>
        <w:tc>
          <w:tcPr>
            <w:tcW w:w="5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150,273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(150,273)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58,511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(210,000)</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(90,000)</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260,000</w:t>
            </w:r>
          </w:p>
        </w:tc>
        <w:tc>
          <w:tcPr>
            <w:tcW w:w="4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58,511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4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(58,511)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Granted on March 17, 2011</w:t>
            </w:r>
          </w:p>
        </w:tc>
        <w:tc>
          <w:tcPr>
            <w:tcW w:w="720" w:type="dxa"/>
            <w:vAlign w:val="bottom"/>
          </w:tcPr>
          <w:p>
            <w:pPr>
              <w:jc w:val="right"/>
              <w:spacing w:after="0"/>
              <w:rPr>
                <w:sz w:val="20"/>
                <w:szCs w:val="20"/>
                <w:color w:val="auto"/>
              </w:rPr>
            </w:pPr>
            <w:r>
              <w:rPr>
                <w:rFonts w:ascii="Arial" w:cs="Arial" w:eastAsia="Arial" w:hAnsi="Arial"/>
                <w:sz w:val="18"/>
                <w:szCs w:val="18"/>
                <w:color w:val="auto"/>
              </w:rPr>
              <w:t>15,000</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17,886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March 31,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275,000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4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20"/>
        <w:spacing w:after="0" w:line="323" w:lineRule="auto"/>
        <w:rPr>
          <w:sz w:val="20"/>
          <w:szCs w:val="20"/>
          <w:color w:val="auto"/>
        </w:rPr>
      </w:pPr>
      <w:r>
        <w:rPr>
          <w:rFonts w:ascii="Arial" w:cs="Arial" w:eastAsia="Arial" w:hAnsi="Arial"/>
          <w:sz w:val="15"/>
          <w:szCs w:val="15"/>
          <w:color w:val="auto"/>
        </w:rPr>
        <w:t>Using the graded vesting method of expensing the restricted stock unit grants, the calculated weighted average fair value of the stock units is recognized as compensation costs in the consolidated statement of income over the vesting period. During the three months ended March 31, 2011, the Company recognized a total of $136 (2010: $311) share based compensation costs. As at March 31, 2011, there was a total of $321 unrecognized compensation costs relating to the above share based awards (December 31, 2010: $255). The remaining costs are expected to be recognized over a period of nine months.</w:t>
      </w:r>
    </w:p>
    <w:p>
      <w:pPr>
        <w:spacing w:after="0" w:line="17" w:lineRule="exact"/>
        <w:rPr>
          <w:sz w:val="20"/>
          <w:szCs w:val="20"/>
          <w:color w:val="auto"/>
        </w:rPr>
      </w:pPr>
    </w:p>
    <w:p>
      <w:pPr>
        <w:ind w:left="452" w:right="80"/>
        <w:spacing w:after="0" w:line="256" w:lineRule="auto"/>
        <w:rPr>
          <w:sz w:val="20"/>
          <w:szCs w:val="20"/>
          <w:color w:val="auto"/>
        </w:rPr>
      </w:pPr>
      <w:r>
        <w:rPr>
          <w:rFonts w:ascii="Arial" w:cs="Arial" w:eastAsia="Arial" w:hAnsi="Arial"/>
          <w:sz w:val="18"/>
          <w:szCs w:val="18"/>
          <w:color w:val="auto"/>
        </w:rPr>
        <w:t>The restricted stock units granted to management on August 14, 2008 were to vest over a period of three years; one third on the first anniversary of the merger, one third on the second anniversary and one third on the third anniversary. The vesting date of the first and second tranches was amended and a total of 260,000 vested in September and October 2009 and a further 260,000 vested in September and October 2010. The vesting date of the third tranche remains unchanged.</w:t>
      </w:r>
    </w:p>
    <w:p>
      <w:pPr>
        <w:spacing w:after="0" w:line="62" w:lineRule="exact"/>
        <w:rPr>
          <w:sz w:val="20"/>
          <w:szCs w:val="20"/>
          <w:color w:val="auto"/>
        </w:rPr>
      </w:pPr>
    </w:p>
    <w:p>
      <w:pPr>
        <w:ind w:left="452"/>
        <w:spacing w:after="0" w:line="259" w:lineRule="auto"/>
        <w:rPr>
          <w:sz w:val="20"/>
          <w:szCs w:val="20"/>
          <w:color w:val="auto"/>
        </w:rPr>
      </w:pPr>
      <w:r>
        <w:rPr>
          <w:rFonts w:ascii="Arial" w:cs="Arial" w:eastAsia="Arial" w:hAnsi="Arial"/>
          <w:sz w:val="18"/>
          <w:szCs w:val="18"/>
          <w:color w:val="auto"/>
        </w:rPr>
        <w:t>The restricted stock units granted to management on November 12, 2008 were to vest over a period of two years; half on the first anniversary of the merger and half on the second anniversary. The vesting date of the first and second tranche was amended and a total of 40,000 vested in September and October 2009 and the remaining 40,000 vested in September and October 2010.</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restricted stock units granted to management on March 17, 2011 will vest in September and October 2011.</w:t>
      </w:r>
    </w:p>
    <w:p>
      <w:pPr>
        <w:spacing w:after="0" w:line="9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restricted stock units granted to Directors on May 18, 2009 and March 1, 2010 vested in January 2010 and January 2011 respectively.</w:t>
      </w:r>
    </w:p>
    <w:p>
      <w:pPr>
        <w:spacing w:after="0" w:line="11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restricted stock units granted to Directors on March 17, 2011 will vest in January 2012.</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6" w:name="page27"/>
    <w:bookmarkEnd w:id="2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 except share data)</w:t>
      </w:r>
    </w:p>
    <w:p>
      <w:pPr>
        <w:spacing w:after="0" w:line="233"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52"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applied by the Company, net income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ended March 31, 2011, no dividend was declared (2010: nil dividends).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39"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59" w:lineRule="exact"/>
        <w:rPr>
          <w:rFonts w:ascii="Arial" w:cs="Arial" w:eastAsia="Arial" w:hAnsi="Arial"/>
          <w:sz w:val="18"/>
          <w:szCs w:val="18"/>
          <w:b w:val="1"/>
          <w:bCs w:val="1"/>
          <w:color w:val="auto"/>
        </w:rPr>
      </w:pPr>
    </w:p>
    <w:p>
      <w:pPr>
        <w:ind w:left="4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expired. At March 31, 2011, there were 6,188,088 Class A Warrants to purchase Class A common shares at an exercise price of $9.25 outstanding which are due to expire on September 1, 2013. In addition, there were 292,886 restricted stock units granted and unvested as part of management’s equity incentive plan and as part of the Directors’ compensation for 2011. As of March 31, 2011 only Class A and B common shares are participating securities.</w:t>
      </w:r>
    </w:p>
    <w:p>
      <w:pPr>
        <w:spacing w:after="0" w:line="61" w:lineRule="exact"/>
        <w:rPr>
          <w:rFonts w:ascii="Arial" w:cs="Arial" w:eastAsia="Arial" w:hAnsi="Arial"/>
          <w:sz w:val="18"/>
          <w:szCs w:val="18"/>
          <w:b w:val="1"/>
          <w:bCs w:val="1"/>
          <w:color w:val="auto"/>
        </w:rPr>
      </w:pPr>
    </w:p>
    <w:p>
      <w:pPr>
        <w:ind w:left="452"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For the three months ended March 31, 2011 and the three months ended March 31, 2010, the diluted weighted average number of shares includes the incremental effect of outstanding stock based incentive awards but excludes the effect of outstanding warrants as these were antidilutive.</w:t>
      </w:r>
    </w:p>
    <w:p>
      <w:pPr>
        <w:spacing w:after="0" w:line="7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52"/>
          </w:cols>
          <w:pgMar w:left="248" w:top="274"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Global Ship Lease, Inc.</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jc w:val="center"/>
              <w:ind w:left="2172"/>
              <w:spacing w:after="0"/>
              <w:rPr>
                <w:sz w:val="20"/>
                <w:szCs w:val="20"/>
                <w:color w:val="auto"/>
              </w:rPr>
            </w:pPr>
            <w:r>
              <w:rPr>
                <w:rFonts w:ascii="Arial" w:cs="Arial" w:eastAsia="Arial" w:hAnsi="Arial"/>
                <w:sz w:val="18"/>
                <w:szCs w:val="18"/>
                <w:b w:val="1"/>
                <w:bCs w:val="1"/>
                <w:color w:val="auto"/>
                <w:w w:val="88"/>
              </w:rPr>
              <w:t>Notes to the Interim Unaudited Consolidated Financial Statements (continued)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jc w:val="center"/>
              <w:ind w:left="2172"/>
              <w:spacing w:after="0"/>
              <w:rPr>
                <w:sz w:val="20"/>
                <w:szCs w:val="20"/>
                <w:color w:val="auto"/>
              </w:rPr>
            </w:pPr>
            <w:r>
              <w:rPr>
                <w:rFonts w:ascii="Arial" w:cs="Arial" w:eastAsia="Arial" w:hAnsi="Arial"/>
                <w:sz w:val="18"/>
                <w:szCs w:val="18"/>
                <w:color w:val="auto"/>
                <w:w w:val="87"/>
              </w:rPr>
              <w:t>(Expressed in thousands of U.S. dollars except per share amounts)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8480" w:type="dxa"/>
            <w:vAlign w:val="bottom"/>
          </w:tcPr>
          <w:p>
            <w:pPr>
              <w:ind w:left="120"/>
              <w:spacing w:after="0"/>
              <w:rPr>
                <w:sz w:val="20"/>
                <w:szCs w:val="20"/>
                <w:color w:val="auto"/>
              </w:rPr>
            </w:pPr>
            <w:r>
              <w:rPr>
                <w:rFonts w:ascii="Arial" w:cs="Arial" w:eastAsia="Arial" w:hAnsi="Arial"/>
                <w:sz w:val="18"/>
                <w:szCs w:val="18"/>
                <w:b w:val="1"/>
                <w:bCs w:val="1"/>
                <w:color w:val="auto"/>
              </w:rPr>
              <w:t>Earnings per Share (continued)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882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5"/>
                <w:szCs w:val="15"/>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47,186,378</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46,830,467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219,112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47,405,490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46,937,546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820" w:type="dxa"/>
            <w:vAlign w:val="bottom"/>
            <w:gridSpan w:val="3"/>
          </w:tcPr>
          <w:p>
            <w:pPr>
              <w:spacing w:after="0"/>
              <w:rPr>
                <w:sz w:val="20"/>
                <w:szCs w:val="20"/>
                <w:color w:val="auto"/>
              </w:rPr>
            </w:pPr>
            <w:r>
              <w:rPr>
                <w:rFonts w:ascii="Arial" w:cs="Arial" w:eastAsia="Arial" w:hAnsi="Arial"/>
                <w:sz w:val="18"/>
                <w:szCs w:val="18"/>
                <w:color w:val="auto"/>
              </w:rPr>
              <w:t>Common shares (H)</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7,405,956</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20" w:type="dxa"/>
            <w:vAlign w:val="bottom"/>
            <w:gridSpan w:val="3"/>
          </w:tcPr>
          <w:p>
            <w:pPr>
              <w:spacing w:after="0"/>
              <w:rPr>
                <w:sz w:val="20"/>
                <w:szCs w:val="20"/>
                <w:color w:val="auto"/>
              </w:rPr>
            </w:pPr>
            <w:r>
              <w:rPr>
                <w:rFonts w:ascii="Arial" w:cs="Arial" w:eastAsia="Arial" w:hAnsi="Arial"/>
                <w:sz w:val="18"/>
                <w:szCs w:val="18"/>
                <w:color w:val="auto"/>
              </w:rPr>
              <w:t>Net income available for Class A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82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80" w:type="dxa"/>
            <w:vAlign w:val="bottom"/>
          </w:tcPr>
          <w:p>
            <w:pPr>
              <w:ind w:left="10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available to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8820" w:type="dxa"/>
            <w:vAlign w:val="bottom"/>
            <w:gridSpan w:val="3"/>
          </w:tcPr>
          <w:p>
            <w:pPr>
              <w:spacing w:after="0"/>
              <w:rPr>
                <w:sz w:val="20"/>
                <w:szCs w:val="20"/>
                <w:color w:val="auto"/>
              </w:rPr>
            </w:pPr>
            <w:r>
              <w:rPr>
                <w:rFonts w:ascii="Arial" w:cs="Arial" w:eastAsia="Arial" w:hAnsi="Arial"/>
                <w:sz w:val="18"/>
                <w:szCs w:val="18"/>
                <w:color w:val="auto"/>
              </w:rPr>
              <w:t>Net income available for Class A (E)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10,839</w:t>
            </w: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82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80" w:type="dxa"/>
            <w:vAlign w:val="bottom"/>
          </w:tcPr>
          <w:p>
            <w:pPr>
              <w:ind w:left="10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91"/>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8480" w:type="dxa"/>
            <w:vAlign w:val="bottom"/>
          </w:tcPr>
          <w:p>
            <w:pPr>
              <w:ind w:left="120"/>
              <w:spacing w:after="0"/>
              <w:rPr>
                <w:sz w:val="20"/>
                <w:szCs w:val="20"/>
                <w:color w:val="auto"/>
              </w:rPr>
            </w:pPr>
            <w:r>
              <w:rPr>
                <w:rFonts w:ascii="Arial" w:cs="Arial" w:eastAsia="Arial" w:hAnsi="Arial"/>
                <w:sz w:val="18"/>
                <w:szCs w:val="18"/>
                <w:b w:val="1"/>
                <w:bCs w:val="1"/>
                <w:color w:val="auto"/>
              </w:rPr>
              <w:t>Subsequent Events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rPr>
              <w:t>There are no subsequent events other than those disclosed elsewhere in these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80" w:type="dxa"/>
            <w:vAlign w:val="bottom"/>
          </w:tcPr>
          <w:p>
            <w:pPr>
              <w:jc w:val="center"/>
              <w:ind w:left="2192"/>
              <w:spacing w:after="0"/>
              <w:rPr>
                <w:sz w:val="20"/>
                <w:szCs w:val="20"/>
                <w:color w:val="auto"/>
              </w:rPr>
            </w:pPr>
            <w:r>
              <w:rPr>
                <w:rFonts w:ascii="Arial" w:cs="Arial" w:eastAsia="Arial" w:hAnsi="Arial"/>
                <w:sz w:val="18"/>
                <w:szCs w:val="18"/>
                <w:color w:val="auto"/>
                <w:w w:val="83"/>
              </w:rPr>
              <w:t>Page 14</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lvl w:ilvl="1">
      <w:lvlJc w:val="left"/>
      <w:lvlText w:val="(%2)"/>
      <w:numFmt w:val="low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1."/>
      <w:numFmt w:val="decimal"/>
      <w:start w:val="3"/>
    </w:lvl>
  </w:abstractNum>
  <w:abstractNum w:abstractNumId="11">
    <w:nsid w:val="41A7C4C9"/>
    <w:multiLevelType w:val="hybridMultilevel"/>
    <w:lvl w:ilvl="0">
      <w:lvlJc w:val="left"/>
      <w:lvlText w:val="%1."/>
      <w:numFmt w:val="decimal"/>
      <w:start w:val="4"/>
    </w:lvl>
  </w:abstractNum>
  <w:abstractNum w:abstractNumId="12">
    <w:nsid w:val="6B68079A"/>
    <w:multiLevelType w:val="hybridMultilevel"/>
    <w:lvl w:ilvl="0">
      <w:lvlJc w:val="left"/>
      <w:lvlText w:val="%1."/>
      <w:numFmt w:val="decimal"/>
      <w:start w:val="6"/>
    </w:lvl>
  </w:abstractNum>
  <w:abstractNum w:abstractNumId="13">
    <w:nsid w:val="4E6AFB66"/>
    <w:multiLevelType w:val="hybridMultilevel"/>
    <w:lvl w:ilvl="0">
      <w:lvlJc w:val="left"/>
      <w:lvlText w:val="%1."/>
      <w:numFmt w:val="decimal"/>
      <w:start w:val="6"/>
    </w:lvl>
  </w:abstractNum>
  <w:abstractNum w:abstractNumId="14">
    <w:nsid w:val="25E45D32"/>
    <w:multiLevelType w:val="hybridMultilevel"/>
    <w:lvl w:ilvl="0">
      <w:lvlJc w:val="left"/>
      <w:lvlText w:val="%1."/>
      <w:numFmt w:val="decimal"/>
      <w:start w:val="7"/>
    </w:lvl>
  </w:abstractNum>
  <w:abstractNum w:abstractNumId="15">
    <w:nsid w:val="519B500D"/>
    <w:multiLevelType w:val="hybridMultilevel"/>
    <w:lvl w:ilvl="0">
      <w:lvlJc w:val="left"/>
      <w:lvlText w:val="%1."/>
      <w:numFmt w:val="decimal"/>
      <w:start w:val="7"/>
    </w:lvl>
  </w:abstractNum>
  <w:abstractNum w:abstractNumId="16">
    <w:nsid w:val="431BD7B7"/>
    <w:multiLevelType w:val="hybridMultilevel"/>
    <w:lvl w:ilvl="0">
      <w:lvlJc w:val="left"/>
      <w:lvlText w:val="%1."/>
      <w:numFmt w:val="decimal"/>
      <w:start w:val="9"/>
    </w:lvl>
  </w:abstractNum>
  <w:abstractNum w:abstractNumId="17">
    <w:nsid w:val="3F2DBA31"/>
    <w:multiLevelType w:val="hybridMultilevel"/>
    <w:lvl w:ilvl="0">
      <w:lvlJc w:val="left"/>
      <w:lvlText w:val="%1."/>
      <w:numFmt w:val="decimal"/>
      <w:start w:val="11"/>
    </w:lvl>
  </w:abstractNum>
  <w:abstractNum w:abstractNumId="18">
    <w:nsid w:val="7C83E45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2019-12-11T07:39:36Z</dcterms:created>
  <dcterms:modified xsi:type="dcterms:W3CDTF">2019-12-11T07:39:36Z</dcterms:modified>
</cp:coreProperties>
</file>