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39"/>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March 8, 2011</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GLOBAL SHIP LEASE,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44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S-I Rule 101 (b)(1).</w:t>
      </w:r>
    </w:p>
    <w:p>
      <w:pPr>
        <w:spacing w:after="0" w:line="139" w:lineRule="exact"/>
        <w:rPr>
          <w:sz w:val="24"/>
          <w:szCs w:val="24"/>
          <w:color w:val="auto"/>
        </w:rPr>
      </w:pPr>
    </w:p>
    <w:p>
      <w:pPr>
        <w:ind w:left="49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(b)(7).</w:t>
      </w:r>
    </w:p>
    <w:p>
      <w:pPr>
        <w:spacing w:after="0" w:line="139" w:lineRule="exact"/>
        <w:rPr>
          <w:sz w:val="24"/>
          <w:szCs w:val="24"/>
          <w:color w:val="auto"/>
        </w:rPr>
      </w:pPr>
    </w:p>
    <w:p>
      <w:pPr>
        <w:ind w:left="494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ind w:left="49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Attached hereto as Exhibit I is a press release dated March 8, 2011 of Global Ship Lease, Inc. (the “Company”) reporting the Company’s financial results for the fourth quarter of 2010 and the year ended December 31, 2010. Attached hereto as Exhibit II are the Company’s interim unaudited consolidated financial statements for the three month period ended December 31, 2010 and the year ended December 31, 2010.</w:t>
      </w:r>
    </w:p>
    <w:p>
      <w:pPr>
        <w:spacing w:after="0" w:line="1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ind w:left="120"/>
        <w:spacing w:after="0"/>
        <w:tabs>
          <w:tab w:leader="none" w:pos="5900" w:val="left"/>
          <w:tab w:leader="none" w:pos="7960" w:val="left"/>
          <w:tab w:leader="none" w:pos="8300" w:val="left"/>
        </w:tabs>
        <w:rPr>
          <w:sz w:val="20"/>
          <w:szCs w:val="20"/>
          <w:color w:val="auto"/>
        </w:rPr>
      </w:pPr>
      <w:r>
        <w:rPr>
          <w:rFonts w:ascii="Arial" w:cs="Arial" w:eastAsia="Arial" w:hAnsi="Arial"/>
          <w:sz w:val="18"/>
          <w:szCs w:val="18"/>
          <w:color w:val="auto"/>
        </w:rPr>
        <w:t>Date: March 8,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I</w:t>
      </w:r>
      <w:r>
        <w:rPr>
          <w:rFonts w:ascii="Arial" w:cs="Arial" w:eastAsia="Arial" w:hAnsi="Arial"/>
          <w:sz w:val="13"/>
          <w:szCs w:val="13"/>
          <w:color w:val="auto"/>
        </w:rPr>
        <w:t>AN</w:t>
      </w:r>
      <w:r>
        <w:rPr>
          <w:rFonts w:ascii="Arial" w:cs="Arial" w:eastAsia="Arial" w:hAnsi="Arial"/>
          <w:sz w:val="16"/>
          <w:szCs w:val="16"/>
          <w:color w:val="auto"/>
        </w:rPr>
        <w:t xml:space="preserve"> J. W</w:t>
      </w:r>
      <w:r>
        <w:rPr>
          <w:rFonts w:ascii="Arial" w:cs="Arial" w:eastAsia="Arial" w:hAnsi="Arial"/>
          <w:sz w:val="13"/>
          <w:szCs w:val="13"/>
          <w:color w:val="auto"/>
        </w:rPr>
        <w:t>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Ian J. Webber</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240" w:top="274" w:right="4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Michael Cimini</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212-477-8261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Fourth Quarter of 2010</w:t>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LONDON, ENGLAND — March 8, 2011 </w:t>
      </w:r>
      <w:r>
        <w:rPr>
          <w:rFonts w:ascii="Arial" w:cs="Arial" w:eastAsia="Arial" w:hAnsi="Arial"/>
          <w:sz w:val="18"/>
          <w:szCs w:val="18"/>
          <w:color w:val="auto"/>
        </w:rPr>
        <w:t>- Global Ship Lease, Inc. (NYSE:GSL), a containership charter owner, announced today its unaudited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ended December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Year To Date Highlights</w:t>
      </w:r>
    </w:p>
    <w:p>
      <w:pPr>
        <w:spacing w:after="0" w:line="96" w:lineRule="exact"/>
        <w:rPr>
          <w:sz w:val="20"/>
          <w:szCs w:val="20"/>
          <w:color w:val="auto"/>
        </w:rPr>
      </w:pPr>
    </w:p>
    <w:p>
      <w:pPr>
        <w:ind w:right="40" w:firstLine="8"/>
        <w:spacing w:after="0" w:line="306" w:lineRule="auto"/>
        <w:tabs>
          <w:tab w:leader="none" w:pos="10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Reported revenue of $40.0 million for the fourth quarter of 2010, up slightly on $39.9 million for the fourth quarter 2009 due to 16 days offhire in fourth quarter 2009 for a planned drydocking. Revenue for the year ended December 31, 2010 was $158.8 million, up 7% on $148.7 million for the year ended December 31, 2009 due to the full year effect of our seventeenth vessel purchased in August 2009 and better utilization from lower offhire</w:t>
      </w:r>
    </w:p>
    <w:p>
      <w:pPr>
        <w:spacing w:after="0" w:line="106" w:lineRule="exact"/>
        <w:rPr>
          <w:rFonts w:ascii="Arial" w:cs="Arial" w:eastAsia="Arial" w:hAnsi="Arial"/>
          <w:sz w:val="16"/>
          <w:szCs w:val="16"/>
          <w:color w:val="auto"/>
        </w:rPr>
      </w:pPr>
    </w:p>
    <w:p>
      <w:pPr>
        <w:ind w:firstLine="8"/>
        <w:spacing w:after="0" w:line="294" w:lineRule="auto"/>
        <w:tabs>
          <w:tab w:leader="none" w:pos="10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Reported net income of $1.2 million for the fourth quarter of 2010, including an $11.7 million non-cash interest rate derivative mark-to-market gain and $17.1 million impairment charge. Reported net income for the fourth quarter 2009 was $12.3 million, including $5.1 million non-cash mark-to-market gain. The net loss for the year ended December 31, 2010 was $4.0 million including $15.3 million non-cash interest rate derivative mark-to-market loss and $17.1 million impairment charge compared to net income of $42.4 million for the year ended December 31, 2009 including $17.9 million non-cash interest rate derivative mark-to-market gain and $2.2 million accelerated write off of deferred financing costs</w:t>
      </w:r>
    </w:p>
    <w:p>
      <w:pPr>
        <w:spacing w:after="0" w:line="115" w:lineRule="exact"/>
        <w:rPr>
          <w:rFonts w:ascii="Arial" w:cs="Arial" w:eastAsia="Arial" w:hAnsi="Arial"/>
          <w:sz w:val="16"/>
          <w:szCs w:val="16"/>
          <w:color w:val="auto"/>
        </w:rPr>
      </w:pPr>
    </w:p>
    <w:p>
      <w:pPr>
        <w:ind w:firstLine="8"/>
        <w:spacing w:after="0" w:line="259"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Generated $26.4 million EBITDA</w:t>
      </w:r>
      <w:r>
        <w:rPr>
          <w:rFonts w:ascii="Arial" w:cs="Arial" w:eastAsia="Arial" w:hAnsi="Arial"/>
          <w:sz w:val="11"/>
          <w:szCs w:val="11"/>
          <w:color w:val="auto"/>
        </w:rPr>
        <w:t>(1)</w:t>
      </w:r>
      <w:r>
        <w:rPr>
          <w:rFonts w:ascii="Arial" w:cs="Arial" w:eastAsia="Arial" w:hAnsi="Arial"/>
          <w:sz w:val="18"/>
          <w:szCs w:val="18"/>
          <w:color w:val="auto"/>
        </w:rPr>
        <w:t xml:space="preserve"> for the fourth quarter 2010, down 5% on $27.9 million for the fourth quarter 2009 due mainly to vessel repairs, maintenance and stores catch up. EBITDA for the year ended December 31, 2010 was $108.9 million, up 11% on $99.0 million for the year ended December 31, 2009 mainly due to the additional vessel</w:t>
      </w:r>
    </w:p>
    <w:p>
      <w:pPr>
        <w:spacing w:after="0" w:line="140" w:lineRule="exact"/>
        <w:rPr>
          <w:rFonts w:ascii="Arial" w:cs="Arial" w:eastAsia="Arial" w:hAnsi="Arial"/>
          <w:sz w:val="18"/>
          <w:szCs w:val="18"/>
          <w:color w:val="auto"/>
        </w:rPr>
      </w:pPr>
    </w:p>
    <w:p>
      <w:pPr>
        <w:jc w:val="both"/>
        <w:ind w:right="100" w:firstLine="8"/>
        <w:spacing w:after="0" w:line="259"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Excluding the non-cash mark-to-market items and the impairment charge, normalized net income</w:t>
      </w:r>
      <w:r>
        <w:rPr>
          <w:rFonts w:ascii="Arial" w:cs="Arial" w:eastAsia="Arial" w:hAnsi="Arial"/>
          <w:sz w:val="11"/>
          <w:szCs w:val="11"/>
          <w:color w:val="auto"/>
        </w:rPr>
        <w:t>(1)</w:t>
      </w:r>
      <w:r>
        <w:rPr>
          <w:rFonts w:ascii="Arial" w:cs="Arial" w:eastAsia="Arial" w:hAnsi="Arial"/>
          <w:sz w:val="18"/>
          <w:szCs w:val="18"/>
          <w:color w:val="auto"/>
        </w:rPr>
        <w:t xml:space="preserve"> was $6.6 million for the fourth quarter of 2010 compared to normalized net income of $7.3 million for the fourth quarter 2009. Normalized net income for the year ended December 31, 2010 was $28.4 million compared to normalized net income of $26.6 million for the year ended December 31, 2009</w:t>
      </w:r>
    </w:p>
    <w:p>
      <w:pPr>
        <w:spacing w:after="0" w:line="14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Ian Webber, Chief Executive Officer of Global Ship Lease, stated, “2010 was a year of significant progress for Global Ship Lease. We achieved almost 100% utilization of our vessels and posted record revenues. We proactively converted our contractual obligation to acquire two 4,250 TEU vessels in December 2010 into purchase options under which we have the ability to purchase one vessel in December 2011 and the other in January 2012. Finally, we paid down $55.4 million of debt during the year. These steps improve our financial flexibility going forward.”</w:t>
      </w:r>
    </w:p>
    <w:p>
      <w:pPr>
        <w:spacing w:after="0" w:line="11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Mr. Webber continued, “We entered 2011 well positioned to continue to benefit from our fully time-chartered fleet and sizeable contracted revenue stream. Notably, our fleet of 17 vessels remains secured on long-term fixed rate contracts with CMA CGM, which in January announced receipt of $500 million of new capital to strengthen its balance sheet and secure its investment plan. Going forward, and noting the recent strength of the US capital markets, we are committed to seeking opportunities to capitalize on strong industry fundamentals, and will remain focused on preserving the Company’s financial strength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 the long term.”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Three</w:t>
            </w:r>
          </w:p>
        </w:tc>
        <w:tc>
          <w:tcPr>
            <w:tcW w:w="540" w:type="dxa"/>
            <w:vAlign w:val="bottom"/>
          </w:tcPr>
          <w:p>
            <w:pPr>
              <w:jc w:val="center"/>
              <w:spacing w:after="0"/>
              <w:rPr>
                <w:sz w:val="20"/>
                <w:szCs w:val="20"/>
                <w:color w:val="auto"/>
              </w:rPr>
            </w:pPr>
            <w:r>
              <w:rPr>
                <w:rFonts w:ascii="Arial" w:cs="Arial" w:eastAsia="Arial" w:hAnsi="Arial"/>
                <w:sz w:val="14"/>
                <w:szCs w:val="14"/>
                <w:color w:val="auto"/>
                <w:w w:val="87"/>
              </w:rPr>
              <w:t>Three</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14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months</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7"/>
              </w:rPr>
              <w:t>months</w:t>
            </w:r>
          </w:p>
        </w:tc>
        <w:tc>
          <w:tcPr>
            <w:tcW w:w="3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Year</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Year</w:t>
            </w:r>
          </w:p>
        </w:tc>
      </w:tr>
      <w:tr>
        <w:trPr>
          <w:trHeight w:val="149"/>
        </w:trPr>
        <w:tc>
          <w:tcPr>
            <w:tcW w:w="714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ended</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2"/>
              </w:rPr>
              <w:t>ended</w:t>
            </w:r>
          </w:p>
        </w:tc>
        <w:tc>
          <w:tcPr>
            <w:tcW w:w="3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ended</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ended</w:t>
            </w:r>
          </w:p>
        </w:tc>
      </w:tr>
      <w:tr>
        <w:trPr>
          <w:trHeight w:val="149"/>
        </w:trPr>
        <w:tc>
          <w:tcPr>
            <w:tcW w:w="714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 31,</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6"/>
              </w:rPr>
              <w:t>Dec 31,</w:t>
            </w:r>
          </w:p>
        </w:tc>
        <w:tc>
          <w:tcPr>
            <w:tcW w:w="3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 31,</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Dec 31,</w:t>
            </w:r>
          </w:p>
        </w:tc>
      </w:tr>
      <w:tr>
        <w:trPr>
          <w:trHeight w:val="161"/>
        </w:trPr>
        <w:tc>
          <w:tcPr>
            <w:tcW w:w="71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2009</w:t>
            </w:r>
          </w:p>
        </w:tc>
        <w:tc>
          <w:tcPr>
            <w:tcW w:w="3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2009</w:t>
            </w:r>
          </w:p>
        </w:tc>
        <w:tc>
          <w:tcPr>
            <w:tcW w:w="100" w:type="dxa"/>
            <w:vAlign w:val="bottom"/>
          </w:tcPr>
          <w:p>
            <w:pPr>
              <w:spacing w:after="0"/>
              <w:rPr>
                <w:sz w:val="14"/>
                <w:szCs w:val="14"/>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4"/>
              </w:rPr>
              <w:t>40,035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39,884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158,837</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148,708</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(773)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17,862</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51,773</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61,717</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1,226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12,348</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(3,971)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EBITDA (1)</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26,405</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27,928</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108,905</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99,024</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Normalised Net Income (1)</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6,598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28,433</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26,637</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right="32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and Normalized net income are non-US Generally Accepted Accounting Principles (US GAAP) measures, as explained further in this press release, and are considered by Global Ship Lease to be useful measures of its performance. Reconciliations of such non-GAAP measures to the interim unaudited financial information are provided in this Earnings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17-vessel fleet generated revenue from fixed rate long-term time charters of $40.0 million in the three months ended December 31, 2010, up slightly on revenue of $39.9 million for the comparative period in 2009. The increase in revenue is from higher utilization due to less offhire. During the three months ended December 31, 2010, there were 1,564 ownership days, the same as the comparable period in 2009. There were no dry-dockings in the three months ended December 31, 2010 and only one day of unplanned offhire, giving a utilization of 100%. In the comparable period of 2009, there was no unplanned offhire and there were 16 planned offhire days for drydocking, representing utilization of 99.0%.</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year ended December 31, 2010 revenue was $158.8 million, an increase of 7% on $148.7 million in the comparative period. The increase in revenue is due to the purchase of our seventeenth ship in August 2009 and from lower offhire. With one additional vessel, ownership days at 6,205 were up 237 or 4% on 5,968 in the comparative period. Further, offhire days in the year ended December 31, 2010 were three, compared to 74 in 2009 including 32 planned days offhire for drydockings.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Vessel operating expenses, which include costs of crew, lubricating oil, spares and insurance, were $11.4 million for the three months ended December 31, 2010. The average cost per ownership day was $7,278 in the fourth quarter 2010 compared to $6,992 for the third quarter 2010, up $286 or 4% due mainly to the phasing of purchasing of supplies. The fourth quarter 2010 average daily cost was up 16% from the average daily cost of $6,299 for the comparative period in 2009 due to higher spend on supplies and increased crew costs and fourth quarter 2009 benefitting from rebilling of certain items for the charterer’s account.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80"/>
          </w:cols>
          <w:pgMar w:left="240" w:top="280" w:right="27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year ended December 31, 2010 vessel operating expenses were $42.1 million or an average cost per vessel per day of $6,780 compared to a total of $41.4 million or an average of $6,932 in the previous year. Average cost in 2010 was 2% down on 2009 mainly due to lower lubricating oil consumption following the installation of electronically timed cylinder lubrication oil injection system on eight vessels.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Vessel operating expenses continue to be at less than the capped amounts included in Global Ship Lease’s ship management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Depreciation of $10.1 million for the three months ended December 31, 2010 was the same as in the comparative period in 2009 as there were no changes to the fleet.</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Depreciation was $40.1 million for the year ended December 31, 2010, including the effect of the purchase of one additional vessel in August 2009, compared to $37.3 million for the comparative period in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9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General and administrative costs incurred were $2.4 million in the three months ended December 31, 2010, including $0.1 million non-cash charge for stock based incentives, compared to $2.2 million for the comparable period in 2009, including $0.4 million non-cash charge for stock based incentives.</w:t>
      </w:r>
    </w:p>
    <w:p>
      <w:pPr>
        <w:spacing w:after="0" w:line="8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In the year ended December 31, 2010 general and administrative costs were $8.3 million, including $1.0 million non-cash charge for stock based incentives, compared to $8.7 million for the comparable period in 2009, including $2.5 million non-cash charge for stock based incentives.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November 8, 2010, the Company signed agreements with the sellers of two 4,250 TEU container vessels which terminated the Company’s purchase obligations totaling $154.8 million. Under the agreements the Company (i) released deposits, including accrued interest and totaling approximately $8.1 million per vessel (ii) made further cash payment of approximately $6.2 million per vessel and (iii) transferred to the sellers certain supplies purchased for the vessels which are valued at approximately $0.4 million per vessel. The total value of these items was $14.7 million per vessel. In exchange, the Company acquired purchase options giving it the right, but not the obligation, to purchase each vessel on the first anniversary of its delivery by the builder to the seller, for a final payment of $61.25 million per vessel. Each purchase option is to be exercised no later than 270 days after the delivery of the vessel by the builder to the seller. The vessels were delivered by the builder in December 2010 and January 2011 respectively.</w:t>
      </w:r>
    </w:p>
    <w:p>
      <w:pPr>
        <w:spacing w:after="0" w:line="11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Under US GAAP, an impairment charge totalling $17.1 million has been recognised in the three months ended December 31, 2010 comprised $15.5 million released deposits not including interest earned, $1.3 million interest capitalised thereon and $0.3 million other predelivery capital expenditure.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EBITDA, before the impairment charge of $17.1 million, was $26.4 million the three months ended December 31, 2010 compared to $27.9 million for the three months ended December 31, 2009 and was $108.9 million for the year ended December 31, 2010 compared to $99.0 million for the year ended December 31,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 expense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340"/>
          </w:cols>
          <w:pgMar w:left="240" w:top="280" w:right="319" w:bottom="1440" w:gutter="0" w:footer="0" w:header="0"/>
        </w:sectPr>
      </w:pPr>
    </w:p>
    <w:bookmarkStart w:id="5" w:name="page6"/>
    <w:bookmarkEnd w:id="5"/>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operating income in the three months ended December 31, 2010 was $0.2 million up slightly on $0.1 million for the three months ended December 31,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2010 other operating income was $0.4 million, the same as for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Interest expense, excluding the effect of interest rate derivatives which do not qualify for hedge accounting, for the three months ended December 31, 2010 was $6.0 million. The Company’s borrowings under its credit facility averaged $547.6 million during the three months ended December 31, 2010 and were $532.8 million at December 31, 2010. There were $48.0 million preferred shares throughout the period giving total average borrowings of $595.6 million. Interest expense in the comparative period in 2009 was $6.1 million. Average borrowings in the three months ended December 31, 2009, including the preferred shares, were $641.8 million.</w:t>
      </w:r>
    </w:p>
    <w:p>
      <w:pPr>
        <w:spacing w:after="0" w:line="14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For the year ended December 31, 2010, interest expense, excluding the effect of interest rate derivatives which do not qualify for hedge accounting, was $23.8 million. The Company’s borrowings under its credit facility together with the preferred shares averaged $615.7 million during this period. Interest expense in 2009 was $24.2 million, including $2.2 million accelerated write off of deferred financing fees, based on average borrowings including the preferred shares of $608.7 million in the period.</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Interest income for the three months ended December 31, 2010 and 2009 was not material. For the year ended December 31, 2010, interest income was $0.2 million and was $0.5 million in the comparative 2009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Financial Instruments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hedges its interest rate exposure by entering into derivatives that swap floating rate debt for fixed rate debt to provide long-term stability and predictability to cash flows. As these hedges do not qualify for hedge accounting under US GAAP, the outstanding hedges are marked to market at each period end with any change in the fair value being booked to the income and expenditure account. The Company’s derivative hedging instruments gave a $7.4 million gain in the three months ended December 31, 2010, reflecting primarily movements in the forward curve for interest rates. Of this amount, $4.3 million was a realized loss for settlements of swaps in the period and $11.7 million was an unrealized gain for revaluation of the balance sheet position. This compares to a $0.7 million gain in the three months ended December 31, 2009 of which $4.4 million was a realized loss and $5.1 million was an unrealized gain.</w:t>
      </w:r>
    </w:p>
    <w:p>
      <w:pPr>
        <w:spacing w:after="0" w:line="120"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For the year ended December 31, 2010 the total loss from derivative hedging instruments was $32.0 million of which $16.7 million was realized and $15.3 million unrealized compared to a total gain in 2009 of $4.8 million of which $13.1 million was a realized loss and $17.9 million was an unrealized gain.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2010, the total mark-to-market unrealized loss recognized as a liability on the balance sheet was $44.4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Unrealized mark-to-market adjustments have no impact on operating performance or cash generation in the period reported.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Taxation for the three months ended December 31, 2010 was $0.6 million credit as a result of movement in the balance for deferred taxation and following a review of tax exposures. Taxation was $0.1 million charge for the three months ended December 31,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2010 taxation was $0.1 million charge, including $0.4 million tax</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80"/>
          </w:cols>
          <w:pgMar w:left="240" w:top="2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relating to Marathon Acquisition Corp for the period up to August 14, 2008, compared to $0.4 million charge in the prior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Net income for the three months ended December 31, 2010 was $1.2 million including $11.7 million non-cash interest rate derivative mark-to-market gain and $17.1 million impairment charge. For the three months ended December 31, 2009 net income was $12.3 million, including $5.1 million non-cash interest rate derivative mark-to-market gain. Normalized net income was $6.6 million for the three months ended December 31, 2010 and $7.3 million for the three months ended December 31, 2009.</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year ended December 31, 2010 the net loss was $4.0 million including $15.3 million non-cash interest rate derivative mark-to-market loss and $17.1 million impairment charge. For the year ended December 31, 2009 net income was $42.4 million including $17.9 million non-cash interest rate derivative mark-to-market gain and $2.2 million accelerated write off of deferred financing fees. Normalized net income was $28.4 million for the year ended December 31, 2010 and was $26.6 million for the year ended December 31,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August 20, 2009, the Company entered into an amendment to its credit facility, whereby the loan-to-value covenant has been waived up to and including November 30, 2010 with the next loan-to-value test scheduled for April 30, 2011. Amounts borrowed under the amended credit facility bear interest at LIBOR plus a fixed interest margin of 3.50% up to November 30, 2010. Thereafter, the margin will be between 2.50% and 3.50% depending on the loan-to-value ratio. In the absence of actual current loan-to-value ratios, a loan-to-value ratio of 100% is assumed.</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amended credit facility Global Ship Lease may not pay dividends to common shareholders, instead using its cash flow to prepay borrowings under the credit facility. Global Ship Lease can resume dividends after November 30, 2010 and once the loan-to-value is at or below 75%, when the prepayment of borrowings becomes fixed at $10 million per quarter.</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the year ended December 31, 2010 a total of $55.4 million has been prepaid leaving a balance outstanding of $532.8 million. The Company estimates that a further $44.5 million will be prepaid in the year ending December 31,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Global Ship Lease has agreed with its lenders that it will not declare or pay any dividend to common shareholders until the later of November 30, 2010 and when loan-to-value is at or below 75%. The Board of Directors will review the dividend policy when appropriate.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Utilization</w:t>
      </w:r>
    </w:p>
    <w:p>
      <w:pPr>
        <w:spacing w:after="0" w:line="9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table below shows fleet utilization for the three months and year ended December 31, 2010 and for the three months and year ended December 31, 2009 and for the year ended December 31, 2008. Unplanned offhire in the year ended December 31, 2009 includes 18 days for drydock and associated repairs following a grounding and a seven day deviation to land a sick crew member.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380"/>
          </w:cols>
          <w:pgMar w:left="240" w:top="280" w:right="2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w w:val="88"/>
              </w:rPr>
              <w:t>Three months ended</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jc w:val="center"/>
              <w:ind w:right="220"/>
              <w:spacing w:after="0"/>
              <w:rPr>
                <w:sz w:val="20"/>
                <w:szCs w:val="20"/>
                <w:color w:val="auto"/>
              </w:rPr>
            </w:pPr>
            <w:r>
              <w:rPr>
                <w:rFonts w:ascii="Arial" w:cs="Arial" w:eastAsia="Arial" w:hAnsi="Arial"/>
                <w:sz w:val="14"/>
                <w:szCs w:val="14"/>
                <w:color w:val="auto"/>
                <w:w w:val="82"/>
              </w:rPr>
              <w:t>Year ended</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Year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center"/>
              <w:ind w:right="220"/>
              <w:spacing w:after="0" w:line="146"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840" w:type="dxa"/>
            <w:vAlign w:val="bottom"/>
            <w:gridSpan w:val="2"/>
          </w:tcPr>
          <w:p>
            <w:pPr>
              <w:jc w:val="right"/>
              <w:ind w:right="332"/>
              <w:spacing w:after="0" w:line="131" w:lineRule="exact"/>
              <w:rPr>
                <w:sz w:val="20"/>
                <w:szCs w:val="20"/>
                <w:color w:val="auto"/>
              </w:rPr>
            </w:pPr>
            <w:r>
              <w:rPr>
                <w:rFonts w:ascii="Arial" w:cs="Arial" w:eastAsia="Arial" w:hAnsi="Arial"/>
                <w:sz w:val="14"/>
                <w:szCs w:val="14"/>
                <w:color w:val="auto"/>
                <w:w w:val="86"/>
              </w:rPr>
              <w:t>Dec 31,</w:t>
            </w:r>
          </w:p>
        </w:tc>
        <w:tc>
          <w:tcPr>
            <w:tcW w:w="820" w:type="dxa"/>
            <w:vAlign w:val="bottom"/>
            <w:gridSpan w:val="2"/>
          </w:tcPr>
          <w:p>
            <w:pPr>
              <w:jc w:val="right"/>
              <w:ind w:right="380"/>
              <w:spacing w:after="0" w:line="131" w:lineRule="exact"/>
              <w:rPr>
                <w:sz w:val="20"/>
                <w:szCs w:val="20"/>
                <w:color w:val="auto"/>
              </w:rPr>
            </w:pPr>
            <w:r>
              <w:rPr>
                <w:rFonts w:ascii="Arial" w:cs="Arial" w:eastAsia="Arial" w:hAnsi="Arial"/>
                <w:sz w:val="14"/>
                <w:szCs w:val="14"/>
                <w:color w:val="auto"/>
                <w:w w:val="86"/>
              </w:rPr>
              <w:t>Dec 31,</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jc w:val="right"/>
              <w:ind w:right="260"/>
              <w:spacing w:after="0" w:line="131" w:lineRule="exact"/>
              <w:rPr>
                <w:sz w:val="20"/>
                <w:szCs w:val="20"/>
                <w:color w:val="auto"/>
              </w:rPr>
            </w:pPr>
            <w:r>
              <w:rPr>
                <w:rFonts w:ascii="Arial" w:cs="Arial" w:eastAsia="Arial" w:hAnsi="Arial"/>
                <w:sz w:val="14"/>
                <w:szCs w:val="14"/>
                <w:color w:val="auto"/>
                <w:w w:val="86"/>
              </w:rPr>
              <w:t>Dec 31,</w:t>
            </w:r>
          </w:p>
        </w:tc>
        <w:tc>
          <w:tcPr>
            <w:tcW w:w="140" w:type="dxa"/>
            <w:vAlign w:val="bottom"/>
          </w:tcPr>
          <w:p>
            <w:pPr>
              <w:spacing w:after="0"/>
              <w:rPr>
                <w:sz w:val="11"/>
                <w:szCs w:val="11"/>
                <w:color w:val="auto"/>
              </w:rPr>
            </w:pPr>
          </w:p>
        </w:tc>
        <w:tc>
          <w:tcPr>
            <w:tcW w:w="840" w:type="dxa"/>
            <w:vAlign w:val="bottom"/>
            <w:gridSpan w:val="2"/>
          </w:tcPr>
          <w:p>
            <w:pPr>
              <w:jc w:val="center"/>
              <w:ind w:right="380"/>
              <w:spacing w:after="0" w:line="131" w:lineRule="exact"/>
              <w:rPr>
                <w:sz w:val="20"/>
                <w:szCs w:val="20"/>
                <w:color w:val="auto"/>
              </w:rPr>
            </w:pPr>
            <w:r>
              <w:rPr>
                <w:rFonts w:ascii="Arial" w:cs="Arial" w:eastAsia="Arial" w:hAnsi="Arial"/>
                <w:sz w:val="14"/>
                <w:szCs w:val="14"/>
                <w:color w:val="auto"/>
                <w:w w:val="86"/>
              </w:rPr>
              <w:t>Dec 31,</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86"/>
              </w:rPr>
              <w:t>Dec 31,</w:t>
            </w:r>
          </w:p>
        </w:tc>
        <w:tc>
          <w:tcPr>
            <w:tcW w:w="0" w:type="dxa"/>
            <w:vAlign w:val="bottom"/>
          </w:tcPr>
          <w:p>
            <w:pPr>
              <w:spacing w:after="0"/>
              <w:rPr>
                <w:sz w:val="1"/>
                <w:szCs w:val="1"/>
                <w:color w:val="auto"/>
              </w:rPr>
            </w:pPr>
          </w:p>
        </w:tc>
      </w:tr>
      <w:tr>
        <w:trPr>
          <w:trHeight w:val="159"/>
        </w:trPr>
        <w:tc>
          <w:tcPr>
            <w:tcW w:w="5740" w:type="dxa"/>
            <w:vAlign w:val="bottom"/>
            <w:gridSpan w:val="3"/>
          </w:tcPr>
          <w:p>
            <w:pPr>
              <w:spacing w:after="0" w:line="159" w:lineRule="exact"/>
              <w:rPr>
                <w:sz w:val="20"/>
                <w:szCs w:val="20"/>
                <w:color w:val="auto"/>
              </w:rPr>
            </w:pPr>
            <w:r>
              <w:rPr>
                <w:rFonts w:ascii="Arial" w:cs="Arial" w:eastAsia="Arial" w:hAnsi="Arial"/>
                <w:sz w:val="14"/>
                <w:szCs w:val="14"/>
                <w:color w:val="auto"/>
              </w:rPr>
              <w:t>Days</w:t>
            </w:r>
          </w:p>
        </w:tc>
        <w:tc>
          <w:tcPr>
            <w:tcW w:w="460" w:type="dxa"/>
            <w:vAlign w:val="bottom"/>
          </w:tcPr>
          <w:p>
            <w:pPr>
              <w:jc w:val="right"/>
              <w:ind w:right="18"/>
              <w:spacing w:after="0" w:line="159" w:lineRule="exact"/>
              <w:rPr>
                <w:sz w:val="20"/>
                <w:szCs w:val="20"/>
                <w:color w:val="auto"/>
              </w:rPr>
            </w:pPr>
            <w:r>
              <w:rPr>
                <w:rFonts w:ascii="Arial" w:cs="Arial" w:eastAsia="Arial" w:hAnsi="Arial"/>
                <w:sz w:val="14"/>
                <w:szCs w:val="14"/>
                <w:color w:val="auto"/>
              </w:rPr>
              <w:t>2010</w:t>
            </w:r>
          </w:p>
        </w:tc>
        <w:tc>
          <w:tcPr>
            <w:tcW w:w="380" w:type="dxa"/>
            <w:vAlign w:val="bottom"/>
          </w:tcPr>
          <w:p>
            <w:pPr>
              <w:spacing w:after="0"/>
              <w:rPr>
                <w:sz w:val="13"/>
                <w:szCs w:val="13"/>
                <w:color w:val="auto"/>
              </w:rPr>
            </w:pPr>
          </w:p>
        </w:tc>
        <w:tc>
          <w:tcPr>
            <w:tcW w:w="460" w:type="dxa"/>
            <w:vAlign w:val="bottom"/>
          </w:tcPr>
          <w:p>
            <w:pPr>
              <w:jc w:val="right"/>
              <w:ind w:right="18"/>
              <w:spacing w:after="0" w:line="159" w:lineRule="exact"/>
              <w:rPr>
                <w:sz w:val="20"/>
                <w:szCs w:val="20"/>
                <w:color w:val="auto"/>
              </w:rPr>
            </w:pPr>
            <w:r>
              <w:rPr>
                <w:rFonts w:ascii="Arial" w:cs="Arial" w:eastAsia="Arial" w:hAnsi="Arial"/>
                <w:sz w:val="14"/>
                <w:szCs w:val="14"/>
                <w:color w:val="auto"/>
              </w:rPr>
              <w:t>2009</w:t>
            </w:r>
          </w:p>
        </w:tc>
        <w:tc>
          <w:tcPr>
            <w:tcW w:w="360" w:type="dxa"/>
            <w:vAlign w:val="bottom"/>
          </w:tcPr>
          <w:p>
            <w:pPr>
              <w:spacing w:after="0"/>
              <w:rPr>
                <w:sz w:val="13"/>
                <w:szCs w:val="13"/>
                <w:color w:val="auto"/>
              </w:rPr>
            </w:pPr>
          </w:p>
        </w:tc>
        <w:tc>
          <w:tcPr>
            <w:tcW w:w="8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81"/>
              </w:rPr>
              <w:t>Increase</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2010</w:t>
            </w:r>
          </w:p>
        </w:tc>
        <w:tc>
          <w:tcPr>
            <w:tcW w:w="240" w:type="dxa"/>
            <w:vAlign w:val="bottom"/>
          </w:tcPr>
          <w:p>
            <w:pPr>
              <w:spacing w:after="0"/>
              <w:rPr>
                <w:sz w:val="13"/>
                <w:szCs w:val="13"/>
                <w:color w:val="auto"/>
              </w:rPr>
            </w:pPr>
          </w:p>
        </w:tc>
        <w:tc>
          <w:tcPr>
            <w:tcW w:w="600" w:type="dxa"/>
            <w:vAlign w:val="bottom"/>
            <w:gridSpan w:val="2"/>
          </w:tcPr>
          <w:p>
            <w:pPr>
              <w:jc w:val="center"/>
              <w:ind w:left="59"/>
              <w:spacing w:after="0" w:line="159" w:lineRule="exact"/>
              <w:rPr>
                <w:sz w:val="20"/>
                <w:szCs w:val="20"/>
                <w:color w:val="auto"/>
              </w:rPr>
            </w:pPr>
            <w:r>
              <w:rPr>
                <w:rFonts w:ascii="Arial" w:cs="Arial" w:eastAsia="Arial" w:hAnsi="Arial"/>
                <w:sz w:val="14"/>
                <w:szCs w:val="14"/>
                <w:color w:val="auto"/>
                <w:w w:val="83"/>
              </w:rPr>
              <w:t>2009</w:t>
            </w:r>
          </w:p>
        </w:tc>
        <w:tc>
          <w:tcPr>
            <w:tcW w:w="380" w:type="dxa"/>
            <w:vAlign w:val="bottom"/>
          </w:tcPr>
          <w:p>
            <w:pPr>
              <w:spacing w:after="0"/>
              <w:rPr>
                <w:sz w:val="13"/>
                <w:szCs w:val="13"/>
                <w:color w:val="auto"/>
              </w:rPr>
            </w:pPr>
          </w:p>
        </w:tc>
        <w:tc>
          <w:tcPr>
            <w:tcW w:w="8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81"/>
              </w:rPr>
              <w:t>Increase</w:t>
            </w:r>
          </w:p>
        </w:tc>
        <w:tc>
          <w:tcPr>
            <w:tcW w:w="460" w:type="dxa"/>
            <w:vAlign w:val="bottom"/>
          </w:tcPr>
          <w:p>
            <w:pPr>
              <w:jc w:val="center"/>
              <w:spacing w:after="0" w:line="159" w:lineRule="exact"/>
              <w:rPr>
                <w:sz w:val="20"/>
                <w:szCs w:val="20"/>
                <w:color w:val="auto"/>
              </w:rPr>
            </w:pPr>
            <w:r>
              <w:rPr>
                <w:rFonts w:ascii="Arial" w:cs="Arial" w:eastAsia="Arial" w:hAnsi="Arial"/>
                <w:sz w:val="14"/>
                <w:szCs w:val="14"/>
                <w:color w:val="auto"/>
                <w:w w:val="83"/>
              </w:rPr>
              <w:t>2008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1,564</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1,564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6,205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5,968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Planned offhire - scheduled drydock</w:t>
            </w:r>
          </w:p>
        </w:tc>
        <w:tc>
          <w:tcPr>
            <w:tcW w:w="84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Unplanned offhire</w:t>
            </w:r>
          </w:p>
        </w:tc>
        <w:tc>
          <w:tcPr>
            <w:tcW w:w="8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Operating days</w:t>
            </w: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w:t>
            </w: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gridSpan w:val="3"/>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1,563</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1,548</w:t>
            </w:r>
          </w:p>
        </w:tc>
        <w:tc>
          <w:tcPr>
            <w:tcW w:w="3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6,202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5,894</w:t>
            </w:r>
          </w:p>
        </w:tc>
        <w:tc>
          <w:tcPr>
            <w:tcW w:w="840" w:type="dxa"/>
            <w:vAlign w:val="bottom"/>
            <w:gridSpan w:val="2"/>
            <w:vMerge w:val="continue"/>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4,371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5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99.9%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100.0%</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98.8%</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Seven vessels are scheduled to be drydocked in 2011 and six in 2012. This will lead to increased planned offhire.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on-the-water fleet of 17 vessels chartered to CMA CGM.</w:t>
      </w:r>
    </w:p>
    <w:p>
      <w:pPr>
        <w:sectPr>
          <w:pgSz w:w="11900" w:h="16838" w:orient="portrait"/>
          <w:cols w:equalWidth="0" w:num="1">
            <w:col w:w="11420"/>
          </w:cols>
          <w:pgMar w:left="240" w:top="2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Vessel Name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Ville d’Orion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Ville d’Aquarius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 CGM Matisse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CMA CGM Utrillo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Delmas Keta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Julie Delmas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Kumasi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Marie Delmas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 CGM La Tour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CMA CGM Manet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 CGM Alcazar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CMA CGM Château d’If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 CGM Thalassa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CMA CGM Jamaica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 CGM Sambhar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CMA CGM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 CGM Berlioz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i w:val="1"/>
                <w:iCs w:val="1"/>
                <w:color w:val="auto"/>
              </w:rPr>
              <w:t>(1)</w:t>
            </w:r>
          </w:p>
        </w:tc>
        <w:tc>
          <w:tcPr>
            <w:tcW w:w="5620" w:type="dxa"/>
            <w:vAlign w:val="bottom"/>
            <w:gridSpan w:val="2"/>
          </w:tcPr>
          <w:p>
            <w:pPr>
              <w:ind w:left="120"/>
              <w:spacing w:after="0"/>
              <w:rPr>
                <w:sz w:val="20"/>
                <w:szCs w:val="20"/>
                <w:color w:val="auto"/>
              </w:rPr>
            </w:pPr>
            <w:r>
              <w:rPr>
                <w:rFonts w:ascii="Arial" w:cs="Arial" w:eastAsia="Arial" w:hAnsi="Arial"/>
                <w:sz w:val="18"/>
                <w:szCs w:val="18"/>
                <w:i w:val="1"/>
                <w:iCs w:val="1"/>
                <w:color w:val="auto"/>
              </w:rPr>
              <w:t>Twenty-foot Equivalent Units.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20"/>
                <w:szCs w:val="20"/>
                <w:color w:val="auto"/>
              </w:rPr>
            </w:pPr>
            <w:r>
              <w:rPr>
                <w:rFonts w:ascii="Arial" w:cs="Arial" w:eastAsia="Arial" w:hAnsi="Arial"/>
                <w:sz w:val="18"/>
                <w:szCs w:val="18"/>
                <w:i w:val="1"/>
                <w:iCs w:val="1"/>
                <w:color w:val="auto"/>
              </w:rPr>
              <w:t>(2)</w:t>
            </w:r>
          </w:p>
        </w:tc>
        <w:tc>
          <w:tcPr>
            <w:tcW w:w="5620" w:type="dxa"/>
            <w:vAlign w:val="bottom"/>
            <w:gridSpan w:val="2"/>
          </w:tcPr>
          <w:p>
            <w:pPr>
              <w:ind w:left="120"/>
              <w:spacing w:after="0"/>
              <w:rPr>
                <w:sz w:val="20"/>
                <w:szCs w:val="20"/>
                <w:color w:val="auto"/>
              </w:rPr>
            </w:pPr>
            <w:r>
              <w:rPr>
                <w:rFonts w:ascii="Arial" w:cs="Arial" w:eastAsia="Arial" w:hAnsi="Arial"/>
                <w:sz w:val="18"/>
                <w:szCs w:val="18"/>
                <w:i w:val="1"/>
                <w:iCs w:val="1"/>
                <w:color w:val="auto"/>
              </w:rPr>
              <w:t>Information is as of 12/31/10.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960" w:type="dxa"/>
            <w:vAlign w:val="bottom"/>
            <w:gridSpan w:val="3"/>
          </w:tcPr>
          <w:p>
            <w:pPr>
              <w:spacing w:after="0"/>
              <w:rPr>
                <w:sz w:val="20"/>
                <w:szCs w:val="20"/>
                <w:color w:val="auto"/>
              </w:rPr>
            </w:pPr>
            <w:r>
              <w:rPr>
                <w:rFonts w:ascii="Arial" w:cs="Arial" w:eastAsia="Arial" w:hAnsi="Arial"/>
                <w:sz w:val="18"/>
                <w:szCs w:val="18"/>
                <w:color w:val="auto"/>
                <w:w w:val="92"/>
              </w:rPr>
              <w:t>In addition, the Company has options to purchase two further vessels as follows.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5"/>
              </w:rPr>
              <w:t>Capacity</w:t>
            </w:r>
          </w:p>
        </w:tc>
        <w:tc>
          <w:tcPr>
            <w:tcW w:w="0" w:type="dxa"/>
            <w:vAlign w:val="bottom"/>
          </w:tcPr>
          <w:p>
            <w:pPr>
              <w:spacing w:after="0"/>
              <w:rPr>
                <w:sz w:val="1"/>
                <w:szCs w:val="1"/>
                <w:color w:val="auto"/>
              </w:rPr>
            </w:pPr>
          </w:p>
        </w:tc>
      </w:tr>
      <w:tr>
        <w:trPr>
          <w:trHeight w:val="134"/>
        </w:trPr>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5180" w:type="dxa"/>
            <w:vAlign w:val="bottom"/>
            <w:vMerge w:val="restart"/>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4"/>
                <w:szCs w:val="14"/>
                <w:b w:val="1"/>
                <w:bCs w:val="1"/>
                <w:color w:val="auto"/>
                <w:w w:val="91"/>
              </w:rPr>
              <w:t>in TEUs</w:t>
            </w: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gridSpan w:val="2"/>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54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b w:val="1"/>
                <w:bCs w:val="1"/>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5960" w:type="dxa"/>
            <w:vAlign w:val="bottom"/>
            <w:gridSpan w:val="3"/>
          </w:tcPr>
          <w:p>
            <w:pPr>
              <w:spacing w:after="0" w:line="201" w:lineRule="exact"/>
              <w:rPr>
                <w:sz w:val="20"/>
                <w:szCs w:val="20"/>
                <w:color w:val="auto"/>
              </w:rPr>
            </w:pPr>
            <w:r>
              <w:rPr>
                <w:rFonts w:ascii="Arial" w:cs="Arial" w:eastAsia="Arial" w:hAnsi="Arial"/>
                <w:sz w:val="18"/>
                <w:szCs w:val="18"/>
                <w:color w:val="auto"/>
              </w:rPr>
              <w:t xml:space="preserve">Zim Alabama </w:t>
            </w:r>
            <w:r>
              <w:rPr>
                <w:rFonts w:ascii="Arial" w:cs="Arial" w:eastAsia="Arial" w:hAnsi="Arial"/>
                <w:sz w:val="11"/>
                <w:szCs w:val="11"/>
                <w:color w:val="auto"/>
              </w:rPr>
              <w:t>(2)</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4,250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960" w:type="dxa"/>
            <w:vAlign w:val="bottom"/>
            <w:gridSpan w:val="3"/>
          </w:tcPr>
          <w:p>
            <w:pPr>
              <w:spacing w:after="0"/>
              <w:rPr>
                <w:sz w:val="20"/>
                <w:szCs w:val="20"/>
                <w:color w:val="auto"/>
              </w:rPr>
            </w:pPr>
            <w:r>
              <w:rPr>
                <w:rFonts w:ascii="Arial" w:cs="Arial" w:eastAsia="Arial" w:hAnsi="Arial"/>
                <w:sz w:val="18"/>
                <w:szCs w:val="18"/>
                <w:color w:val="auto"/>
              </w:rPr>
              <w:t xml:space="preserve">Zim Texas </w:t>
            </w:r>
            <w:r>
              <w:rPr>
                <w:rFonts w:ascii="Arial" w:cs="Arial" w:eastAsia="Arial" w:hAnsi="Arial"/>
                <w:sz w:val="11"/>
                <w:szCs w:val="11"/>
                <w:color w:val="auto"/>
              </w:rPr>
              <w:t>(2)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Approximate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Charter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Remaining</w:t>
            </w: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Daily</w:t>
            </w:r>
          </w:p>
        </w:tc>
      </w:tr>
      <w:tr>
        <w:trPr>
          <w:trHeight w:val="134"/>
        </w:trPr>
        <w:tc>
          <w:tcPr>
            <w:tcW w:w="94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95"/>
              </w:rPr>
              <w:t>Capacity</w:t>
            </w:r>
          </w:p>
        </w:tc>
        <w:tc>
          <w:tcPr>
            <w:tcW w:w="70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Year</w:t>
            </w:r>
          </w:p>
        </w:tc>
        <w:tc>
          <w:tcPr>
            <w:tcW w:w="148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rPr>
              <w:t>Purchase Date</w:t>
            </w: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Duration</w:t>
            </w:r>
          </w:p>
        </w:tc>
        <w:tc>
          <w:tcPr>
            <w:tcW w:w="1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Charter</w:t>
            </w:r>
          </w:p>
        </w:tc>
      </w:tr>
      <w:tr>
        <w:trPr>
          <w:trHeight w:val="176"/>
        </w:trPr>
        <w:tc>
          <w:tcPr>
            <w:tcW w:w="940" w:type="dxa"/>
            <w:vAlign w:val="bottom"/>
            <w:gridSpan w:val="2"/>
          </w:tcPr>
          <w:p>
            <w:pPr>
              <w:jc w:val="right"/>
              <w:ind w:right="300"/>
              <w:spacing w:after="0" w:line="176" w:lineRule="exact"/>
              <w:rPr>
                <w:sz w:val="20"/>
                <w:szCs w:val="20"/>
                <w:color w:val="auto"/>
              </w:rPr>
            </w:pPr>
            <w:r>
              <w:rPr>
                <w:rFonts w:ascii="Arial" w:cs="Arial" w:eastAsia="Arial" w:hAnsi="Arial"/>
                <w:sz w:val="13"/>
                <w:szCs w:val="13"/>
                <w:b w:val="1"/>
                <w:bCs w:val="1"/>
                <w:color w:val="auto"/>
                <w:w w:val="90"/>
              </w:rPr>
              <w:t xml:space="preserve">in TEUs </w:t>
            </w:r>
            <w:r>
              <w:rPr>
                <w:rFonts w:ascii="Arial" w:cs="Arial" w:eastAsia="Arial" w:hAnsi="Arial"/>
                <w:sz w:val="20"/>
                <w:szCs w:val="20"/>
                <w:b w:val="1"/>
                <w:bCs w:val="1"/>
                <w:color w:val="auto"/>
                <w:w w:val="90"/>
                <w:vertAlign w:val="superscript"/>
              </w:rPr>
              <w:t>(1)</w:t>
            </w: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Built</w:t>
            </w: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by GSL</w:t>
            </w:r>
          </w:p>
        </w:tc>
        <w:tc>
          <w:tcPr>
            <w:tcW w:w="92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89"/>
              </w:rPr>
              <w:t xml:space="preserve">(years) </w:t>
            </w:r>
            <w:r>
              <w:rPr>
                <w:rFonts w:ascii="Arial" w:cs="Arial" w:eastAsia="Arial" w:hAnsi="Arial"/>
                <w:sz w:val="20"/>
                <w:szCs w:val="20"/>
                <w:b w:val="1"/>
                <w:bCs w:val="1"/>
                <w:color w:val="auto"/>
                <w:w w:val="89"/>
                <w:vertAlign w:val="superscript"/>
              </w:rPr>
              <w:t>(2)</w:t>
            </w:r>
          </w:p>
        </w:tc>
        <w:tc>
          <w:tcPr>
            <w:tcW w:w="1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r>
      <w:tr>
        <w:trPr>
          <w:trHeight w:val="201"/>
        </w:trPr>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4,113</w:t>
            </w:r>
          </w:p>
        </w:tc>
        <w:tc>
          <w:tcPr>
            <w:tcW w:w="300" w:type="dxa"/>
            <w:vAlign w:val="bottom"/>
          </w:tcPr>
          <w:p>
            <w:pPr>
              <w:spacing w:after="0"/>
              <w:rPr>
                <w:sz w:val="17"/>
                <w:szCs w:val="17"/>
                <w:color w:val="auto"/>
              </w:rPr>
            </w:pPr>
          </w:p>
        </w:tc>
        <w:tc>
          <w:tcPr>
            <w:tcW w:w="40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79"/>
              </w:rPr>
              <w:t>1997</w:t>
            </w:r>
          </w:p>
        </w:tc>
        <w:tc>
          <w:tcPr>
            <w:tcW w:w="300" w:type="dxa"/>
            <w:vAlign w:val="bottom"/>
          </w:tcPr>
          <w:p>
            <w:pPr>
              <w:spacing w:after="0"/>
              <w:rPr>
                <w:sz w:val="17"/>
                <w:szCs w:val="17"/>
                <w:color w:val="auto"/>
              </w:rPr>
            </w:pPr>
          </w:p>
        </w:tc>
        <w:tc>
          <w:tcPr>
            <w:tcW w:w="1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0"/>
              </w:rPr>
              <w:t>December 2007</w:t>
            </w:r>
          </w:p>
        </w:tc>
        <w:tc>
          <w:tcPr>
            <w:tcW w:w="300" w:type="dxa"/>
            <w:vAlign w:val="bottom"/>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$28,500</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4,113</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1996</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December 2007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$28,500</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2,262</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1999</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December 2007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$18,465</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2,262</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1999</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December 2007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$18,465</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2003</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December 2007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$18,465</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December 2007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$18,465</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December 2007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$18,465</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December 2007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$18,465</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2,272</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2001</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December 2007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$18,465</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2,272</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2001</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December 2007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$18,465</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5,100</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2007</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January 2008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$33,750</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5,100</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2007</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January 2008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$33,750</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10,960</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2008</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December 2008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$47,200</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4,298</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December 2008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$25,350</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4,045</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December 2008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$25,350</w:t>
            </w:r>
          </w:p>
        </w:tc>
      </w:tr>
      <w:tr>
        <w:trPr>
          <w:trHeight w:val="216"/>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4,045</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December 2008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$25,350</w:t>
            </w:r>
          </w:p>
        </w:tc>
      </w:tr>
      <w:tr>
        <w:trPr>
          <w:trHeight w:val="222"/>
        </w:trPr>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6,627</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2001</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August 2009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10.75</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$34,000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center"/>
              <w:ind w:right="204"/>
              <w:spacing w:after="0"/>
              <w:rPr>
                <w:sz w:val="20"/>
                <w:szCs w:val="20"/>
                <w:color w:val="auto"/>
              </w:rPr>
            </w:pPr>
            <w:r>
              <w:rPr>
                <w:rFonts w:ascii="Arial" w:cs="Arial" w:eastAsia="Arial" w:hAnsi="Arial"/>
                <w:sz w:val="14"/>
                <w:szCs w:val="14"/>
                <w:b w:val="1"/>
                <w:bCs w:val="1"/>
                <w:color w:val="auto"/>
                <w:w w:val="92"/>
              </w:rPr>
              <w:t>Charter</w:t>
            </w: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Daily</w:t>
            </w:r>
          </w:p>
        </w:tc>
      </w:tr>
      <w:tr>
        <w:trPr>
          <w:trHeight w:val="149"/>
        </w:trPr>
        <w:tc>
          <w:tcPr>
            <w:tcW w:w="4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2"/>
                <w:szCs w:val="12"/>
                <w:color w:val="auto"/>
              </w:rPr>
            </w:pPr>
          </w:p>
        </w:tc>
        <w:tc>
          <w:tcPr>
            <w:tcW w:w="14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Potential Delivery</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Duration</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Charter</w:t>
            </w:r>
          </w:p>
        </w:tc>
      </w:tr>
      <w:tr>
        <w:trPr>
          <w:trHeight w:val="161"/>
        </w:trPr>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Built</w:t>
            </w:r>
          </w:p>
        </w:tc>
        <w:tc>
          <w:tcPr>
            <w:tcW w:w="280" w:type="dxa"/>
            <w:vAlign w:val="bottom"/>
          </w:tcPr>
          <w:p>
            <w:pPr>
              <w:spacing w:after="0"/>
              <w:rPr>
                <w:sz w:val="14"/>
                <w:szCs w:val="14"/>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Date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1"/>
              </w:rPr>
              <w:t>Charterer</w:t>
            </w:r>
          </w:p>
        </w:tc>
        <w:tc>
          <w:tcPr>
            <w:tcW w:w="300" w:type="dxa"/>
            <w:vAlign w:val="bottom"/>
          </w:tcPr>
          <w:p>
            <w:pPr>
              <w:spacing w:after="0"/>
              <w:rPr>
                <w:sz w:val="14"/>
                <w:szCs w:val="14"/>
                <w:color w:val="auto"/>
              </w:rPr>
            </w:pPr>
          </w:p>
        </w:tc>
        <w:tc>
          <w:tcPr>
            <w:tcW w:w="760" w:type="dxa"/>
            <w:vAlign w:val="bottom"/>
            <w:gridSpan w:val="2"/>
          </w:tcPr>
          <w:p>
            <w:pPr>
              <w:jc w:val="center"/>
              <w:ind w:right="184"/>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r>
      <w:tr>
        <w:trPr>
          <w:trHeight w:val="201"/>
        </w:trPr>
        <w:tc>
          <w:tcPr>
            <w:tcW w:w="42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84"/>
              </w:rPr>
              <w:t>2010</w:t>
            </w:r>
          </w:p>
        </w:tc>
        <w:tc>
          <w:tcPr>
            <w:tcW w:w="280" w:type="dxa"/>
            <w:vAlign w:val="bottom"/>
          </w:tcPr>
          <w:p>
            <w:pPr>
              <w:spacing w:after="0"/>
              <w:rPr>
                <w:sz w:val="17"/>
                <w:szCs w:val="17"/>
                <w:color w:val="auto"/>
              </w:rPr>
            </w:pPr>
          </w:p>
        </w:tc>
        <w:tc>
          <w:tcPr>
            <w:tcW w:w="1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0"/>
              </w:rPr>
              <w:t>December 2011</w:t>
            </w:r>
          </w:p>
        </w:tc>
        <w:tc>
          <w:tcPr>
            <w:tcW w:w="300" w:type="dxa"/>
            <w:vAlign w:val="bottom"/>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ZIM</w:t>
            </w:r>
          </w:p>
        </w:tc>
        <w:tc>
          <w:tcPr>
            <w:tcW w:w="300" w:type="dxa"/>
            <w:vAlign w:val="bottom"/>
          </w:tcPr>
          <w:p>
            <w:pPr>
              <w:spacing w:after="0"/>
              <w:rPr>
                <w:sz w:val="17"/>
                <w:szCs w:val="17"/>
                <w:color w:val="auto"/>
              </w:rPr>
            </w:pP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6-7</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(3)</w:t>
            </w:r>
          </w:p>
        </w:tc>
        <w:tc>
          <w:tcPr>
            <w:tcW w:w="120" w:type="dxa"/>
            <w:vAlign w:val="bottom"/>
          </w:tcPr>
          <w:p>
            <w:pPr>
              <w:spacing w:after="0"/>
              <w:rPr>
                <w:sz w:val="17"/>
                <w:szCs w:val="17"/>
                <w:color w:val="auto"/>
              </w:rPr>
            </w:pPr>
          </w:p>
        </w:tc>
        <w:tc>
          <w:tcPr>
            <w:tcW w:w="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$28,000</w:t>
            </w:r>
          </w:p>
        </w:tc>
      </w:tr>
      <w:tr>
        <w:trPr>
          <w:trHeight w:val="222"/>
        </w:trPr>
        <w:tc>
          <w:tcPr>
            <w:tcW w:w="420" w:type="dxa"/>
            <w:vAlign w:val="bottom"/>
          </w:tcPr>
          <w:p>
            <w:pPr>
              <w:ind w:left="60"/>
              <w:spacing w:after="0"/>
              <w:rPr>
                <w:sz w:val="20"/>
                <w:szCs w:val="20"/>
                <w:color w:val="auto"/>
              </w:rPr>
            </w:pPr>
            <w:r>
              <w:rPr>
                <w:rFonts w:ascii="Arial" w:cs="Arial" w:eastAsia="Arial" w:hAnsi="Arial"/>
                <w:sz w:val="18"/>
                <w:szCs w:val="18"/>
                <w:color w:val="auto"/>
                <w:w w:val="84"/>
              </w:rPr>
              <w:t>2011</w:t>
            </w:r>
          </w:p>
        </w:tc>
        <w:tc>
          <w:tcPr>
            <w:tcW w:w="28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January 2012</w:t>
            </w:r>
          </w:p>
        </w:tc>
        <w:tc>
          <w:tcPr>
            <w:tcW w:w="600" w:type="dxa"/>
            <w:vAlign w:val="bottom"/>
          </w:tcPr>
          <w:p>
            <w:pPr>
              <w:jc w:val="right"/>
              <w:spacing w:after="0"/>
              <w:rPr>
                <w:sz w:val="20"/>
                <w:szCs w:val="20"/>
                <w:color w:val="auto"/>
              </w:rPr>
            </w:pPr>
            <w:r>
              <w:rPr>
                <w:rFonts w:ascii="Arial" w:cs="Arial" w:eastAsia="Arial" w:hAnsi="Arial"/>
                <w:sz w:val="18"/>
                <w:szCs w:val="18"/>
                <w:color w:val="auto"/>
              </w:rPr>
              <w:t>ZIM</w:t>
            </w:r>
          </w:p>
        </w:tc>
        <w:tc>
          <w:tcPr>
            <w:tcW w:w="1060" w:type="dxa"/>
            <w:vAlign w:val="bottom"/>
            <w:gridSpan w:val="3"/>
          </w:tcPr>
          <w:p>
            <w:pPr>
              <w:jc w:val="right"/>
              <w:ind w:right="44"/>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1"/>
                <w:szCs w:val="11"/>
                <w:color w:val="auto"/>
              </w:rPr>
              <w:t>(3)</w:t>
            </w:r>
          </w:p>
        </w:tc>
        <w:tc>
          <w:tcPr>
            <w:tcW w:w="70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$28,000</w:t>
            </w:r>
          </w:p>
        </w:tc>
      </w:tr>
    </w:tbl>
    <w:p>
      <w:pPr>
        <w:sectPr>
          <w:pgSz w:w="11900" w:h="16838" w:orient="portrait"/>
          <w:cols w:equalWidth="0" w:num="2">
            <w:col w:w="6500" w:space="60"/>
            <w:col w:w="4860"/>
          </w:cols>
          <w:pgMar w:left="240" w:top="277" w:right="239" w:bottom="1440" w:gutter="0" w:footer="0" w:header="0"/>
          <w:type w:val="continuous"/>
        </w:sectPr>
      </w:pPr>
    </w:p>
    <w:bookmarkStart w:id="8" w:name="page9"/>
    <w:bookmarkEnd w:id="8"/>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to purchase from German interests for a payment of $61.25 million per vessel.</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Six-year charter from December 2011/January 2012 that could be extended to seven years at charterer’s option.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Global Ship Lease will hold a conference call to discuss the Company’s results for the three months ended December 31, 2010 today, Tuesday, March 8, 2011 at 10:30 a.m. Eastern Time. There are two ways to access the conference call: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(1) Dial-in: (888) 935-4575 or (212) 444-0412; Passcode: 3491512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dial in at least 10 minutes prior to 10:30 a.m. Eastern Time to ensure a prompt start to the call.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Live Internet webcast and slide presentation: </w:t>
      </w:r>
      <w:r>
        <w:rPr>
          <w:rFonts w:ascii="Arial" w:cs="Arial" w:eastAsia="Arial" w:hAnsi="Arial"/>
          <w:sz w:val="18"/>
          <w:szCs w:val="18"/>
          <w:u w:val="single" w:color="auto"/>
          <w:color w:val="auto"/>
        </w:rPr>
        <w:t>http://www.globalshiplease.com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are unable to participate at this time, a replay of the call will be available through Tuesday, March 22, 2011 at (866) 932-5017 or (347) 366-9565.</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Enter the code 3491512 to access the audio replay. The webcast will also be archived on the Company’s website: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Ship Lease</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Global Ship Lease is a containership charter owner. Incorporated in the Marshall Islands, Global Ship Lease commenced operations in December 2007 with a business of owning and chartering out containerships under long-term, fixed rate charters to world class container liner companies.</w:t>
      </w:r>
    </w:p>
    <w:p>
      <w:pPr>
        <w:spacing w:after="0" w:line="8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Global Ship Lease owns 17 vessels with a total capacity of 66,297 TEU with an average age, weighted by TEU capacity, at December 31, 2010 of 6.8 years. All of the current vessels are fixed on long-term charters to CMA CGM with an average remaining term of 8.1 years, or 9.3 years on a weighted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Non-U.S. GAAP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EBITDA</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EBITDA represents Net income (loss) before interest income and expense including amortization of deferred finance costs, realized and unrealized gain (loss) on derivatives, income taxes, depreciation, amortization and impairment charges. EBITDA is a non-US GAAP quantitative measure used to assist in the assessment of the Company’s ability to generate cash from its operations. We believe that the presentation of EBITDA is useful to investors because it is frequently used by securities analysts, investors and other interested parties in the evaluation of companies in our industry. EBITDA is not defined in US GAAP and should not be considered to be an alternate to Net income (loss) or any other financial metric required by such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Three</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Three</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1"/>
              </w:rPr>
              <w:t>Year</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1"/>
              </w:rPr>
              <w:t>Year</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6"/>
              </w:rPr>
              <w:t>Dec 31,</w:t>
            </w: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Dec 31,</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Dec 31,</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Dec 31,</w:t>
            </w:r>
          </w:p>
        </w:tc>
        <w:tc>
          <w:tcPr>
            <w:tcW w:w="0" w:type="dxa"/>
            <w:vAlign w:val="bottom"/>
          </w:tcPr>
          <w:p>
            <w:pPr>
              <w:spacing w:after="0"/>
              <w:rPr>
                <w:sz w:val="1"/>
                <w:szCs w:val="1"/>
                <w:color w:val="auto"/>
              </w:rPr>
            </w:pPr>
          </w:p>
        </w:tc>
      </w:tr>
      <w:tr>
        <w:trPr>
          <w:trHeight w:val="159"/>
        </w:trPr>
        <w:tc>
          <w:tcPr>
            <w:tcW w:w="144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32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2009</w:t>
            </w:r>
          </w:p>
        </w:tc>
        <w:tc>
          <w:tcPr>
            <w:tcW w:w="300" w:type="dxa"/>
            <w:vAlign w:val="bottom"/>
          </w:tcPr>
          <w:p>
            <w:pPr>
              <w:spacing w:after="0"/>
              <w:rPr>
                <w:sz w:val="13"/>
                <w:szCs w:val="13"/>
                <w:color w:val="auto"/>
              </w:rPr>
            </w:pPr>
          </w:p>
        </w:tc>
        <w:tc>
          <w:tcPr>
            <w:tcW w:w="6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32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7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12,348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42,374</w:t>
            </w:r>
          </w:p>
        </w:tc>
        <w:tc>
          <w:tcPr>
            <w:tcW w:w="0" w:type="dxa"/>
            <w:vAlign w:val="bottom"/>
          </w:tcPr>
          <w:p>
            <w:pPr>
              <w:spacing w:after="0"/>
              <w:rPr>
                <w:sz w:val="1"/>
                <w:szCs w:val="1"/>
                <w:color w:val="auto"/>
              </w:rPr>
            </w:pPr>
          </w:p>
        </w:tc>
      </w:tr>
      <w:tr>
        <w:trPr>
          <w:trHeight w:val="323"/>
        </w:trPr>
        <w:tc>
          <w:tcPr>
            <w:tcW w:w="1440" w:type="dxa"/>
            <w:vAlign w:val="bottom"/>
          </w:tcPr>
          <w:p>
            <w:pPr>
              <w:spacing w:after="0"/>
              <w:rPr>
                <w:sz w:val="20"/>
                <w:szCs w:val="20"/>
                <w:color w:val="auto"/>
              </w:rPr>
            </w:pPr>
            <w:r>
              <w:rPr>
                <w:rFonts w:ascii="Arial" w:cs="Arial" w:eastAsia="Arial" w:hAnsi="Arial"/>
                <w:sz w:val="18"/>
                <w:szCs w:val="18"/>
                <w:color w:val="auto"/>
              </w:rPr>
              <w:t>Adjust:</w:t>
            </w:r>
          </w:p>
        </w:tc>
        <w:tc>
          <w:tcPr>
            <w:tcW w:w="57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10,096</w:t>
            </w:r>
          </w:p>
        </w:tc>
        <w:tc>
          <w:tcPr>
            <w:tcW w:w="32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10,066</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40,051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37,307</w:t>
            </w: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spacing w:after="0"/>
              <w:rPr>
                <w:sz w:val="18"/>
                <w:szCs w:val="18"/>
                <w:color w:val="auto"/>
              </w:rPr>
            </w:pPr>
          </w:p>
        </w:tc>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charge (1)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17,082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17,082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7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6,107</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23,828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24,224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760" w:type="dxa"/>
            <w:vAlign w:val="bottom"/>
          </w:tcPr>
          <w:p>
            <w:pPr>
              <w:ind w:left="180"/>
              <w:spacing w:after="0"/>
              <w:rPr>
                <w:sz w:val="20"/>
                <w:szCs w:val="20"/>
                <w:color w:val="auto"/>
              </w:rPr>
            </w:pPr>
            <w:r>
              <w:rPr>
                <w:rFonts w:ascii="Arial" w:cs="Arial" w:eastAsia="Arial" w:hAnsi="Arial"/>
                <w:sz w:val="18"/>
                <w:szCs w:val="18"/>
                <w:color w:val="auto"/>
              </w:rPr>
              <w:t>Realized and unrealized (gain) loss on interest rate derivatives</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(7,367)</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(702)</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32,049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1440" w:type="dxa"/>
            <w:vAlign w:val="bottom"/>
            <w:vMerge w:val="restart"/>
          </w:tcPr>
          <w:p>
            <w:pPr>
              <w:spacing w:after="0"/>
              <w:rPr>
                <w:sz w:val="20"/>
                <w:szCs w:val="20"/>
                <w:color w:val="auto"/>
              </w:rPr>
            </w:pPr>
            <w:r>
              <w:rPr>
                <w:rFonts w:ascii="Arial" w:cs="Arial" w:eastAsia="Arial" w:hAnsi="Arial"/>
                <w:sz w:val="18"/>
                <w:szCs w:val="18"/>
                <w:color w:val="auto"/>
              </w:rPr>
              <w:t>EBITDA</w:t>
            </w:r>
          </w:p>
        </w:tc>
        <w:tc>
          <w:tcPr>
            <w:tcW w:w="5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40" w:type="dxa"/>
            <w:vAlign w:val="bottom"/>
            <w:vMerge w:val="continue"/>
          </w:tcPr>
          <w:p>
            <w:pPr>
              <w:spacing w:after="0"/>
              <w:rPr>
                <w:sz w:val="19"/>
                <w:szCs w:val="19"/>
                <w:color w:val="auto"/>
              </w:rPr>
            </w:pPr>
          </w:p>
        </w:tc>
        <w:tc>
          <w:tcPr>
            <w:tcW w:w="57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26,405</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27,928</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108,905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99,024</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40"/>
          </w:cols>
          <w:pgMar w:left="240" w:top="280" w:right="319" w:bottom="1440" w:gutter="0" w:footer="0" w:header="0"/>
        </w:sectPr>
      </w:pPr>
    </w:p>
    <w:bookmarkStart w:id="9" w:name="page10"/>
    <w:bookmarkEnd w:id="9"/>
    <w:p>
      <w:pPr>
        <w:jc w:val="both"/>
        <w:ind w:left="460" w:right="22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US GAAP, following the agreement to convert purchase obligations on two 4,250 TEU vessels into options, an impairment charge totalling $17.1 million has been recognised in the quarter ended December 31, 2010 comprised $15.5 million released deposits, $1.3 million interest capitalised thereon and $0.3 million other predelivery capital expenditure.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 Normalized net income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Normalized net income represents Net income (loss) adjusted for the unrealized gain (loss) on derivatives, the accelerated write off of a portion of deferred financing costs and impairment charges. Normalized net income is a non-GAAP quantitative measure which we believe will assist investors and analysts who often adjust reported net income for non-operating items such as change in fair value of derivatives to eliminate the effect of non cash non-operating items that do not affect operating performance or cash generated. Normalized net income is not defined in US GAAP and should not be considered to be an alternate to Net income (loss) or any other financial metric required by such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NORMALIZED NET INCOME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Three</w:t>
            </w:r>
          </w:p>
        </w:tc>
        <w:tc>
          <w:tcPr>
            <w:tcW w:w="86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Three</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4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1"/>
              </w:rPr>
              <w:t>Year</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Year</w:t>
            </w:r>
          </w:p>
        </w:tc>
      </w:tr>
      <w:tr>
        <w:trPr>
          <w:trHeight w:val="149"/>
        </w:trPr>
        <w:tc>
          <w:tcPr>
            <w:tcW w:w="14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ended</w:t>
            </w:r>
          </w:p>
        </w:tc>
      </w:tr>
      <w:tr>
        <w:trPr>
          <w:trHeight w:val="149"/>
        </w:trPr>
        <w:tc>
          <w:tcPr>
            <w:tcW w:w="14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6"/>
              </w:rPr>
              <w:t>Dec 31,</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6"/>
              </w:rPr>
              <w:t>Dec 31,</w:t>
            </w: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Dec 31,</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Dec 31,</w:t>
            </w:r>
          </w:p>
        </w:tc>
      </w:tr>
      <w:tr>
        <w:trPr>
          <w:trHeight w:val="159"/>
        </w:trPr>
        <w:tc>
          <w:tcPr>
            <w:tcW w:w="14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30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2009</w:t>
            </w:r>
          </w:p>
        </w:tc>
        <w:tc>
          <w:tcPr>
            <w:tcW w:w="32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30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2009</w:t>
            </w:r>
          </w:p>
        </w:tc>
        <w:tc>
          <w:tcPr>
            <w:tcW w:w="100" w:type="dxa"/>
            <w:vAlign w:val="bottom"/>
          </w:tcPr>
          <w:p>
            <w:pPr>
              <w:spacing w:after="0"/>
              <w:rPr>
                <w:sz w:val="13"/>
                <w:szCs w:val="13"/>
                <w:color w:val="auto"/>
              </w:rPr>
            </w:pPr>
          </w:p>
        </w:tc>
      </w:tr>
      <w:tr>
        <w:trPr>
          <w:trHeight w:val="21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60" w:type="dxa"/>
            <w:vAlign w:val="bottom"/>
            <w:shd w:val="clear" w:color="auto" w:fill="CCEEFF"/>
          </w:tcPr>
          <w:p>
            <w:pPr>
              <w:spacing w:after="0"/>
              <w:rPr>
                <w:sz w:val="18"/>
                <w:szCs w:val="18"/>
                <w:color w:val="auto"/>
              </w:rPr>
            </w:pPr>
          </w:p>
        </w:tc>
        <w:tc>
          <w:tcPr>
            <w:tcW w:w="3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1,226</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12,348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42,374</w:t>
            </w:r>
          </w:p>
        </w:tc>
      </w:tr>
      <w:tr>
        <w:trPr>
          <w:trHeight w:val="322"/>
        </w:trPr>
        <w:tc>
          <w:tcPr>
            <w:tcW w:w="1440" w:type="dxa"/>
            <w:vAlign w:val="bottom"/>
          </w:tcPr>
          <w:p>
            <w:pPr>
              <w:spacing w:after="0"/>
              <w:rPr>
                <w:sz w:val="20"/>
                <w:szCs w:val="20"/>
                <w:color w:val="auto"/>
              </w:rPr>
            </w:pPr>
            <w:r>
              <w:rPr>
                <w:rFonts w:ascii="Arial" w:cs="Arial" w:eastAsia="Arial" w:hAnsi="Arial"/>
                <w:sz w:val="18"/>
                <w:szCs w:val="18"/>
                <w:color w:val="auto"/>
              </w:rPr>
              <w:t>Adjust:</w:t>
            </w:r>
          </w:p>
        </w:tc>
        <w:tc>
          <w:tcPr>
            <w:tcW w:w="3260" w:type="dxa"/>
            <w:vAlign w:val="bottom"/>
          </w:tcPr>
          <w:p>
            <w:pPr>
              <w:ind w:left="200"/>
              <w:spacing w:after="0"/>
              <w:rPr>
                <w:sz w:val="20"/>
                <w:szCs w:val="20"/>
                <w:color w:val="auto"/>
              </w:rPr>
            </w:pPr>
            <w:r>
              <w:rPr>
                <w:rFonts w:ascii="Arial" w:cs="Arial" w:eastAsia="Arial" w:hAnsi="Arial"/>
                <w:sz w:val="18"/>
                <w:szCs w:val="18"/>
                <w:color w:val="auto"/>
              </w:rPr>
              <w:t>Unrealized gain (loss) on derivatives</w:t>
            </w:r>
          </w:p>
        </w:tc>
        <w:tc>
          <w:tcPr>
            <w:tcW w:w="3380" w:type="dxa"/>
            <w:vAlign w:val="bottom"/>
            <w:gridSpan w:val="3"/>
          </w:tcPr>
          <w:p>
            <w:pPr>
              <w:jc w:val="right"/>
              <w:ind w:right="240"/>
              <w:spacing w:after="0"/>
              <w:rPr>
                <w:sz w:val="20"/>
                <w:szCs w:val="20"/>
                <w:color w:val="auto"/>
              </w:rPr>
            </w:pPr>
            <w:r>
              <w:rPr>
                <w:rFonts w:ascii="Arial" w:cs="Arial" w:eastAsia="Arial" w:hAnsi="Arial"/>
                <w:sz w:val="18"/>
                <w:szCs w:val="18"/>
                <w:color w:val="auto"/>
              </w:rPr>
              <w:t>(11,710)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(5,094)</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15,322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(17,928)</w:t>
            </w:r>
          </w:p>
        </w:tc>
      </w:tr>
      <w:tr>
        <w:trPr>
          <w:trHeight w:val="110"/>
        </w:trPr>
        <w:tc>
          <w:tcPr>
            <w:tcW w:w="144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1440" w:type="dxa"/>
            <w:vAlign w:val="bottom"/>
            <w:shd w:val="clear" w:color="auto" w:fill="CCEEFF"/>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Deferred financing costs written off (1)</w:t>
            </w:r>
          </w:p>
        </w:tc>
        <w:tc>
          <w:tcPr>
            <w:tcW w:w="2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w:t>
            </w:r>
          </w:p>
        </w:tc>
      </w:tr>
      <w:tr>
        <w:trPr>
          <w:trHeight w:val="323"/>
        </w:trPr>
        <w:tc>
          <w:tcPr>
            <w:tcW w:w="1440" w:type="dxa"/>
            <w:vAlign w:val="bottom"/>
          </w:tcPr>
          <w:p>
            <w:pPr>
              <w:spacing w:after="0"/>
              <w:rPr>
                <w:sz w:val="24"/>
                <w:szCs w:val="24"/>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Impairment charge (2)</w:t>
            </w:r>
          </w:p>
        </w:tc>
        <w:tc>
          <w:tcPr>
            <w:tcW w:w="3380" w:type="dxa"/>
            <w:vAlign w:val="bottom"/>
            <w:gridSpan w:val="3"/>
          </w:tcPr>
          <w:p>
            <w:pPr>
              <w:jc w:val="right"/>
              <w:ind w:right="300"/>
              <w:spacing w:after="0"/>
              <w:rPr>
                <w:sz w:val="20"/>
                <w:szCs w:val="20"/>
                <w:color w:val="auto"/>
              </w:rPr>
            </w:pPr>
            <w:r>
              <w:rPr>
                <w:rFonts w:ascii="Arial" w:cs="Arial" w:eastAsia="Arial" w:hAnsi="Arial"/>
                <w:sz w:val="18"/>
                <w:szCs w:val="18"/>
                <w:color w:val="auto"/>
              </w:rPr>
              <w:t>17,082</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17,082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116"/>
        </w:trPr>
        <w:tc>
          <w:tcPr>
            <w:tcW w:w="14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1440" w:type="dxa"/>
            <w:vAlign w:val="bottom"/>
            <w:shd w:val="clear" w:color="auto" w:fill="CCEEFF"/>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Normalized net income</w:t>
            </w:r>
          </w:p>
        </w:tc>
        <w:tc>
          <w:tcPr>
            <w:tcW w:w="2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7,254</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28,433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26,637</w:t>
            </w:r>
          </w:p>
        </w:tc>
      </w:tr>
      <w:tr>
        <w:trPr>
          <w:trHeight w:val="20"/>
        </w:trPr>
        <w:tc>
          <w:tcPr>
            <w:tcW w:w="14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14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380" w:type="dxa"/>
            <w:vAlign w:val="bottom"/>
            <w:gridSpan w:val="3"/>
          </w:tcPr>
          <w:p>
            <w:pPr>
              <w:jc w:val="right"/>
              <w:ind w:right="2580"/>
              <w:spacing w:after="0"/>
              <w:rPr>
                <w:sz w:val="20"/>
                <w:szCs w:val="20"/>
                <w:color w:val="auto"/>
              </w:rPr>
            </w:pPr>
            <w:r>
              <w:rPr>
                <w:rFonts w:ascii="Arial" w:cs="Arial" w:eastAsia="Arial" w:hAnsi="Arial"/>
                <w:sz w:val="18"/>
                <w:szCs w:val="18"/>
                <w:color w:val="auto"/>
              </w:rPr>
              <w:t>Page 8</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280" w:right="279" w:bottom="1440" w:gutter="0" w:footer="0" w:header="0"/>
        </w:sectPr>
      </w:pPr>
    </w:p>
    <w:bookmarkStart w:id="10" w:name="page11"/>
    <w:bookmarkEnd w:id="10"/>
    <w:p>
      <w:pPr>
        <w:ind w:left="460" w:right="16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reductions in the Company’s borrowing capacity under its credit facility, a proportion of the unamortized deferred financing costs were written off.</w:t>
      </w:r>
    </w:p>
    <w:p>
      <w:pPr>
        <w:ind w:left="46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US GAAP, following the agreement to convert purchase obligations on two 4,250 TEU vessels into purchase options, an impairment charge totalling $17.1 million has been recognised in the three months ended December 31, 2010 comprised $15.5 million released deposits, $1.3 million interest capitalised thereon and $0.3 million other predelivery capital expenditure.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financial condition of CMA CGM, our sole charterer and only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financial condition and liquidity, including its ability to obtain additional waivers which might be necessary under the existing credit facility or obtain additional financing to fund capital expenditures, contracted and yet to be contracted vessel acquisitions and other general corporate purposes;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00"/>
          </w:cols>
          <w:pgMar w:left="240" w:top="280" w:right="259" w:bottom="1440" w:gutter="0" w:footer="0" w:header="0"/>
        </w:sectPr>
      </w:pPr>
    </w:p>
    <w:bookmarkStart w:id="11" w:name="page12"/>
    <w:bookmarkEnd w:id="11"/>
    <w:p>
      <w:pPr>
        <w:ind w:left="900" w:right="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Lease’s expectations about the availability of ships to purchase, the time that it may take to construct new ships, or the useful lives of its 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or renew long-term, fixed-rate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 team’s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280"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Time charter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40,035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39,884</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158,837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148,708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11,383</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42,067</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10,096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10,066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40,051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Impairment charge</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17,082</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17,082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40,808</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107,064</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51,773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61,717</w:t>
            </w:r>
          </w:p>
        </w:tc>
        <w:tc>
          <w:tcPr>
            <w:tcW w:w="0" w:type="dxa"/>
            <w:vAlign w:val="bottom"/>
          </w:tcPr>
          <w:p>
            <w:pPr>
              <w:spacing w:after="0"/>
              <w:rPr>
                <w:sz w:val="1"/>
                <w:szCs w:val="1"/>
                <w:color w:val="auto"/>
              </w:rPr>
            </w:pPr>
          </w:p>
        </w:tc>
      </w:tr>
      <w:tr>
        <w:trPr>
          <w:trHeight w:val="322"/>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(5,962)</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(6,107)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(23,828)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interest rate derivatives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(32,049)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656</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12,493</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(3,919)</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42,818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1,226</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(3,971)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47,126,391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46,675,140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46,910,604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46,459,509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47,390,171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46,675,140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46,910,604</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46,754,858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Class A common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0.26</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323"/>
        </w:trPr>
        <w:tc>
          <w:tcPr>
            <w:tcW w:w="628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323"/>
        </w:trPr>
        <w:tc>
          <w:tcPr>
            <w:tcW w:w="6280" w:type="dxa"/>
            <w:vAlign w:val="bottom"/>
            <w:gridSpan w:val="2"/>
          </w:tcPr>
          <w:p>
            <w:pPr>
              <w:spacing w:after="0"/>
              <w:rPr>
                <w:sz w:val="20"/>
                <w:szCs w:val="20"/>
                <w:color w:val="auto"/>
              </w:rPr>
            </w:pPr>
            <w:r>
              <w:rPr>
                <w:rFonts w:ascii="Arial" w:cs="Arial" w:eastAsia="Arial" w:hAnsi="Arial"/>
                <w:sz w:val="18"/>
                <w:szCs w:val="18"/>
                <w:color w:val="auto"/>
              </w:rPr>
              <w:t>Net income (loss) in $ per Class B common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nil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Successor</w:t>
            </w:r>
          </w:p>
        </w:tc>
        <w:tc>
          <w:tcPr>
            <w:tcW w:w="8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85"/>
              </w:rPr>
              <w:t>Successor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28,360</w:t>
            </w:r>
          </w:p>
        </w:tc>
        <w:tc>
          <w:tcPr>
            <w:tcW w:w="4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30,810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7,341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40,978</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08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922,498</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961,708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Vessel deposits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fixed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vessel purchase options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Intangible assets – 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940,044</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981,022</w:t>
            </w:r>
          </w:p>
        </w:tc>
        <w:tc>
          <w:tcPr>
            <w:tcW w:w="4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1,027,358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5,575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71,383</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488,269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Preferred shares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585,075</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656,458</w:t>
            </w:r>
          </w:p>
        </w:tc>
        <w:tc>
          <w:tcPr>
            <w:tcW w:w="4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699,803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9080" w:type="dxa"/>
            <w:vAlign w:val="bottom"/>
            <w:gridSpan w:val="2"/>
          </w:tcPr>
          <w:p>
            <w:pPr>
              <w:spacing w:after="0"/>
              <w:rPr>
                <w:sz w:val="20"/>
                <w:szCs w:val="20"/>
                <w:color w:val="auto"/>
              </w:rPr>
            </w:pPr>
            <w:r>
              <w:rPr>
                <w:rFonts w:ascii="Arial" w:cs="Arial" w:eastAsia="Arial" w:hAnsi="Arial"/>
                <w:sz w:val="18"/>
                <w:szCs w:val="18"/>
                <w:color w:val="auto"/>
                <w:w w:val="91"/>
              </w:rPr>
              <w:t>Class A Common stock – authorized 214,000,000 shares with a $0.01 par value; 47,130,467 shares issued and outstanding</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(2009 – 46,680,194)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471</w:t>
            </w:r>
          </w:p>
        </w:tc>
        <w:tc>
          <w:tcPr>
            <w:tcW w:w="4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w w:val="88"/>
              </w:rPr>
              <w:t>Class B Common stock – authorized 20,000,000 shares with a $0.01 par value; 7,405,956 shares issued and outstanding (2009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7,405,956)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351,295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(27,276)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(23,305)</w:t>
            </w:r>
          </w:p>
        </w:tc>
        <w:tc>
          <w:tcPr>
            <w:tcW w:w="0" w:type="dxa"/>
            <w:vAlign w:val="bottom"/>
          </w:tcPr>
          <w:p>
            <w:pPr>
              <w:spacing w:after="0"/>
              <w:rPr>
                <w:sz w:val="1"/>
                <w:szCs w:val="1"/>
                <w:color w:val="auto"/>
              </w:rPr>
            </w:pP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324,564</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981,022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1,027,358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6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(loss)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1,226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12,348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(3,971)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42,374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Adjustments to Reconcile Net Income (Loss) to Net Cash Provided by Operating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10,096</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10,066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40,051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37,307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17,082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(11,710)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(5,094)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receivables and other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(6,873)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Costs relating to drydocks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Unrealized foreign exchange (gain) loss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21,535</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17,454</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85,027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(16,727)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Expenditure on vessels, vessel prepayments and vessel deposits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vessel purchase options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(13,645)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(13,645)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Purchase of other fixed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16,235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(32,054)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(96,760)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Proceeds from debt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(20,373)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(10,908)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(55,423)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Issuance costs of debt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Dividend payments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(12,371)</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2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(20,373)</w:t>
            </w: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(11,219)</w:t>
            </w: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(55,423)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28,295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29,335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29,542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30,810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28,360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30,810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28,360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30,810</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2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Dividend declared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Total interest paid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5,563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5,986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22,368</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22,092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5420"/>
              <w:spacing w:after="0"/>
              <w:rPr>
                <w:sz w:val="20"/>
                <w:szCs w:val="20"/>
                <w:color w:val="auto"/>
              </w:rPr>
            </w:pPr>
            <w:r>
              <w:rPr>
                <w:rFonts w:ascii="Arial" w:cs="Arial" w:eastAsia="Arial" w:hAnsi="Arial"/>
                <w:sz w:val="18"/>
                <w:szCs w:val="18"/>
                <w:color w:val="auto"/>
              </w:rPr>
              <w:t>Page 13</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INTERIM UNAUDITED CONSOLIDATED FINANCIAL STATEMENTS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THREE MONTHS AND YEAR ENDED DECEMBER 31, 2010</w:t>
      </w:r>
    </w:p>
    <w:p>
      <w:pPr>
        <w:sectPr>
          <w:pgSz w:w="11900" w:h="16838" w:orient="portrait"/>
          <w:cols w:equalWidth="0" w:num="1">
            <w:col w:w="10220"/>
          </w:cols>
          <w:pgMar w:left="14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3540" w:type="dxa"/>
            <w:vAlign w:val="bottom"/>
            <w:vMerge w:val="restart"/>
          </w:tcPr>
          <w:p>
            <w:pPr>
              <w:jc w:val="right"/>
              <w:ind w:right="334"/>
              <w:spacing w:after="0"/>
              <w:rPr>
                <w:sz w:val="20"/>
                <w:szCs w:val="20"/>
                <w:color w:val="auto"/>
              </w:rPr>
            </w:pPr>
            <w:r>
              <w:rPr>
                <w:rFonts w:ascii="Arial" w:cs="Arial" w:eastAsia="Arial" w:hAnsi="Arial"/>
                <w:sz w:val="14"/>
                <w:szCs w:val="14"/>
                <w:color w:val="auto"/>
              </w:rPr>
              <w:t>Note</w:t>
            </w:r>
          </w:p>
        </w:tc>
        <w:tc>
          <w:tcPr>
            <w:tcW w:w="16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28,360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5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Accounts receivable</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7,341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receivables</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Vessels in operation</w:t>
            </w:r>
          </w:p>
        </w:tc>
        <w:tc>
          <w:tcPr>
            <w:tcW w:w="3540" w:type="dxa"/>
            <w:vAlign w:val="bottom"/>
            <w:vMerge w:val="restart"/>
          </w:tcPr>
          <w:p>
            <w:pPr>
              <w:jc w:val="right"/>
              <w:ind w:right="334"/>
              <w:spacing w:after="0"/>
              <w:rPr>
                <w:sz w:val="20"/>
                <w:szCs w:val="20"/>
                <w:color w:val="auto"/>
              </w:rPr>
            </w:pPr>
            <w:r>
              <w:rPr>
                <w:rFonts w:ascii="Arial" w:cs="Arial" w:eastAsia="Arial" w:hAnsi="Arial"/>
                <w:sz w:val="18"/>
                <w:szCs w:val="18"/>
                <w:color w:val="auto"/>
              </w:rPr>
              <w:t>4</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gridSpan w:val="2"/>
            <w:vMerge w:val="continue"/>
          </w:tcPr>
          <w:p>
            <w:pPr>
              <w:spacing w:after="0"/>
              <w:rPr>
                <w:sz w:val="19"/>
                <w:szCs w:val="19"/>
                <w:color w:val="auto"/>
              </w:rPr>
            </w:pPr>
          </w:p>
        </w:tc>
        <w:tc>
          <w:tcPr>
            <w:tcW w:w="35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922,498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961,708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Vessel deposits</w:t>
            </w:r>
          </w:p>
        </w:tc>
        <w:tc>
          <w:tcPr>
            <w:tcW w:w="35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fixed assets</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vessel purchase options</w:t>
            </w:r>
          </w:p>
        </w:tc>
        <w:tc>
          <w:tcPr>
            <w:tcW w:w="35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Intangible asset - other</w:t>
            </w:r>
          </w:p>
        </w:tc>
        <w:tc>
          <w:tcPr>
            <w:tcW w:w="3540" w:type="dxa"/>
            <w:vAlign w:val="bottom"/>
          </w:tcPr>
          <w:p>
            <w:pPr>
              <w:jc w:val="right"/>
              <w:ind w:right="334"/>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3,865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940,044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3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3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981,022</w:t>
            </w:r>
          </w:p>
        </w:tc>
        <w:tc>
          <w:tcPr>
            <w:tcW w:w="300" w:type="dxa"/>
            <w:vAlign w:val="bottom"/>
            <w:gridSpan w:val="2"/>
          </w:tcPr>
          <w:p>
            <w:pPr>
              <w:ind w:left="2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1,027,358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35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Accrued expenses</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5,575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5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3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71,383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35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488,269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Preferred shares</w:t>
            </w:r>
          </w:p>
        </w:tc>
        <w:tc>
          <w:tcPr>
            <w:tcW w:w="3540" w:type="dxa"/>
            <w:vAlign w:val="bottom"/>
          </w:tcPr>
          <w:p>
            <w:pPr>
              <w:jc w:val="right"/>
              <w:ind w:right="334"/>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3540" w:type="dxa"/>
            <w:vAlign w:val="bottom"/>
          </w:tcPr>
          <w:p>
            <w:pPr>
              <w:jc w:val="right"/>
              <w:ind w:right="334"/>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26,637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585,075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3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80" w:type="dxa"/>
            <w:vAlign w:val="bottom"/>
            <w:gridSpan w:val="2"/>
            <w:vMerge w:val="continue"/>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656,458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5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409"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1120" w:type="dxa"/>
            <w:vAlign w:val="bottom"/>
            <w:vMerge w:val="restart"/>
          </w:tcPr>
          <w:p>
            <w:pPr>
              <w:jc w:val="right"/>
              <w:ind w:right="339"/>
              <w:spacing w:after="0"/>
              <w:rPr>
                <w:sz w:val="20"/>
                <w:szCs w:val="20"/>
                <w:color w:val="auto"/>
              </w:rPr>
            </w:pPr>
            <w:r>
              <w:rPr>
                <w:rFonts w:ascii="Arial" w:cs="Arial" w:eastAsia="Arial" w:hAnsi="Arial"/>
                <w:sz w:val="14"/>
                <w:szCs w:val="14"/>
                <w:color w:val="auto"/>
              </w:rPr>
              <w:t>Note</w:t>
            </w:r>
          </w:p>
        </w:tc>
        <w:tc>
          <w:tcPr>
            <w:tcW w:w="16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w w:val="91"/>
              </w:rPr>
              <w:t>Class A Common stock – authorized 214,000,000 shares with a $0.01 par value; 47,130,467 shares issued and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outstanding (2009 – 46,680,194)</w:t>
            </w:r>
          </w:p>
        </w:tc>
        <w:tc>
          <w:tcPr>
            <w:tcW w:w="1120" w:type="dxa"/>
            <w:vAlign w:val="bottom"/>
          </w:tcPr>
          <w:p>
            <w:pPr>
              <w:jc w:val="right"/>
              <w:ind w:right="339"/>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w w:val="93"/>
              </w:rPr>
              <w:t>Class B Common stock – authorized 20,000,000 shares with a $0.01 par value; 7,405,956 shares issued and</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(2009 – 7,405,956)</w:t>
            </w:r>
          </w:p>
        </w:tc>
        <w:tc>
          <w:tcPr>
            <w:tcW w:w="11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351,295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(27,276)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(23,305)</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w:t>
            </w:r>
          </w:p>
        </w:tc>
        <w:tc>
          <w:tcPr>
            <w:tcW w:w="1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6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324,564</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327,555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981,022</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1,027,358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2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220" w:type="dxa"/>
            <w:vAlign w:val="bottom"/>
            <w:vMerge w:val="restart"/>
          </w:tcPr>
          <w:p>
            <w:pPr>
              <w:jc w:val="right"/>
              <w:ind w:right="374"/>
              <w:spacing w:after="0"/>
              <w:rPr>
                <w:sz w:val="20"/>
                <w:szCs w:val="20"/>
                <w:color w:val="auto"/>
              </w:rPr>
            </w:pPr>
            <w:r>
              <w:rPr>
                <w:rFonts w:ascii="Arial" w:cs="Arial" w:eastAsia="Arial" w:hAnsi="Arial"/>
                <w:sz w:val="14"/>
                <w:szCs w:val="14"/>
                <w:color w:val="auto"/>
              </w:rPr>
              <w:t>Note</w:t>
            </w:r>
          </w:p>
        </w:tc>
        <w:tc>
          <w:tcPr>
            <w:tcW w:w="10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Time charter revenue</w:t>
            </w:r>
          </w:p>
        </w:tc>
        <w:tc>
          <w:tcPr>
            <w:tcW w:w="1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40,035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39,884</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158,837</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11,383</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9,851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42,067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10,096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2,410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8,253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2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17,082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40,808</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22,022</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107,064</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Operating (Loss) Income</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17,862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51,773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61,717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income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(5,962)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(6,107)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(23,828)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Realized and unrealized gain (loss) on interest rate derivatives</w:t>
            </w:r>
          </w:p>
        </w:tc>
        <w:tc>
          <w:tcPr>
            <w:tcW w:w="1220" w:type="dxa"/>
            <w:vAlign w:val="bottom"/>
          </w:tcPr>
          <w:p>
            <w:pPr>
              <w:jc w:val="right"/>
              <w:ind w:right="37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7,367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(32,049)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42,374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Class A common shares outstanding</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Basic</w:t>
            </w:r>
          </w:p>
        </w:tc>
        <w:tc>
          <w:tcPr>
            <w:tcW w:w="1220" w:type="dxa"/>
            <w:vAlign w:val="bottom"/>
          </w:tcPr>
          <w:p>
            <w:pPr>
              <w:jc w:val="right"/>
              <w:ind w:right="37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47,126,391</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46,675,140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46,910,604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46,459,509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47,390,171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46,675,140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46,910,604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46,754,858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income (loss) in $ per Class A common share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20" w:type="dxa"/>
            <w:vAlign w:val="bottom"/>
          </w:tcPr>
          <w:p>
            <w:pPr>
              <w:jc w:val="right"/>
              <w:ind w:right="374"/>
              <w:spacing w:after="0"/>
              <w:rPr>
                <w:sz w:val="20"/>
                <w:szCs w:val="20"/>
                <w:color w:val="auto"/>
              </w:rPr>
            </w:pPr>
            <w:r>
              <w:rPr>
                <w:rFonts w:ascii="Arial" w:cs="Arial" w:eastAsia="Arial" w:hAnsi="Arial"/>
                <w:sz w:val="18"/>
                <w:szCs w:val="18"/>
                <w:color w:val="auto"/>
              </w:rPr>
              <w:t>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0.26</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Class B common shares outstanding</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220" w:type="dxa"/>
            <w:vAlign w:val="bottom"/>
          </w:tcPr>
          <w:p>
            <w:pPr>
              <w:jc w:val="right"/>
              <w:ind w:right="37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7,405,956</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7,405,956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Class B common share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220" w:type="dxa"/>
            <w:vAlign w:val="bottom"/>
          </w:tcPr>
          <w:p>
            <w:pPr>
              <w:jc w:val="right"/>
              <w:ind w:right="374"/>
              <w:spacing w:after="0"/>
              <w:rPr>
                <w:sz w:val="20"/>
                <w:szCs w:val="20"/>
                <w:color w:val="auto"/>
              </w:rPr>
            </w:pPr>
            <w:r>
              <w:rPr>
                <w:rFonts w:ascii="Arial" w:cs="Arial" w:eastAsia="Arial" w:hAnsi="Arial"/>
                <w:sz w:val="18"/>
                <w:szCs w:val="18"/>
                <w:color w:val="auto"/>
              </w:rPr>
              <w:t>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nil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409"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6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Note</w:t>
            </w: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income (loss)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1,226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12,348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(3,971)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Adjustments to Reconcile Net Income (Loss) to Net Cash Provided by Operating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Depreciation</w:t>
            </w: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10,096</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10,066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40,051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37,307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7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17,082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7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(11,710)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(5,094)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7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receivables and other assets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(6,873)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Costs relating to drydocks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Unrealized foreign exchange (gain) loss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21,535</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17,454</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85,027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7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(16,727)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Expenditure on vessels, vessel prepayments and vessel deposits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vessel purchase options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(13,645)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(13,645)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Purchase of other fixed assets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16,235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(32,054)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(96,760)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Proceeds from debt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(20,373)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(10,908)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(55,423)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Issuance costs of debt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Dividend payments</w:t>
            </w:r>
          </w:p>
        </w:tc>
        <w:tc>
          <w:tcPr>
            <w:tcW w:w="7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(12,371)</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(20,373)</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(11,219)</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(55,423)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28,295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29,335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29,542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30,810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28,360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30,810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28,360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30,810</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Dividend declared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Total interest paid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5,563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5,986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22,368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409"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Changes in Stockholders’ Equity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Number 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Common 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7"/>
              </w:rPr>
              <w:t>Additional</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6"/>
              </w:rPr>
              <w:t>at $0.01</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Paid in</w:t>
            </w: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9"/>
              </w:rPr>
              <w:t>Stockholders’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4"/>
              </w:rPr>
              <w:t>Par value</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Stock</w:t>
            </w:r>
          </w:p>
        </w:tc>
        <w:tc>
          <w:tcPr>
            <w:tcW w:w="400" w:type="dxa"/>
            <w:vAlign w:val="bottom"/>
          </w:tcPr>
          <w:p>
            <w:pPr>
              <w:spacing w:after="0"/>
              <w:rPr>
                <w:sz w:val="13"/>
                <w:szCs w:val="13"/>
                <w:color w:val="auto"/>
              </w:rPr>
            </w:pPr>
          </w:p>
        </w:tc>
        <w:tc>
          <w:tcPr>
            <w:tcW w:w="680" w:type="dxa"/>
            <w:vAlign w:val="bottom"/>
            <w:tcBorders>
              <w:bottom w:val="single" w:sz="8" w:color="auto"/>
            </w:tcBorders>
          </w:tcPr>
          <w:p>
            <w:pPr>
              <w:jc w:val="right"/>
              <w:ind w:right="56"/>
              <w:spacing w:after="0" w:line="159" w:lineRule="exact"/>
              <w:rPr>
                <w:sz w:val="20"/>
                <w:szCs w:val="20"/>
                <w:color w:val="auto"/>
              </w:rPr>
            </w:pPr>
            <w:r>
              <w:rPr>
                <w:rFonts w:ascii="Arial" w:cs="Arial" w:eastAsia="Arial" w:hAnsi="Arial"/>
                <w:sz w:val="14"/>
                <w:szCs w:val="14"/>
                <w:color w:val="auto"/>
              </w:rPr>
              <w:t>Capital</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4"/>
              <w:spacing w:after="0" w:line="159" w:lineRule="exact"/>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53,749,317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537</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$347,810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(53,308)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295,039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Class C shares converted to Class A</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C</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(12,375,000)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Class A</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12,375,000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124</w:t>
            </w:r>
          </w:p>
        </w:tc>
        <w:tc>
          <w:tcPr>
            <w:tcW w:w="4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(note 13)</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Class A Shares issued (note 11)</w:t>
            </w:r>
          </w:p>
        </w:tc>
        <w:tc>
          <w:tcPr>
            <w:tcW w:w="900" w:type="dxa"/>
            <w:vAlign w:val="bottom"/>
          </w:tcPr>
          <w:p>
            <w:pPr>
              <w:jc w:val="right"/>
              <w:spacing w:after="0"/>
              <w:rPr>
                <w:sz w:val="20"/>
                <w:szCs w:val="20"/>
                <w:color w:val="auto"/>
              </w:rPr>
            </w:pPr>
            <w:r>
              <w:rPr>
                <w:rFonts w:ascii="Arial" w:cs="Arial" w:eastAsia="Arial" w:hAnsi="Arial"/>
                <w:sz w:val="18"/>
                <w:szCs w:val="18"/>
                <w:color w:val="auto"/>
              </w:rPr>
              <w:t>336,833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Dividends declared (note 11)</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(12,371)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54,086,150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541</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$350,319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(23,305)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327,555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Restricted Stock Units (note 13)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(3,971)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54,536,423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545</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351,295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(27,276)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324,564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409"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b w:val="1"/>
          <w:bCs w:val="1"/>
          <w:color w:val="auto"/>
        </w:rPr>
      </w:pPr>
    </w:p>
    <w:p>
      <w:pPr>
        <w:jc w:val="both"/>
        <w:ind w:left="460" w:right="2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On August 14, 2008, Global Ship Lease, Inc. (the “Company” or “GSL”) merged indirectly with Marathon Acquisition Corp. (“Marathon”), a company then listed on The American Stock Exchange. Following the merger, the Company became listed on the New York Stock Exchange on August 15, 2008.</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96" w:lineRule="exact"/>
        <w:rPr>
          <w:sz w:val="20"/>
          <w:szCs w:val="20"/>
          <w:color w:val="auto"/>
        </w:rPr>
      </w:pPr>
    </w:p>
    <w:p>
      <w:pPr>
        <w:ind w:left="460" w:right="300"/>
        <w:spacing w:after="0" w:line="306" w:lineRule="auto"/>
        <w:rPr>
          <w:sz w:val="20"/>
          <w:szCs w:val="20"/>
          <w:color w:val="auto"/>
        </w:rPr>
      </w:pPr>
      <w:r>
        <w:rPr>
          <w:rFonts w:ascii="Arial" w:cs="Arial" w:eastAsia="Arial" w:hAnsi="Arial"/>
          <w:sz w:val="16"/>
          <w:szCs w:val="16"/>
          <w:color w:val="auto"/>
        </w:rPr>
        <w:t>The Company has a business of owning and chartering out containerships under long term time charters. All vessels in operation are time chartered to CMA CGM S.A. (“CMA CGM”) for remaining terms as at December 31, 2010 ranging from two to 15 years (see note 9). The following table provides information about the 17 vessels chartered to CMA CGM and which are reflected in these interim unaudited consolidated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Charter</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6"/>
              </w:rPr>
              <w:t>Purchase Date</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Remaining</w:t>
            </w:r>
          </w:p>
        </w:tc>
        <w:tc>
          <w:tcPr>
            <w:tcW w:w="2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5"/>
              </w:rPr>
              <w:t>Capacity</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Duration</w:t>
            </w:r>
          </w:p>
        </w:tc>
        <w:tc>
          <w:tcPr>
            <w:tcW w:w="20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64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90"/>
              </w:rPr>
              <w:t xml:space="preserve">in TEUs </w:t>
            </w:r>
            <w:r>
              <w:rPr>
                <w:rFonts w:ascii="Arial" w:cs="Arial" w:eastAsia="Arial" w:hAnsi="Arial"/>
                <w:sz w:val="20"/>
                <w:szCs w:val="20"/>
                <w:b w:val="1"/>
                <w:bCs w:val="1"/>
                <w:color w:val="auto"/>
                <w:w w:val="90"/>
                <w:vertAlign w:val="superscript"/>
              </w:rPr>
              <w:t>(1)</w:t>
            </w:r>
          </w:p>
        </w:tc>
        <w:tc>
          <w:tcPr>
            <w:tcW w:w="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8"/>
              </w:rPr>
              <w:t>Year Built</w:t>
            </w:r>
          </w:p>
        </w:tc>
        <w:tc>
          <w:tcPr>
            <w:tcW w:w="400" w:type="dxa"/>
            <w:vAlign w:val="bottom"/>
          </w:tcPr>
          <w:p>
            <w:pPr>
              <w:spacing w:after="0"/>
              <w:rPr>
                <w:sz w:val="15"/>
                <w:szCs w:val="15"/>
                <w:color w:val="auto"/>
              </w:rPr>
            </w:pPr>
          </w:p>
        </w:tc>
        <w:tc>
          <w:tcPr>
            <w:tcW w:w="1540" w:type="dxa"/>
            <w:vAlign w:val="bottom"/>
            <w:gridSpan w:val="2"/>
          </w:tcPr>
          <w:p>
            <w:pPr>
              <w:jc w:val="center"/>
              <w:ind w:right="300"/>
              <w:spacing w:after="0" w:line="176" w:lineRule="exact"/>
              <w:rPr>
                <w:sz w:val="20"/>
                <w:szCs w:val="20"/>
                <w:color w:val="auto"/>
              </w:rPr>
            </w:pPr>
            <w:r>
              <w:rPr>
                <w:rFonts w:ascii="Arial" w:cs="Arial" w:eastAsia="Arial" w:hAnsi="Arial"/>
                <w:sz w:val="13"/>
                <w:szCs w:val="13"/>
                <w:b w:val="1"/>
                <w:bCs w:val="1"/>
                <w:color w:val="auto"/>
                <w:w w:val="90"/>
              </w:rPr>
              <w:t>by GSL</w:t>
            </w:r>
            <w:r>
              <w:rPr>
                <w:rFonts w:ascii="Arial" w:cs="Arial" w:eastAsia="Arial" w:hAnsi="Arial"/>
                <w:sz w:val="20"/>
                <w:szCs w:val="20"/>
                <w:b w:val="1"/>
                <w:bCs w:val="1"/>
                <w:color w:val="auto"/>
                <w:w w:val="90"/>
                <w:vertAlign w:val="superscript"/>
              </w:rPr>
              <w:t>(2)</w:t>
            </w:r>
          </w:p>
        </w:tc>
        <w:tc>
          <w:tcPr>
            <w:tcW w:w="84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89"/>
              </w:rPr>
              <w:t xml:space="preserve">(years) </w:t>
            </w:r>
            <w:r>
              <w:rPr>
                <w:rFonts w:ascii="Arial" w:cs="Arial" w:eastAsia="Arial" w:hAnsi="Arial"/>
                <w:sz w:val="20"/>
                <w:szCs w:val="20"/>
                <w:b w:val="1"/>
                <w:bCs w:val="1"/>
                <w:color w:val="auto"/>
                <w:w w:val="89"/>
                <w:vertAlign w:val="superscript"/>
              </w:rPr>
              <w:t>(3)</w:t>
            </w:r>
          </w:p>
        </w:tc>
        <w:tc>
          <w:tcPr>
            <w:tcW w:w="20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640" w:type="dxa"/>
            <w:vAlign w:val="bottom"/>
          </w:tcPr>
          <w:p>
            <w:pPr>
              <w:jc w:val="right"/>
              <w:spacing w:after="0"/>
              <w:rPr>
                <w:sz w:val="20"/>
                <w:szCs w:val="20"/>
                <w:color w:val="auto"/>
              </w:rPr>
            </w:pPr>
            <w:r>
              <w:rPr>
                <w:rFonts w:ascii="Arial" w:cs="Arial" w:eastAsia="Arial" w:hAnsi="Arial"/>
                <w:sz w:val="18"/>
                <w:szCs w:val="18"/>
                <w:color w:val="auto"/>
              </w:rPr>
              <w:t>4,113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4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640" w:type="dxa"/>
            <w:vAlign w:val="bottom"/>
          </w:tcPr>
          <w:p>
            <w:pPr>
              <w:jc w:val="right"/>
              <w:spacing w:after="0"/>
              <w:rPr>
                <w:sz w:val="20"/>
                <w:szCs w:val="20"/>
                <w:color w:val="auto"/>
              </w:rPr>
            </w:pPr>
            <w:r>
              <w:rPr>
                <w:rFonts w:ascii="Arial" w:cs="Arial" w:eastAsia="Arial" w:hAnsi="Arial"/>
                <w:sz w:val="18"/>
                <w:szCs w:val="18"/>
                <w:color w:val="auto"/>
              </w:rPr>
              <w:t>2,262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1999</w:t>
            </w:r>
          </w:p>
        </w:tc>
        <w:tc>
          <w:tcPr>
            <w:tcW w:w="4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640" w:type="dxa"/>
            <w:vAlign w:val="bottom"/>
          </w:tcPr>
          <w:p>
            <w:pPr>
              <w:jc w:val="right"/>
              <w:spacing w:after="0"/>
              <w:rPr>
                <w:sz w:val="20"/>
                <w:szCs w:val="20"/>
                <w:color w:val="auto"/>
              </w:rPr>
            </w:pPr>
            <w:r>
              <w:rPr>
                <w:rFonts w:ascii="Arial" w:cs="Arial" w:eastAsia="Arial" w:hAnsi="Arial"/>
                <w:sz w:val="18"/>
                <w:szCs w:val="18"/>
                <w:color w:val="auto"/>
              </w:rPr>
              <w:t>2,207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4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640" w:type="dxa"/>
            <w:vAlign w:val="bottom"/>
          </w:tcPr>
          <w:p>
            <w:pPr>
              <w:jc w:val="right"/>
              <w:spacing w:after="0"/>
              <w:rPr>
                <w:sz w:val="20"/>
                <w:szCs w:val="20"/>
                <w:color w:val="auto"/>
              </w:rPr>
            </w:pPr>
            <w:r>
              <w:rPr>
                <w:rFonts w:ascii="Arial" w:cs="Arial" w:eastAsia="Arial" w:hAnsi="Arial"/>
                <w:sz w:val="18"/>
                <w:szCs w:val="18"/>
                <w:color w:val="auto"/>
              </w:rPr>
              <w:t>2,207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4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640" w:type="dxa"/>
            <w:vAlign w:val="bottom"/>
          </w:tcPr>
          <w:p>
            <w:pPr>
              <w:jc w:val="right"/>
              <w:spacing w:after="0"/>
              <w:rPr>
                <w:sz w:val="20"/>
                <w:szCs w:val="20"/>
                <w:color w:val="auto"/>
              </w:rPr>
            </w:pPr>
            <w:r>
              <w:rPr>
                <w:rFonts w:ascii="Arial" w:cs="Arial" w:eastAsia="Arial" w:hAnsi="Arial"/>
                <w:sz w:val="18"/>
                <w:szCs w:val="18"/>
                <w:color w:val="auto"/>
              </w:rPr>
              <w:t>2,272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4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January 2008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$33.750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640" w:type="dxa"/>
            <w:vAlign w:val="bottom"/>
          </w:tcPr>
          <w:p>
            <w:pPr>
              <w:jc w:val="right"/>
              <w:spacing w:after="0"/>
              <w:rPr>
                <w:sz w:val="20"/>
                <w:szCs w:val="20"/>
                <w:color w:val="auto"/>
              </w:rPr>
            </w:pPr>
            <w:r>
              <w:rPr>
                <w:rFonts w:ascii="Arial" w:cs="Arial" w:eastAsia="Arial" w:hAnsi="Arial"/>
                <w:sz w:val="18"/>
                <w:szCs w:val="18"/>
                <w:color w:val="auto"/>
              </w:rPr>
              <w:t>5,100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January 2008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$33.750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December 2008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$47.200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640" w:type="dxa"/>
            <w:vAlign w:val="bottom"/>
          </w:tcPr>
          <w:p>
            <w:pPr>
              <w:jc w:val="right"/>
              <w:spacing w:after="0"/>
              <w:rPr>
                <w:sz w:val="20"/>
                <w:szCs w:val="20"/>
                <w:color w:val="auto"/>
              </w:rPr>
            </w:pPr>
            <w:r>
              <w:rPr>
                <w:rFonts w:ascii="Arial" w:cs="Arial" w:eastAsia="Arial" w:hAnsi="Arial"/>
                <w:sz w:val="18"/>
                <w:szCs w:val="18"/>
                <w:color w:val="auto"/>
              </w:rPr>
              <w:t>4,298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4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December 2008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December 2008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640" w:type="dxa"/>
            <w:vAlign w:val="bottom"/>
          </w:tcPr>
          <w:p>
            <w:pPr>
              <w:jc w:val="right"/>
              <w:spacing w:after="0"/>
              <w:rPr>
                <w:sz w:val="20"/>
                <w:szCs w:val="20"/>
                <w:color w:val="auto"/>
              </w:rPr>
            </w:pPr>
            <w:r>
              <w:rPr>
                <w:rFonts w:ascii="Arial" w:cs="Arial" w:eastAsia="Arial" w:hAnsi="Arial"/>
                <w:sz w:val="18"/>
                <w:szCs w:val="18"/>
                <w:color w:val="auto"/>
              </w:rPr>
              <w:t>4,045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4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December 2008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August 2009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10.75</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Purchase dates of vessels related to the Company’s time charter business.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As at December 31, 2010</w:t>
      </w:r>
    </w:p>
    <w:p>
      <w:pPr>
        <w:spacing w:after="0" w:line="83" w:lineRule="exact"/>
        <w:rPr>
          <w:rFonts w:ascii="Arial" w:cs="Arial" w:eastAsia="Arial" w:hAnsi="Arial"/>
          <w:sz w:val="18"/>
          <w:szCs w:val="18"/>
          <w:i w:val="1"/>
          <w:iCs w:val="1"/>
          <w:color w:val="auto"/>
        </w:rPr>
      </w:pPr>
    </w:p>
    <w:p>
      <w:pPr>
        <w:ind w:left="460" w:right="80"/>
        <w:spacing w:after="0" w:line="287" w:lineRule="auto"/>
        <w:rPr>
          <w:rFonts w:ascii="Arial" w:cs="Arial" w:eastAsia="Arial" w:hAnsi="Arial"/>
          <w:sz w:val="18"/>
          <w:szCs w:val="18"/>
          <w:i w:val="1"/>
          <w:iCs w:val="1"/>
          <w:color w:val="auto"/>
        </w:rPr>
      </w:pPr>
      <w:r>
        <w:rPr>
          <w:rFonts w:ascii="Arial" w:cs="Arial" w:eastAsia="Arial" w:hAnsi="Arial"/>
          <w:sz w:val="16"/>
          <w:szCs w:val="16"/>
          <w:color w:val="auto"/>
        </w:rPr>
        <w:t>The Company agreed in September 2008 to purchase two vessels from German interests in the fourth quarter of 2010 for approximately $77,400 each. A deposit of 10% was paid for these two vessels. On November 8, 2010 the Company signed agreements with the sellers of these vessels which terminated the Company’s purchase obligations and granted the Company purchase options giving it the right, but not the obligation, to purchase each vessel on the first anniversary of its delivery by the builders to the sellers, for a payment of $61,250 per vessel. The Company released the deposits and accrued interest totalling $8,103 per vessel to the sellers (see note 6). In addition, the Company (i) made a cash payment of $6,171 per vessel and (ii) transferred to the sellers certain supplies purchased for the vessels valued at $426 per vessel (see note 7). The total value of all these items is $14,700 per vessel. Each purchase option is to be exercised no later than 270 days after the delivery of the vessels by the builders to the sellers, one of which was in December 2010 and the other in January 2011. If the Company does not exercise a purchase option, the sellers retain all monies paid to them in respect of that vessel and the Company has no further liability. The charters to ZIM, subject to charterers consent to change of ownership of the vessels, will be for a remaining period of six years which could be extended for a further year at ZIM’s option (see notes 5, 7 and 10).</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49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 (continued)</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Capacity</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Potential</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Charter</w:t>
            </w:r>
          </w:p>
        </w:tc>
        <w:tc>
          <w:tcPr>
            <w:tcW w:w="1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2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in</w:t>
            </w:r>
          </w:p>
        </w:tc>
        <w:tc>
          <w:tcPr>
            <w:tcW w:w="42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2"/>
                <w:szCs w:val="12"/>
                <w:color w:val="auto"/>
              </w:rPr>
            </w:pPr>
          </w:p>
        </w:tc>
        <w:tc>
          <w:tcPr>
            <w:tcW w:w="14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Delivery Date</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Duration</w:t>
            </w:r>
          </w:p>
        </w:tc>
        <w:tc>
          <w:tcPr>
            <w:tcW w:w="120" w:type="dxa"/>
            <w:vAlign w:val="bottom"/>
          </w:tcPr>
          <w:p>
            <w:pPr>
              <w:spacing w:after="0"/>
              <w:rPr>
                <w:sz w:val="12"/>
                <w:szCs w:val="12"/>
                <w:color w:val="auto"/>
              </w:rPr>
            </w:pPr>
          </w:p>
        </w:tc>
        <w:tc>
          <w:tcPr>
            <w:tcW w:w="6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596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820" w:type="dxa"/>
            <w:vAlign w:val="bottom"/>
            <w:gridSpan w:val="2"/>
          </w:tcPr>
          <w:p>
            <w:pPr>
              <w:jc w:val="right"/>
              <w:ind w:right="300"/>
              <w:spacing w:after="0" w:line="176" w:lineRule="exact"/>
              <w:rPr>
                <w:sz w:val="20"/>
                <w:szCs w:val="20"/>
                <w:color w:val="auto"/>
              </w:rPr>
            </w:pPr>
            <w:r>
              <w:rPr>
                <w:rFonts w:ascii="Arial" w:cs="Arial" w:eastAsia="Arial" w:hAnsi="Arial"/>
                <w:sz w:val="13"/>
                <w:szCs w:val="13"/>
                <w:b w:val="1"/>
                <w:bCs w:val="1"/>
                <w:color w:val="auto"/>
                <w:w w:val="94"/>
              </w:rPr>
              <w:t xml:space="preserve">TEUs </w:t>
            </w:r>
            <w:r>
              <w:rPr>
                <w:rFonts w:ascii="Arial" w:cs="Arial" w:eastAsia="Arial" w:hAnsi="Arial"/>
                <w:sz w:val="20"/>
                <w:szCs w:val="20"/>
                <w:b w:val="1"/>
                <w:bCs w:val="1"/>
                <w:color w:val="auto"/>
                <w:w w:val="94"/>
                <w:vertAlign w:val="superscript"/>
              </w:rPr>
              <w:t>(1)</w:t>
            </w: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Built</w:t>
            </w:r>
          </w:p>
        </w:tc>
        <w:tc>
          <w:tcPr>
            <w:tcW w:w="28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to GSL</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8"/>
              </w:rPr>
              <w:t>Charterer</w:t>
            </w:r>
          </w:p>
        </w:tc>
        <w:tc>
          <w:tcPr>
            <w:tcW w:w="32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ZIM Alabama</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4,250</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December 2011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ZIM</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w:t>
            </w:r>
            <w:r>
              <w:rPr>
                <w:rFonts w:ascii="Arial" w:cs="Arial" w:eastAsia="Arial" w:hAnsi="Arial"/>
                <w:sz w:val="11"/>
                <w:szCs w:val="11"/>
                <w:color w:val="auto"/>
              </w:rPr>
              <w:t>(2)</w:t>
            </w:r>
          </w:p>
        </w:tc>
        <w:tc>
          <w:tcPr>
            <w:tcW w:w="7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ZIM Texas</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4,250</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2011</w:t>
            </w:r>
          </w:p>
        </w:tc>
        <w:tc>
          <w:tcPr>
            <w:tcW w:w="2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January 2012</w:t>
            </w:r>
          </w:p>
        </w:tc>
        <w:tc>
          <w:tcPr>
            <w:tcW w:w="580" w:type="dxa"/>
            <w:vAlign w:val="bottom"/>
          </w:tcPr>
          <w:p>
            <w:pPr>
              <w:jc w:val="right"/>
              <w:spacing w:after="0"/>
              <w:rPr>
                <w:sz w:val="20"/>
                <w:szCs w:val="20"/>
                <w:color w:val="auto"/>
              </w:rPr>
            </w:pPr>
            <w:r>
              <w:rPr>
                <w:rFonts w:ascii="Arial" w:cs="Arial" w:eastAsia="Arial" w:hAnsi="Arial"/>
                <w:sz w:val="18"/>
                <w:szCs w:val="18"/>
                <w:color w:val="auto"/>
              </w:rPr>
              <w:t>ZIM</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6-7</w:t>
            </w:r>
            <w:r>
              <w:rPr>
                <w:rFonts w:ascii="Arial" w:cs="Arial" w:eastAsia="Arial" w:hAnsi="Arial"/>
                <w:sz w:val="11"/>
                <w:szCs w:val="11"/>
                <w:color w:val="auto"/>
              </w:rPr>
              <w:t>(2)</w:t>
            </w:r>
          </w:p>
        </w:tc>
        <w:tc>
          <w:tcPr>
            <w:tcW w:w="70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Six years charter that could be extended to seven years at Charterer’s option.</w:t>
      </w:r>
    </w:p>
    <w:p>
      <w:pPr>
        <w:spacing w:after="0" w:line="239"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b w:val="1"/>
          <w:bCs w:val="1"/>
          <w:color w:val="auto"/>
        </w:rPr>
        <w:t>Segment information</w:t>
      </w:r>
    </w:p>
    <w:p>
      <w:pPr>
        <w:spacing w:after="0" w:line="96"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6"/>
          <w:szCs w:val="16"/>
          <w:color w:val="auto"/>
        </w:rPr>
        <w:t>Since mid January 2008, the activity of the Company consists solely of the ownership and provision of vessels for container shipping under time charters.</w:t>
      </w:r>
    </w:p>
    <w:p>
      <w:pPr>
        <w:spacing w:after="0" w:line="31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96" w:lineRule="exact"/>
        <w:rPr>
          <w:sz w:val="20"/>
          <w:szCs w:val="20"/>
          <w:color w:val="auto"/>
        </w:rPr>
      </w:pPr>
    </w:p>
    <w:p>
      <w:pPr>
        <w:ind w:left="460" w:right="80"/>
        <w:spacing w:after="0" w:line="289" w:lineRule="auto"/>
        <w:rPr>
          <w:sz w:val="20"/>
          <w:szCs w:val="20"/>
          <w:color w:val="auto"/>
        </w:rPr>
      </w:pPr>
      <w:r>
        <w:rPr>
          <w:rFonts w:ascii="Arial" w:cs="Arial" w:eastAsia="Arial" w:hAnsi="Arial"/>
          <w:sz w:val="16"/>
          <w:szCs w:val="16"/>
          <w:color w:val="auto"/>
        </w:rPr>
        <w:t>CMA CGM, the Company’s sole source of operating revenue, announced in September 2009 that it and its lenders were exploring a potential financial restructuring to address its short and medium term financing requirements and that it was seeking to reduce and in some cases cancel certain ship deliveries. On January 28, 2011 CMA CGM further announced that, in accordance with agreements signed on November 25, 2010 between it and Yildirim Group of Turkey, it had issued $500 million in Redeemable Bonds, all of which were subscribed by the Yildirim Group. CMA CGM reported that this investment enables it to sustainably strengthen its balance sheet and secure its investment plan, while providing additional funds to support expansion. The Company was not involved in any of these discussions. The Company has experienced continued delays in receiving charterhire from CMA CGM, where between one and three instalments have been outstanding during 2010. Under the charter contracts charterhire is due to be paid every 15 days in advance on the 1</w:t>
      </w:r>
      <w:r>
        <w:rPr>
          <w:rFonts w:ascii="Arial" w:cs="Arial" w:eastAsia="Arial" w:hAnsi="Arial"/>
          <w:sz w:val="10"/>
          <w:szCs w:val="10"/>
          <w:color w:val="auto"/>
        </w:rPr>
        <w:t>st</w:t>
      </w:r>
      <w:r>
        <w:rPr>
          <w:rFonts w:ascii="Arial" w:cs="Arial" w:eastAsia="Arial" w:hAnsi="Arial"/>
          <w:sz w:val="16"/>
          <w:szCs w:val="16"/>
          <w:color w:val="auto"/>
        </w:rPr>
        <w:t xml:space="preserve"> and 16</w:t>
      </w:r>
      <w:r>
        <w:rPr>
          <w:rFonts w:ascii="Arial" w:cs="Arial" w:eastAsia="Arial" w:hAnsi="Arial"/>
          <w:sz w:val="10"/>
          <w:szCs w:val="10"/>
          <w:color w:val="auto"/>
        </w:rPr>
        <w:t>th</w:t>
      </w:r>
      <w:r>
        <w:rPr>
          <w:rFonts w:ascii="Arial" w:cs="Arial" w:eastAsia="Arial" w:hAnsi="Arial"/>
          <w:sz w:val="16"/>
          <w:szCs w:val="16"/>
          <w:color w:val="auto"/>
        </w:rPr>
        <w:t xml:space="preserve"> of each month.</w:t>
      </w:r>
    </w:p>
    <w:p>
      <w:pPr>
        <w:spacing w:after="0" w:line="37"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As at December 31, 2010, one period of charterhire, due on December 16, 2010, was outstanding amounting to $6,872. This was received in January 2011. As at close of business on March 4, 2011, the latest practicable date prior to the issuance of these interim unaudited consolidated financial statements, charterhire due on March 1, 2011 totalling $6,442 was outstanding.</w:t>
      </w:r>
    </w:p>
    <w:p>
      <w:pPr>
        <w:spacing w:after="0" w:line="59"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If CMA CGM is unable to complete its financial restructuring and ceases doing business or otherwise fails to perform its obligations under the Company’s charters, Global Ship Lease’s business, financial position and results of operations would be materially adversely affected as it is probable that there would be a delay in finding replacement charters and these might be at significantly lower daily rates and for shorter durations than currently in place. In this situation there would be significant uncertainty about the Company’s ability to continue as a going concern.</w:t>
      </w:r>
    </w:p>
    <w:p>
      <w:pPr>
        <w:spacing w:after="0" w:line="32" w:lineRule="exact"/>
        <w:rPr>
          <w:sz w:val="20"/>
          <w:szCs w:val="20"/>
          <w:color w:val="auto"/>
        </w:rPr>
      </w:pPr>
    </w:p>
    <w:p>
      <w:pPr>
        <w:ind w:left="460" w:right="260"/>
        <w:spacing w:after="0" w:line="298" w:lineRule="auto"/>
        <w:rPr>
          <w:sz w:val="20"/>
          <w:szCs w:val="20"/>
          <w:color w:val="auto"/>
        </w:rPr>
      </w:pPr>
      <w:r>
        <w:rPr>
          <w:rFonts w:ascii="Arial" w:cs="Arial" w:eastAsia="Arial" w:hAnsi="Arial"/>
          <w:sz w:val="16"/>
          <w:szCs w:val="16"/>
          <w:color w:val="auto"/>
        </w:rPr>
        <w:t>The Company’s interim unaudited consolidated financial statements have been prepared on a going concern basis, which contemplates the realization of assets and the satisfaction of liabilities in the normal course of business. These interim unaudited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4"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Disclosure</w:t>
      </w:r>
    </w:p>
    <w:p>
      <w:pPr>
        <w:spacing w:after="0" w:line="96" w:lineRule="exact"/>
        <w:rPr>
          <w:rFonts w:ascii="Arial" w:cs="Arial" w:eastAsia="Arial" w:hAnsi="Arial"/>
          <w:sz w:val="18"/>
          <w:szCs w:val="18"/>
          <w:b w:val="1"/>
          <w:bCs w:val="1"/>
          <w:color w:val="auto"/>
        </w:rPr>
      </w:pPr>
    </w:p>
    <w:p>
      <w:pPr>
        <w:ind w:left="460"/>
        <w:spacing w:after="0" w:line="303" w:lineRule="auto"/>
        <w:rPr>
          <w:rFonts w:ascii="Arial" w:cs="Arial" w:eastAsia="Arial" w:hAnsi="Arial"/>
          <w:sz w:val="18"/>
          <w:szCs w:val="18"/>
          <w:b w:val="1"/>
          <w:bCs w:val="1"/>
          <w:color w:val="auto"/>
        </w:rPr>
      </w:pPr>
      <w:r>
        <w:rPr>
          <w:rFonts w:ascii="Arial" w:cs="Arial" w:eastAsia="Arial" w:hAnsi="Arial"/>
          <w:sz w:val="15"/>
          <w:szCs w:val="15"/>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interim periods presented. The financial information does not include all disclosures required under United States Generally Accepted Accounting Principles (“US GAAP”) for annual financial statements.</w:t>
      </w:r>
    </w:p>
    <w:p>
      <w:pPr>
        <w:spacing w:after="0" w:line="1" w:lineRule="exact"/>
        <w:rPr>
          <w:rFonts w:ascii="Arial" w:cs="Arial" w:eastAsia="Arial" w:hAnsi="Arial"/>
          <w:sz w:val="18"/>
          <w:szCs w:val="18"/>
          <w:b w:val="1"/>
          <w:bCs w:val="1"/>
          <w:color w:val="auto"/>
        </w:rPr>
      </w:pPr>
    </w:p>
    <w:p>
      <w:pPr>
        <w:ind w:left="460" w:right="2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These interim unaudited consolidated financial statements should be read in conjunction with the Company’s financial statements as of December 31, 2009 filed with the Securities and Exchange Commission on September 16, 2010 in the Company’s Annual Report on Form 20-F.</w:t>
      </w:r>
    </w:p>
    <w:p>
      <w:pPr>
        <w:spacing w:after="0" w:line="1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Vessel purchase options</w:t>
      </w:r>
    </w:p>
    <w:p>
      <w:pPr>
        <w:spacing w:after="0" w:line="90" w:lineRule="exact"/>
        <w:rPr>
          <w:rFonts w:ascii="Arial" w:cs="Arial" w:eastAsia="Arial" w:hAnsi="Arial"/>
          <w:sz w:val="18"/>
          <w:szCs w:val="18"/>
          <w:b w:val="1"/>
          <w:bCs w:val="1"/>
          <w:color w:val="auto"/>
        </w:rPr>
      </w:pPr>
    </w:p>
    <w:p>
      <w:pPr>
        <w:ind w:left="46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Cash consideration paid or transferred for the acquisition of purchase options to acquire vessels at a fixed purchase price are recognized as intangible assets in an amount up to the difference, as at the transaction date, between (i) the amount paid for the options plus the purchase price of the vessels and (ii) the fair value of the vessels plus the fair value of attached charters. The fair value of the vessel is assessed based on independent broker valuations. The fair value of a charter attached to the vessel is assessed based on market rates compared to the contracted attached charter rates for the life of the charter.</w:t>
      </w:r>
    </w:p>
    <w:p>
      <w:pPr>
        <w:spacing w:after="0" w:line="1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Recently issued accounting standards</w:t>
      </w:r>
    </w:p>
    <w:p>
      <w:pPr>
        <w:spacing w:after="0" w:line="90" w:lineRule="exact"/>
        <w:rPr>
          <w:rFonts w:ascii="Arial" w:cs="Arial" w:eastAsia="Arial" w:hAnsi="Arial"/>
          <w:sz w:val="18"/>
          <w:szCs w:val="18"/>
          <w:b w:val="1"/>
          <w:bCs w:val="1"/>
          <w:color w:val="auto"/>
        </w:rPr>
      </w:pPr>
    </w:p>
    <w:p>
      <w:pPr>
        <w:ind w:left="4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2010, the Financial Accounting Standards Board (“FASB”) issued an additional accounting pronouncement that amended certain requirements for subsequent events (FASB ASC Topic 855), which requires an SEC filer to evaluate subsequent events through the date the financial statements are available to be issued and removes the previous requirement to disclose the date through which subsequent events have been evaluated. The amendments were effective on issuance of the final pronouncement. The adoption of this pronouncement had no effect on the interim unaudited consolidated financial statements of the Company.</w:t>
      </w:r>
    </w:p>
    <w:p>
      <w:pPr>
        <w:spacing w:after="0" w:line="61" w:lineRule="exact"/>
        <w:rPr>
          <w:rFonts w:ascii="Arial" w:cs="Arial" w:eastAsia="Arial" w:hAnsi="Arial"/>
          <w:sz w:val="18"/>
          <w:szCs w:val="18"/>
          <w:b w:val="1"/>
          <w:bCs w:val="1"/>
          <w:color w:val="auto"/>
        </w:rPr>
      </w:pPr>
    </w:p>
    <w:p>
      <w:pPr>
        <w:ind w:left="46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Management do not believe that any recently issued, but not yet effective accounting pronouncements, if currently adopted, would have a material impact on the interim unaudited consolidated financial statements of the Company.</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Vessels in Operation, less Accumulated Depreciation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6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$1,008,330</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$1,007,500</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(85,832)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(45,792)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8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2220" w:type="dxa"/>
            <w:vAlign w:val="bottom"/>
            <w:gridSpan w:val="3"/>
            <w:shd w:val="clear" w:color="auto" w:fill="CCEEFF"/>
          </w:tcPr>
          <w:p>
            <w:pPr>
              <w:ind w:left="2140"/>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922,498</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961,708</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5</w:t>
            </w:r>
            <w:r>
              <w:rPr>
                <w:rFonts w:ascii="Arial" w:cs="Arial" w:eastAsia="Arial" w:hAnsi="Arial"/>
                <w:sz w:val="18"/>
                <w:szCs w:val="18"/>
                <w:color w:val="auto"/>
                <w:w w:val="79"/>
              </w:rPr>
              <w:t>.</w:t>
            </w:r>
          </w:p>
        </w:tc>
        <w:tc>
          <w:tcPr>
            <w:tcW w:w="54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Vessel Deposits</w:t>
            </w: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00" w:type="dxa"/>
            <w:vAlign w:val="bottom"/>
            <w:vMerge w:val="continue"/>
          </w:tcPr>
          <w:p>
            <w:pPr>
              <w:spacing w:after="0"/>
              <w:rPr>
                <w:sz w:val="24"/>
                <w:szCs w:val="24"/>
                <w:color w:val="auto"/>
              </w:rPr>
            </w:pPr>
          </w:p>
        </w:tc>
        <w:tc>
          <w:tcPr>
            <w:tcW w:w="540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220" w:type="dxa"/>
            <w:vAlign w:val="bottom"/>
            <w:gridSpan w:val="6"/>
          </w:tcPr>
          <w:p>
            <w:pPr>
              <w:ind w:left="19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24"/>
                <w:szCs w:val="2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w w:val="81"/>
              </w:rPr>
              <w:t>December 31,</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177"/>
              <w:spacing w:after="0"/>
              <w:rPr>
                <w:sz w:val="20"/>
                <w:szCs w:val="20"/>
                <w:color w:val="auto"/>
              </w:rPr>
            </w:pPr>
            <w:r>
              <w:rPr>
                <w:rFonts w:ascii="Arial" w:cs="Arial" w:eastAsia="Arial" w:hAnsi="Arial"/>
                <w:sz w:val="14"/>
                <w:szCs w:val="14"/>
                <w:b w:val="1"/>
                <w:bCs w:val="1"/>
                <w:color w:val="auto"/>
                <w:w w:val="83"/>
              </w:rPr>
              <w:t>2010</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214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16,243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Capitalized interest</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Release of original deposit</w:t>
            </w:r>
          </w:p>
        </w:tc>
        <w:tc>
          <w:tcPr>
            <w:tcW w:w="29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(15,477)</w:t>
            </w:r>
          </w:p>
        </w:tc>
        <w:tc>
          <w:tcPr>
            <w:tcW w:w="2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Impairment of capitalized interest</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(1,291)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8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2140" w:type="dxa"/>
            <w:vAlign w:val="bottom"/>
            <w:gridSpan w:val="2"/>
            <w:shd w:val="clear" w:color="auto" w:fill="CCEEFF"/>
          </w:tcPr>
          <w:p>
            <w:pPr>
              <w:ind w:left="19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The Company agreed in September 2008 to purchase two 4,250 TEU newbuildings from German interests in the fourth quarter of 2010 for approximately $77,400 each. A deposit of 10% was paid for these two vessels.</w:t>
      </w:r>
    </w:p>
    <w:p>
      <w:pPr>
        <w:spacing w:after="0" w:line="51"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On November 8, 2010 the Company signed agreements with the sellers of these vessels which terminated the Company’s purchase obligations and granted the Company purchase options to acquire the vessels one year later. Under the agreements, the Company released the vessel deposits (see notes 2(a) and 10).</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Vessel deposits included capitalized interest of $nil as at December 31, 2010 (2009: $766).</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00"/>
          </w:cols>
          <w:pgMar w:left="240" w:top="274" w:right="25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Charge</w:t>
      </w:r>
    </w:p>
    <w:p>
      <w:pPr>
        <w:spacing w:after="0" w:line="96" w:lineRule="exact"/>
        <w:rPr>
          <w:rFonts w:ascii="Arial" w:cs="Arial" w:eastAsia="Arial" w:hAnsi="Arial"/>
          <w:sz w:val="18"/>
          <w:szCs w:val="18"/>
          <w:b w:val="1"/>
          <w:bCs w:val="1"/>
          <w:color w:val="auto"/>
        </w:rPr>
      </w:pPr>
    </w:p>
    <w:p>
      <w:pPr>
        <w:ind w:left="460"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Following the agreement of the Company with German interests on November 8, 2010 to terminate the Company’s obligations to purchase the two 4,250 TEU newbuildings, an impairment charge of $17,082 has been recognized which is comprised of $15,477 released deposits, $1,291 capitalized interest and $314 other predelivery capital expenditure for the newbuildings (see notes 2(a), 5 and 10).</w:t>
      </w:r>
    </w:p>
    <w:p>
      <w:pPr>
        <w:spacing w:after="0" w:line="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No impairment charge was recorded in 2009.</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7</w:t>
            </w:r>
            <w:r>
              <w:rPr>
                <w:rFonts w:ascii="Arial" w:cs="Arial" w:eastAsia="Arial" w:hAnsi="Arial"/>
                <w:sz w:val="18"/>
                <w:szCs w:val="18"/>
                <w:color w:val="auto"/>
                <w:w w:val="79"/>
              </w:rPr>
              <w:t>.</w:t>
            </w:r>
          </w:p>
        </w:tc>
        <w:tc>
          <w:tcPr>
            <w:tcW w:w="560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Intangible Assets</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580" w:type="dxa"/>
            <w:vAlign w:val="bottom"/>
            <w:gridSpan w:val="3"/>
          </w:tcPr>
          <w:p>
            <w:pPr>
              <w:ind w:left="1780"/>
              <w:spacing w:after="0"/>
              <w:rPr>
                <w:sz w:val="20"/>
                <w:szCs w:val="20"/>
                <w:color w:val="auto"/>
              </w:rPr>
            </w:pPr>
            <w:r>
              <w:rPr>
                <w:rFonts w:ascii="Arial" w:cs="Arial" w:eastAsia="Arial" w:hAnsi="Arial"/>
                <w:sz w:val="14"/>
                <w:szCs w:val="14"/>
                <w:b w:val="1"/>
                <w:bCs w:val="1"/>
                <w:color w:val="auto"/>
                <w:w w:val="85"/>
              </w:rPr>
              <w:t>December 31,</w:t>
            </w:r>
          </w:p>
        </w:tc>
        <w:tc>
          <w:tcPr>
            <w:tcW w:w="1580" w:type="dxa"/>
            <w:vAlign w:val="bottom"/>
            <w:gridSpan w:val="4"/>
          </w:tcPr>
          <w:p>
            <w:pPr>
              <w:ind w:left="700"/>
              <w:spacing w:after="0"/>
              <w:rPr>
                <w:sz w:val="20"/>
                <w:szCs w:val="20"/>
                <w:color w:val="auto"/>
              </w:rPr>
            </w:pPr>
            <w:r>
              <w:rPr>
                <w:rFonts w:ascii="Arial" w:cs="Arial" w:eastAsia="Arial" w:hAnsi="Arial"/>
                <w:sz w:val="14"/>
                <w:szCs w:val="14"/>
                <w:color w:val="auto"/>
                <w:w w:val="97"/>
              </w:rPr>
              <w:t>December 31,</w:t>
            </w:r>
          </w:p>
        </w:tc>
      </w:tr>
      <w:tr>
        <w:trPr>
          <w:trHeight w:val="175"/>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5"/>
                <w:szCs w:val="15"/>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 – purchase agreement</w:t>
            </w:r>
          </w:p>
        </w:tc>
        <w:tc>
          <w:tcPr>
            <w:tcW w:w="194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Transfer to vessels in operation</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(7,840)</w:t>
            </w: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Addition – vessel purchase options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Addition – software development</w:t>
            </w:r>
          </w:p>
        </w:tc>
        <w:tc>
          <w:tcPr>
            <w:tcW w:w="1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940" w:type="dxa"/>
            <w:vAlign w:val="bottom"/>
            <w:gridSpan w:val="2"/>
            <w:shd w:val="clear" w:color="auto" w:fill="CCEEFF"/>
          </w:tcPr>
          <w:p>
            <w:pPr>
              <w:ind w:left="17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13,671</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Vessel Purchase Options</w:t>
      </w:r>
    </w:p>
    <w:p>
      <w:pPr>
        <w:spacing w:after="0" w:line="96"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On November 8, 2010 the Company signed agreements with the sellers of the two 4,250 TEU newbuildings to terminate the Company’s obligations to purchase the vessels and granted the Company options to purchase the vessels. The intangible assets relating to these purchase options are the fair value of the purchase options on the date of the agreement. These intangible assets will not be amortised but will be transferred to the cost of the vessel on delivery (see notes 2(a) and 10).</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Purchase Agreement</w:t>
      </w:r>
    </w:p>
    <w:p>
      <w:pPr>
        <w:spacing w:after="0" w:line="96" w:lineRule="exact"/>
        <w:rPr>
          <w:sz w:val="20"/>
          <w:szCs w:val="20"/>
          <w:color w:val="auto"/>
        </w:rPr>
      </w:pPr>
    </w:p>
    <w:p>
      <w:pPr>
        <w:ind w:left="460" w:right="300"/>
        <w:spacing w:after="0" w:line="259" w:lineRule="auto"/>
        <w:rPr>
          <w:sz w:val="20"/>
          <w:szCs w:val="20"/>
          <w:color w:val="auto"/>
        </w:rPr>
      </w:pPr>
      <w:r>
        <w:rPr>
          <w:rFonts w:ascii="Arial" w:cs="Arial" w:eastAsia="Arial" w:hAnsi="Arial"/>
          <w:sz w:val="18"/>
          <w:szCs w:val="18"/>
          <w:color w:val="auto"/>
        </w:rPr>
        <w:t>Intangible assets related to purchase agreements are in respect of the agreement in place as at August 14, 2008 (the date of the merger) to purchase five further vessels from CMA CGM. These intangible assets were not amortized but on delivery of the related vessel were allocated to the cost of the purchased vessels.</w:t>
      </w:r>
    </w:p>
    <w:p>
      <w:pPr>
        <w:spacing w:after="0" w:line="59"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During the year ended December 31, 2009, the final vessel in the contracted fleet from CMA CGM was purchased by the Company. The related intangible asset of $7,840 was transferred to the cost of the vessel.</w:t>
      </w:r>
    </w:p>
    <w:p>
      <w:pPr>
        <w:spacing w:after="0" w:line="24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December 2007 the Company entered into an $800,000 senior secured credit facility with ABN AMRO Bank N.V. (formerly Fortis Bank Nederland N.V.), Citigroup Global Markets Limited (formerly Citibank), HSH Nordbank AG, Sumitomo Mitsui Banking Corporation, KFW Ipex Bank GmbH and DnB NOR Bank ASA. Subsequently, Bank of Scotland plc joined the syndicate.</w:t>
      </w:r>
    </w:p>
    <w:p>
      <w:pPr>
        <w:spacing w:after="0" w:line="59"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On February 10, 2009 and April 29, 2009 the Company agreed with its lenders amendments to the credit facility relating to the permitted maximum loan to value (being the ratio of the balance outstanding on the credit facility to the aggregate charter free market value of the secured vessels). On August 20, 2009, the Company further amended the terms of the credit facility. Under the revised terms, the loan to value covenant was waived up to and including November 30, 2010 with the next loan to value test scheduled for April 30, 2011. Further, the amendment enabled the Company to borrow $57,000 under the credit facility including a $15,000 newly created Over Advance Portion (“OAP Loan”) to allow the purchase of CMA CGM Berlioz on August 26, 2009. The balance of the $82,000 vessel purchase price was funded by cash. Amounts borrowed under the amended credit facility bear interest at U.S. dollar Libor plus a fixed margin of 3.50% up to November 30, 2010. Thereafter, the margin will be between 2.50% and 3.50% depending on the loan to value, to be determined at the end of April and November each year.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80"/>
          </w:cols>
          <w:pgMar w:left="240" w:top="274" w:right="279" w:bottom="1440" w:gutter="0" w:footer="0" w:header="0"/>
        </w:sectPr>
      </w:pPr>
    </w:p>
    <w:bookmarkStart w:id="25" w:name="page26"/>
    <w:bookmarkEnd w:id="25"/>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96" w:lineRule="exact"/>
        <w:rPr>
          <w:rFonts w:ascii="Arial" w:cs="Arial" w:eastAsia="Arial" w:hAnsi="Arial"/>
          <w:sz w:val="18"/>
          <w:szCs w:val="18"/>
          <w:b w:val="1"/>
          <w:bCs w:val="1"/>
          <w:color w:val="auto"/>
        </w:rPr>
      </w:pPr>
    </w:p>
    <w:p>
      <w:pPr>
        <w:ind w:left="452"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Under the August 20, 2009 amendment, all undrawn commitments were cancelled. No further commitment fees were payable subsequent to the cancellation of the undrawn commitments. The commitment fee in the year ended December 31, 2009 amounted to $779 (2008: $473 (Successor) and $624 (Predecessor)). The Company is not able to declare or pay dividends to common shareholders until the loan to value is at or below 75% which will not be tested before April 30, 2011.</w:t>
      </w:r>
    </w:p>
    <w:p>
      <w:pPr>
        <w:spacing w:after="0" w:line="62"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OAP loan was fully repaid in two instalments in November 2009 and February 2010.</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Commencing June 30, 2010 the balance of borrowings under the credit facility is being repaid quarterly in an amount equal to free cash in excess of</w:t>
      </w:r>
    </w:p>
    <w:p>
      <w:pPr>
        <w:spacing w:after="0" w:line="38" w:lineRule="exact"/>
        <w:rPr>
          <w:rFonts w:ascii="Arial" w:cs="Arial" w:eastAsia="Arial" w:hAnsi="Arial"/>
          <w:sz w:val="18"/>
          <w:szCs w:val="18"/>
          <w:b w:val="1"/>
          <w:bCs w:val="1"/>
          <w:color w:val="auto"/>
        </w:rPr>
      </w:pPr>
    </w:p>
    <w:p>
      <w:pPr>
        <w:ind w:left="452" w:right="2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$20,000 determined as at the previous month end subject to a minimum of $40,000 repayment a year on a rolling 12 month trailing basis. On this basis a repayment of $30,959 was made under the credit facility on June 30, 2010. On September 28, 2010 the Company agreed with the lenders to defer to December 30, 2010 the repayment of $16,235 otherwise due on September 30, 2010. These funds were released to the lenders on November 30, 2010. A further repayment of $4,136 was made on December 31, 2010.</w:t>
      </w:r>
    </w:p>
    <w:p>
      <w:pPr>
        <w:spacing w:after="0" w:line="62" w:lineRule="exact"/>
        <w:rPr>
          <w:rFonts w:ascii="Arial" w:cs="Arial" w:eastAsia="Arial" w:hAnsi="Arial"/>
          <w:sz w:val="18"/>
          <w:szCs w:val="18"/>
          <w:b w:val="1"/>
          <w:bCs w:val="1"/>
          <w:color w:val="auto"/>
        </w:rPr>
      </w:pPr>
    </w:p>
    <w:p>
      <w:pPr>
        <w:ind w:left="452"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Once loan to value is at or below 75%, repayment of borrowings will become fixed at $10,000 per quarter. The final maturity date of the credit facility remains August 14, 2016 at which point any remaining outstanding balance must be repaid.</w:t>
      </w:r>
    </w:p>
    <w:p>
      <w:pPr>
        <w:spacing w:after="0" w:line="50" w:lineRule="exact"/>
        <w:rPr>
          <w:rFonts w:ascii="Arial" w:cs="Arial" w:eastAsia="Arial" w:hAnsi="Arial"/>
          <w:sz w:val="18"/>
          <w:szCs w:val="18"/>
          <w:b w:val="1"/>
          <w:bCs w:val="1"/>
          <w:color w:val="auto"/>
        </w:rPr>
      </w:pPr>
    </w:p>
    <w:p>
      <w:pPr>
        <w:ind w:left="452"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part of the August 20, 2009 amendment, CMA CGM agreed to defer redemption of the $48,000 preferred shares it holds until after the final maturity of the credit facility in August 2016 and also to retain its current holding of approximately 24.4 million common shares in the Company until at least November 30, 2010.</w:t>
      </w:r>
    </w:p>
    <w:p>
      <w:pPr>
        <w:spacing w:after="0" w:line="59" w:lineRule="exact"/>
        <w:rPr>
          <w:rFonts w:ascii="Arial" w:cs="Arial" w:eastAsia="Arial" w:hAnsi="Arial"/>
          <w:sz w:val="18"/>
          <w:szCs w:val="18"/>
          <w:b w:val="1"/>
          <w:bCs w:val="1"/>
          <w:color w:val="auto"/>
        </w:rPr>
      </w:pPr>
    </w:p>
    <w:p>
      <w:pPr>
        <w:jc w:val="both"/>
        <w:ind w:left="452"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credit facility is secured by, inter alia, first priority mortgages on each of the 17 vessels in the security package, a pledge of shares of the vessel owning subsidiaries as well as assignments of earnings and insurances.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3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Long-term debt is summarized as follows:</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660" w:type="dxa"/>
            <w:vAlign w:val="bottom"/>
            <w:gridSpan w:val="4"/>
          </w:tcPr>
          <w:p>
            <w:pPr>
              <w:ind w:left="15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4"/>
          </w:tcPr>
          <w:p>
            <w:pPr>
              <w:ind w:left="260"/>
              <w:spacing w:after="0"/>
              <w:rPr>
                <w:sz w:val="20"/>
                <w:szCs w:val="20"/>
                <w:color w:val="auto"/>
              </w:rPr>
            </w:pPr>
            <w:r>
              <w:rPr>
                <w:rFonts w:ascii="Arial" w:cs="Arial" w:eastAsia="Arial" w:hAnsi="Arial"/>
                <w:sz w:val="14"/>
                <w:szCs w:val="14"/>
                <w:color w:val="auto"/>
                <w:w w:val="97"/>
              </w:rPr>
              <w:t>December 31,</w:t>
            </w:r>
          </w:p>
        </w:tc>
      </w:tr>
      <w:tr>
        <w:trPr>
          <w:trHeight w:val="175"/>
        </w:trPr>
        <w:tc>
          <w:tcPr>
            <w:tcW w:w="4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5"/>
                <w:szCs w:val="15"/>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+ 2.50% to 3.50%</w:t>
            </w:r>
          </w:p>
        </w:tc>
        <w:tc>
          <w:tcPr>
            <w:tcW w:w="170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532,769</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588,192</w:t>
            </w:r>
          </w:p>
        </w:tc>
        <w:tc>
          <w:tcPr>
            <w:tcW w:w="12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Less current instalments of long-term debt</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(44,500)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(68,300)</w:t>
            </w:r>
          </w:p>
        </w:tc>
      </w:tr>
      <w:tr>
        <w:trPr>
          <w:trHeight w:val="27"/>
        </w:trPr>
        <w:tc>
          <w:tcPr>
            <w:tcW w:w="4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8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54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488,269</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519,892</w:t>
            </w:r>
          </w:p>
        </w:tc>
        <w:tc>
          <w:tcPr>
            <w:tcW w:w="120" w:type="dxa"/>
            <w:vAlign w:val="bottom"/>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100"/>
        <w:spacing w:after="0" w:line="268" w:lineRule="auto"/>
        <w:rPr>
          <w:sz w:val="20"/>
          <w:szCs w:val="20"/>
          <w:color w:val="auto"/>
        </w:rPr>
      </w:pPr>
      <w:r>
        <w:rPr>
          <w:rFonts w:ascii="Arial" w:cs="Arial" w:eastAsia="Arial" w:hAnsi="Arial"/>
          <w:sz w:val="18"/>
          <w:szCs w:val="18"/>
          <w:color w:val="auto"/>
        </w:rPr>
        <w:t>Based on (i) management’s reasonable estimate of cash flow from January 1, 2011 and (ii) loan to value being at or below 75% at the next testing date, the estimated repayments in each of the relevant periods are as follows:</w:t>
      </w:r>
    </w:p>
    <w:p>
      <w:pPr>
        <w:spacing w:after="0" w:line="168"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424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2012</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2014</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2016</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328,269</w:t>
            </w:r>
          </w:p>
        </w:tc>
        <w:tc>
          <w:tcPr>
            <w:tcW w:w="100" w:type="dxa"/>
            <w:vAlign w:val="bottom"/>
          </w:tcPr>
          <w:p>
            <w:pPr>
              <w:spacing w:after="0"/>
              <w:rPr>
                <w:sz w:val="19"/>
                <w:szCs w:val="19"/>
                <w:color w:val="auto"/>
              </w:rPr>
            </w:pPr>
          </w:p>
        </w:tc>
      </w:tr>
      <w:tr>
        <w:trPr>
          <w:trHeight w:val="216"/>
        </w:trPr>
        <w:tc>
          <w:tcPr>
            <w:tcW w:w="42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532,769</w:t>
            </w:r>
          </w:p>
        </w:tc>
        <w:tc>
          <w:tcPr>
            <w:tcW w:w="100" w:type="dxa"/>
            <w:vAlign w:val="bottom"/>
            <w:shd w:val="clear" w:color="auto" w:fill="CCEEFF"/>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spacing w:after="0" w:line="306" w:lineRule="auto"/>
        <w:rPr>
          <w:sz w:val="20"/>
          <w:szCs w:val="20"/>
          <w:color w:val="auto"/>
        </w:rPr>
      </w:pPr>
      <w:r>
        <w:rPr>
          <w:rFonts w:ascii="Arial" w:cs="Arial" w:eastAsia="Arial" w:hAnsi="Arial"/>
          <w:sz w:val="16"/>
          <w:szCs w:val="16"/>
          <w:color w:val="auto"/>
        </w:rPr>
        <w:t>The amount of excess cash generated may vary significantly from management’s estimates and consequently the repayment profile of outstanding debt may be significantly different from that presented. Further, loan to value may not be at or below 75% as at April 30, 2011 in which case, assuming a continuation of the current waiver, quarterly prepayments will continue to be based on free cash in excess of $20,000 at the measurement dates.</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12"/>
          </w:cols>
          <w:pgMar w:left="248" w:top="274" w:right="239" w:bottom="1440" w:gutter="0" w:footer="0" w:header="0"/>
        </w:sectPr>
      </w:pPr>
    </w:p>
    <w:bookmarkStart w:id="26" w:name="page27"/>
    <w:bookmarkEnd w:id="2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96" w:lineRule="exact"/>
        <w:rPr>
          <w:rFonts w:ascii="Arial" w:cs="Arial" w:eastAsia="Arial" w:hAnsi="Arial"/>
          <w:sz w:val="18"/>
          <w:szCs w:val="18"/>
          <w:b w:val="1"/>
          <w:bCs w:val="1"/>
          <w:color w:val="auto"/>
        </w:rPr>
      </w:pPr>
    </w:p>
    <w:p>
      <w:pPr>
        <w:ind w:left="452"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borrowing capacity under its credit facility was reduced as part of amendments agreed on February 10, 2009 and August 20, 2009. A portion of the unamortized deferred financing costs at the date of each amendment was written off, in proportion to the decrease in the borrowing capacity, for $176 and $2,015 respectively. These amounts were included within interest expense. The remaining unamortized deferred financing costs existing at the date of each amendment together with the additional fees and attributable costs paid ($3,293 and $2,138, respectively) were deferred and are amortized over the remaining term of the credit agreement.</w:t>
      </w:r>
    </w:p>
    <w:p>
      <w:pPr>
        <w:spacing w:after="0" w:line="258" w:lineRule="exact"/>
        <w:rPr>
          <w:rFonts w:ascii="Arial" w:cs="Arial" w:eastAsia="Arial" w:hAnsi="Arial"/>
          <w:sz w:val="18"/>
          <w:szCs w:val="18"/>
          <w:b w:val="1"/>
          <w:bCs w:val="1"/>
          <w:color w:val="auto"/>
        </w:rPr>
      </w:pPr>
    </w:p>
    <w:p>
      <w:pPr>
        <w:ind w:left="452" w:hanging="452"/>
        <w:spacing w:after="0"/>
        <w:tabs>
          <w:tab w:leader="none" w:pos="4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b w:val="1"/>
          <w:bCs w:val="1"/>
          <w:color w:val="auto"/>
        </w:rPr>
      </w:pPr>
    </w:p>
    <w:p>
      <w:pPr>
        <w:ind w:left="452" w:right="620"/>
        <w:spacing w:after="0" w:line="306" w:lineRule="auto"/>
        <w:rPr>
          <w:rFonts w:ascii="Arial" w:cs="Arial" w:eastAsia="Arial" w:hAnsi="Arial"/>
          <w:sz w:val="18"/>
          <w:szCs w:val="18"/>
          <w:b w:val="1"/>
          <w:bCs w:val="1"/>
          <w:color w:val="auto"/>
        </w:rPr>
      </w:pPr>
      <w:r>
        <w:rPr>
          <w:rFonts w:ascii="Arial" w:cs="Arial" w:eastAsia="Arial" w:hAnsi="Arial"/>
          <w:sz w:val="18"/>
          <w:szCs w:val="18"/>
          <w:color w:val="auto"/>
        </w:rPr>
        <w:t>CMA CGM is presented as a related party as it was, until the merger, the parent company of Global Ship Lease, Inc. and at December 31, 2010 is a significant shareholder of the Company, owning Class A and Class B common shares representing a 45% voting interest in the Company. Amounts due to and from CMA CGM companies are summarized as follows:</w:t>
      </w:r>
    </w:p>
    <w:p>
      <w:pPr>
        <w:spacing w:after="0" w:line="123"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1580" w:type="dxa"/>
            <w:vAlign w:val="bottom"/>
            <w:gridSpan w:val="4"/>
          </w:tcPr>
          <w:p>
            <w:pPr>
              <w:jc w:val="right"/>
              <w:ind w:right="120"/>
              <w:spacing w:after="0"/>
              <w:rPr>
                <w:sz w:val="20"/>
                <w:szCs w:val="20"/>
                <w:color w:val="auto"/>
              </w:rPr>
            </w:pPr>
            <w:r>
              <w:rPr>
                <w:rFonts w:ascii="Arial" w:cs="Arial" w:eastAsia="Arial" w:hAnsi="Arial"/>
                <w:sz w:val="14"/>
                <w:szCs w:val="14"/>
                <w:color w:val="auto"/>
              </w:rPr>
              <w:t>December 31,</w:t>
            </w:r>
          </w:p>
        </w:tc>
      </w:tr>
      <w:tr>
        <w:trPr>
          <w:trHeight w:val="175"/>
        </w:trPr>
        <w:tc>
          <w:tcPr>
            <w:tcW w:w="6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8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00" w:type="dxa"/>
            <w:vAlign w:val="bottom"/>
            <w:shd w:val="clear" w:color="auto" w:fill="CCEEFF"/>
          </w:tcPr>
          <w:p>
            <w:pPr>
              <w:spacing w:after="0"/>
              <w:rPr>
                <w:sz w:val="18"/>
                <w:szCs w:val="18"/>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1,946</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3,764</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8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100" w:type="dxa"/>
            <w:vAlign w:val="bottom"/>
            <w:shd w:val="clear" w:color="auto" w:fill="CCEEFF"/>
          </w:tcPr>
          <w:p>
            <w:pPr>
              <w:spacing w:after="0"/>
              <w:rPr>
                <w:sz w:val="18"/>
                <w:szCs w:val="18"/>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7,341</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7,838</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260"/>
        <w:spacing w:after="0" w:line="357" w:lineRule="auto"/>
        <w:rPr>
          <w:sz w:val="20"/>
          <w:szCs w:val="20"/>
          <w:color w:val="auto"/>
        </w:rPr>
      </w:pPr>
      <w:r>
        <w:rPr>
          <w:rFonts w:ascii="Arial" w:cs="Arial" w:eastAsia="Arial" w:hAnsi="Arial"/>
          <w:sz w:val="15"/>
          <w:szCs w:val="15"/>
          <w:color w:val="auto"/>
        </w:rPr>
        <w:t>CMA CGM charters all of the Company’s vessels in operation and one of its subsidiaries provides the Company with ship management services. The current account balances at December 31, 2010 and December 31, 2009 relate to amounts payable to or recoverable from CMA CGM group companies.</w:t>
      </w:r>
    </w:p>
    <w:p>
      <w:pPr>
        <w:ind w:left="452" w:right="140"/>
        <w:spacing w:after="0" w:line="259" w:lineRule="auto"/>
        <w:rPr>
          <w:sz w:val="20"/>
          <w:szCs w:val="20"/>
          <w:color w:val="auto"/>
        </w:rPr>
      </w:pPr>
      <w:r>
        <w:rPr>
          <w:rFonts w:ascii="Arial" w:cs="Arial" w:eastAsia="Arial" w:hAnsi="Arial"/>
          <w:sz w:val="18"/>
          <w:szCs w:val="18"/>
          <w:color w:val="auto"/>
        </w:rPr>
        <w:t>CMA CGM holds all of the Series A preferred shares of the Company. During the three months to December 31, 2010, the Company paid CMA CGM dividends of $285 (2009: $290). During the year to December 31, 2010, the Company paid CMA CGM dividends of $1,136 (2009: $2,279 of which $848 related to the year ended December 31, 2008).</w:t>
      </w:r>
    </w:p>
    <w:p>
      <w:pPr>
        <w:spacing w:after="0" w:line="215"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ind w:left="452"/>
        <w:spacing w:after="0"/>
        <w:rPr>
          <w:sz w:val="20"/>
          <w:szCs w:val="20"/>
          <w:color w:val="auto"/>
        </w:rPr>
      </w:pPr>
      <w:r>
        <w:rPr>
          <w:rFonts w:ascii="Arial" w:cs="Arial" w:eastAsia="Arial" w:hAnsi="Arial"/>
          <w:sz w:val="15"/>
          <w:szCs w:val="15"/>
          <w:color w:val="auto"/>
        </w:rPr>
        <w:t>All of the Company’s vessels in operation are time chartered to CMA CGM. Under each of the time charters, hire is payable in advance and the daily rate is</w:t>
      </w:r>
    </w:p>
    <w:p>
      <w:pPr>
        <w:spacing w:after="0" w:line="50" w:lineRule="exact"/>
        <w:rPr>
          <w:sz w:val="20"/>
          <w:szCs w:val="20"/>
          <w:color w:val="auto"/>
        </w:rPr>
      </w:pPr>
    </w:p>
    <w:p>
      <w:pPr>
        <w:ind w:left="452"/>
        <w:spacing w:after="0"/>
        <w:rPr>
          <w:sz w:val="20"/>
          <w:szCs w:val="20"/>
          <w:color w:val="auto"/>
        </w:rPr>
      </w:pPr>
      <w:r>
        <w:rPr>
          <w:rFonts w:ascii="Arial" w:cs="Arial" w:eastAsia="Arial" w:hAnsi="Arial"/>
          <w:sz w:val="16"/>
          <w:szCs w:val="16"/>
          <w:color w:val="auto"/>
        </w:rPr>
        <w:t>fixed for the duration of the charter. The charters are for remaining periods as at December 31, 2010 of between two and 15 years (see note 2(a)). Of the</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5"/>
          <w:szCs w:val="15"/>
          <w:color w:val="auto"/>
        </w:rPr>
        <w:t>$1,482,606 maximum future charter hire receivable set out in note 10 (including for two vessels subject to purchase option agreements (see note 10) and to</w:t>
      </w:r>
    </w:p>
    <w:p>
      <w:pPr>
        <w:spacing w:after="0" w:line="4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be chartered to ZIM, a company not related to CMA CGM), $1,359,854 relates to the 17 ships currently chartered to CMA CGM.</w:t>
      </w:r>
    </w:p>
    <w:p>
      <w:pPr>
        <w:spacing w:after="0" w:line="240"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Ship Management Agreements</w:t>
      </w:r>
    </w:p>
    <w:p>
      <w:pPr>
        <w:spacing w:after="0" w:line="96" w:lineRule="exact"/>
        <w:rPr>
          <w:sz w:val="20"/>
          <w:szCs w:val="20"/>
          <w:color w:val="auto"/>
        </w:rPr>
      </w:pPr>
    </w:p>
    <w:p>
      <w:pPr>
        <w:ind w:left="452" w:right="100"/>
        <w:spacing w:after="0" w:line="294" w:lineRule="auto"/>
        <w:rPr>
          <w:sz w:val="20"/>
          <w:szCs w:val="20"/>
          <w:color w:val="auto"/>
        </w:rPr>
      </w:pPr>
      <w:r>
        <w:rPr>
          <w:rFonts w:ascii="Arial" w:cs="Arial" w:eastAsia="Arial" w:hAnsi="Arial"/>
          <w:sz w:val="16"/>
          <w:szCs w:val="16"/>
          <w:color w:val="auto"/>
        </w:rPr>
        <w:t>The Company outsources day to day technical management of its 17 vessels in operation to a ship manager, CMA Ships Limited, a wholly owned subsidiary of CMA CGM. The Company pays CMA Ships Limited an annual management fee of $114 per vessel and reimburses costs incurred on its behalf, mainly being for the provision of crew, lubricating oils and routine maintenance. Such reimbursement is subject to a cap of between $5.4 and $8.8 per day per vessel depending on the vessel. The impact of the cap is determined quarterly and for the fleet as a whole. Ship management fees expensed for the three months and year ended December 31, 2010 amounted to $489 (2009: $485) and $1,943 (2009: $1,864) respectively.</w:t>
      </w:r>
    </w:p>
    <w:p>
      <w:pPr>
        <w:spacing w:after="0" w:line="3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158" w:lineRule="exact"/>
        <w:rPr>
          <w:sz w:val="20"/>
          <w:szCs w:val="20"/>
          <w:color w:val="auto"/>
        </w:rPr>
      </w:pPr>
    </w:p>
    <w:p>
      <w:pPr>
        <w:ind w:left="5432"/>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12"/>
          </w:cols>
          <w:pgMar w:left="248"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60" w:right="8480" w:hanging="452"/>
        <w:spacing w:after="0" w:line="417" w:lineRule="auto"/>
        <w:tabs>
          <w:tab w:leader="none" w:pos="449"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Vessel Purchase Options</w:t>
      </w:r>
    </w:p>
    <w:p>
      <w:pPr>
        <w:ind w:left="460"/>
        <w:spacing w:after="0" w:line="291" w:lineRule="auto"/>
        <w:rPr>
          <w:rFonts w:ascii="Arial" w:cs="Arial" w:eastAsia="Arial" w:hAnsi="Arial"/>
          <w:sz w:val="15"/>
          <w:szCs w:val="15"/>
          <w:b w:val="1"/>
          <w:bCs w:val="1"/>
          <w:color w:val="auto"/>
        </w:rPr>
      </w:pPr>
      <w:r>
        <w:rPr>
          <w:rFonts w:ascii="Arial" w:cs="Arial" w:eastAsia="Arial" w:hAnsi="Arial"/>
          <w:sz w:val="16"/>
          <w:szCs w:val="16"/>
          <w:color w:val="auto"/>
        </w:rPr>
        <w:t>On November 8, 2010 the Company acquired purchase options giving it the right, but not the obligation, to purchase two 4,250 TEU vessels from German interests, on the first anniversary of their delivery by the builders to the sellers, for a payment of $61,250 per vessel. Each purchase option is to be exercised no later than 270 days after the delivery of the vessels by the builders to the sellers, one of which was in December 2010 and the other in January 2011. If the Company does not exercise a purchase option, the Company has no further liability. The vessels are on charter to ZIM. The charters to ZIM, subject to charterers consent to change of ownership of the vessels, will at the time of the vessels’ purchase by the Company be for a remaining period of six years which could be extended for a further year at ZIM’s option (see notes 2(a), 6 and 7).</w:t>
      </w:r>
    </w:p>
    <w:p>
      <w:pPr>
        <w:spacing w:after="0" w:line="195"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Charter Hire Receivable</w:t>
      </w:r>
    </w:p>
    <w:p>
      <w:pPr>
        <w:spacing w:after="0" w:line="96" w:lineRule="exact"/>
        <w:rPr>
          <w:rFonts w:ascii="Arial" w:cs="Arial" w:eastAsia="Arial" w:hAnsi="Arial"/>
          <w:sz w:val="15"/>
          <w:szCs w:val="15"/>
          <w:b w:val="1"/>
          <w:bCs w:val="1"/>
          <w:color w:val="auto"/>
        </w:rPr>
      </w:pPr>
    </w:p>
    <w:p>
      <w:pPr>
        <w:ind w:left="460" w:right="140"/>
        <w:spacing w:after="0" w:line="255" w:lineRule="auto"/>
        <w:rPr>
          <w:rFonts w:ascii="Arial" w:cs="Arial" w:eastAsia="Arial" w:hAnsi="Arial"/>
          <w:sz w:val="15"/>
          <w:szCs w:val="15"/>
          <w:b w:val="1"/>
          <w:bCs w:val="1"/>
          <w:color w:val="auto"/>
        </w:rPr>
      </w:pPr>
      <w:r>
        <w:rPr>
          <w:rFonts w:ascii="Arial" w:cs="Arial" w:eastAsia="Arial" w:hAnsi="Arial"/>
          <w:sz w:val="18"/>
          <w:szCs w:val="18"/>
          <w:color w:val="auto"/>
        </w:rPr>
        <w:t>The Company has entered into long term time charters for its vessels in operation at December 31, 2010. The charter hire (including those relating to vessels due for delivery in 2011 and 2012, assuming the Company’s purchase options are exercised)), is fixed for the duration of the charter. The charters were originally for periods of between five and 17 years and the maximum future annual charter hire receivable for the fleet of 17 vessels as at December 31, 2010 and for the total contracted fleet of 19 vessels, taking account of actual or anticipated delivery dates and before allowance for any off-hire periods, is as follows:</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4"/>
                <w:szCs w:val="14"/>
                <w:b w:val="1"/>
                <w:bCs w:val="1"/>
                <w:color w:val="auto"/>
                <w:w w:val="87"/>
              </w:rPr>
              <w:t>Fleet operated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780" w:type="dxa"/>
            <w:vAlign w:val="bottom"/>
          </w:tcPr>
          <w:p>
            <w:pPr>
              <w:spacing w:after="0"/>
              <w:rPr>
                <w:sz w:val="12"/>
                <w:szCs w:val="12"/>
                <w:color w:val="auto"/>
              </w:rPr>
            </w:pPr>
          </w:p>
        </w:tc>
        <w:tc>
          <w:tcPr>
            <w:tcW w:w="3360" w:type="dxa"/>
            <w:vAlign w:val="bottom"/>
            <w:gridSpan w:val="3"/>
          </w:tcPr>
          <w:p>
            <w:pPr>
              <w:ind w:left="2260"/>
              <w:spacing w:after="0" w:line="149" w:lineRule="exact"/>
              <w:rPr>
                <w:sz w:val="20"/>
                <w:szCs w:val="20"/>
                <w:color w:val="auto"/>
              </w:rPr>
            </w:pPr>
            <w:r>
              <w:rPr>
                <w:rFonts w:ascii="Arial" w:cs="Arial" w:eastAsia="Arial" w:hAnsi="Arial"/>
                <w:sz w:val="14"/>
                <w:szCs w:val="14"/>
                <w:b w:val="1"/>
                <w:bCs w:val="1"/>
                <w:color w:val="auto"/>
                <w:w w:val="85"/>
              </w:rPr>
              <w:t>as at December 31,</w:t>
            </w:r>
          </w:p>
        </w:tc>
        <w:tc>
          <w:tcPr>
            <w:tcW w:w="6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Total fleet to</w:t>
            </w:r>
          </w:p>
        </w:tc>
      </w:tr>
      <w:tr>
        <w:trPr>
          <w:trHeight w:val="161"/>
        </w:trPr>
        <w:tc>
          <w:tcPr>
            <w:tcW w:w="378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be operated</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157,065</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2012</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156,502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176,802</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156,392</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2014</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135,952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156,392</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156,392</w:t>
            </w:r>
          </w:p>
        </w:tc>
        <w:tc>
          <w:tcPr>
            <w:tcW w:w="100" w:type="dxa"/>
            <w:vAlign w:val="bottom"/>
            <w:shd w:val="clear" w:color="auto" w:fill="CCEEFF"/>
          </w:tcPr>
          <w:p>
            <w:pPr>
              <w:spacing w:after="0"/>
              <w:rPr>
                <w:sz w:val="18"/>
                <w:szCs w:val="18"/>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Thereafter</w:t>
            </w:r>
          </w:p>
        </w:tc>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638,739</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679,563</w:t>
            </w:r>
          </w:p>
        </w:tc>
        <w:tc>
          <w:tcPr>
            <w:tcW w:w="100" w:type="dxa"/>
            <w:vAlign w:val="bottom"/>
          </w:tcPr>
          <w:p>
            <w:pPr>
              <w:spacing w:after="0"/>
              <w:rPr>
                <w:sz w:val="19"/>
                <w:szCs w:val="19"/>
                <w:color w:val="auto"/>
              </w:rPr>
            </w:pPr>
          </w:p>
        </w:tc>
      </w:tr>
      <w:tr>
        <w:trPr>
          <w:trHeight w:val="216"/>
        </w:trPr>
        <w:tc>
          <w:tcPr>
            <w:tcW w:w="37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1,359,854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1,482,606</w:t>
            </w:r>
          </w:p>
        </w:tc>
        <w:tc>
          <w:tcPr>
            <w:tcW w:w="100" w:type="dxa"/>
            <w:vAlign w:val="bottom"/>
            <w:shd w:val="clear" w:color="auto" w:fill="CCEEFF"/>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b w:val="1"/>
          <w:bCs w:val="1"/>
          <w:color w:val="auto"/>
        </w:rPr>
      </w:pPr>
    </w:p>
    <w:p>
      <w:pPr>
        <w:ind w:left="460"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At December 31, 2010,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until at least the third quarter of 2011. Class B common shares will convert to Class A common shares on a one-for-one basis after the expiration of the subordination period and provided certain financial conditions are met. Until January 1, 2009, the Company had three classes of common shares but on that date the 12,375,000 Class C common shares were converted into Class A common shares on a one-for-one basis.</w:t>
      </w:r>
    </w:p>
    <w:p>
      <w:pPr>
        <w:spacing w:after="0" w:line="34" w:lineRule="exact"/>
        <w:rPr>
          <w:rFonts w:ascii="Arial" w:cs="Arial" w:eastAsia="Arial" w:hAnsi="Arial"/>
          <w:sz w:val="18"/>
          <w:szCs w:val="18"/>
          <w:b w:val="1"/>
          <w:bCs w:val="1"/>
          <w:color w:val="auto"/>
        </w:rPr>
      </w:pPr>
    </w:p>
    <w:p>
      <w:pPr>
        <w:ind w:left="460" w:right="7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Restricted stock units are granted periodically to the Directors and management, under the Company’s 2008 Equity Incentive Plan, as part of their compensation arrangements (see note 13).</w:t>
      </w:r>
    </w:p>
    <w:p>
      <w:pPr>
        <w:spacing w:after="0" w:line="50" w:lineRule="exact"/>
        <w:rPr>
          <w:rFonts w:ascii="Arial" w:cs="Arial" w:eastAsia="Arial" w:hAnsi="Arial"/>
          <w:sz w:val="18"/>
          <w:szCs w:val="18"/>
          <w:b w:val="1"/>
          <w:bCs w:val="1"/>
          <w:color w:val="auto"/>
        </w:rPr>
      </w:pPr>
    </w:p>
    <w:p>
      <w:pPr>
        <w:ind w:left="460" w:right="160"/>
        <w:spacing w:after="0" w:line="357" w:lineRule="auto"/>
        <w:rPr>
          <w:rFonts w:ascii="Arial" w:cs="Arial" w:eastAsia="Arial" w:hAnsi="Arial"/>
          <w:sz w:val="18"/>
          <w:szCs w:val="18"/>
          <w:b w:val="1"/>
          <w:bCs w:val="1"/>
          <w:color w:val="auto"/>
        </w:rPr>
      </w:pPr>
      <w:r>
        <w:rPr>
          <w:rFonts w:ascii="Arial" w:cs="Arial" w:eastAsia="Arial" w:hAnsi="Arial"/>
          <w:sz w:val="15"/>
          <w:szCs w:val="15"/>
          <w:color w:val="auto"/>
        </w:rPr>
        <w:t>The Series A preferred shares rank senior to the common shares and are mandatorily redeemable in 12 quarterly instalments commencing on August 31, 2016. They are classified as a long-term liability. The dividend that preferred shares holders are entitled to be paid is presented as part of interest expense.</w:t>
      </w: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addition to the outstanding Class A and B common shares and the Series A Preferred shares, there were 39,531,348 Public Warrants which gave the holder the right to purchase one Class A common share at a price of $6.00, and which expired on August 24, 2010. There were 5,500,000 Sponsor Warrants which had similar terms to the Public Warrants except that the exercise had to be on a cashless basis, and these also expired on August 24, 2010. Further, there are 6,188,088 Class A Warrants outstanding which expire on September 1, 2013 and give the holders the right to purchase one Class A common share at a price of $9.25.</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74" w:right="239" w:bottom="1440" w:gutter="0" w:footer="0" w:header="0"/>
        </w:sectPr>
      </w:pPr>
    </w:p>
    <w:bookmarkStart w:id="28" w:name="page29"/>
    <w:bookmarkEnd w:id="28"/>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 (continued)</w:t>
      </w:r>
    </w:p>
    <w:p>
      <w:pPr>
        <w:spacing w:after="0" w:line="96" w:lineRule="exact"/>
        <w:rPr>
          <w:rFonts w:ascii="Arial" w:cs="Arial" w:eastAsia="Arial" w:hAnsi="Arial"/>
          <w:sz w:val="18"/>
          <w:szCs w:val="18"/>
          <w:b w:val="1"/>
          <w:bCs w:val="1"/>
          <w:color w:val="auto"/>
        </w:rPr>
      </w:pPr>
    </w:p>
    <w:p>
      <w:pPr>
        <w:ind w:left="452" w:right="30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As at December 31, 2010, total proceeds received in 2008 from the exercise of Public Warrants prior to the warrant expiry on August 24, 2010, were $3,027 (2009: $3,026). Such funds were to be used to redeem the Series A Preferred shares, with a minimum redemption amount of $5,000. As this threshold has not been reached, none of the preferred shares have been redeemed and the funds remain classified as restricted cash in the balance sheet.</w:t>
      </w:r>
    </w:p>
    <w:p>
      <w:pPr>
        <w:spacing w:after="0" w:line="203" w:lineRule="exact"/>
        <w:rPr>
          <w:rFonts w:ascii="Arial" w:cs="Arial" w:eastAsia="Arial" w:hAnsi="Arial"/>
          <w:sz w:val="18"/>
          <w:szCs w:val="18"/>
          <w:b w:val="1"/>
          <w:bCs w:val="1"/>
          <w:color w:val="auto"/>
        </w:rPr>
      </w:pPr>
    </w:p>
    <w:p>
      <w:pPr>
        <w:ind w:left="452" w:hanging="452"/>
        <w:spacing w:after="0"/>
        <w:tabs>
          <w:tab w:leader="none" w:pos="4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b w:val="1"/>
          <w:bCs w:val="1"/>
          <w:color w:val="auto"/>
        </w:rPr>
      </w:pPr>
    </w:p>
    <w:p>
      <w:pPr>
        <w:ind w:left="452"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is exposed to the impact of interest rate changes on its variable rate debt. Accordingly, the Company enters into interest rate swap agreements to manage the exposure to interest rate variability. As of December 31, 2010 a total of $580,000 of debt has been swapped into fixed rate debt at a weighted average rate of 3.59%.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consolidated statement of cash flows.</w:t>
      </w:r>
    </w:p>
    <w:p>
      <w:pPr>
        <w:spacing w:after="0" w:line="39" w:lineRule="exact"/>
        <w:rPr>
          <w:rFonts w:ascii="Arial" w:cs="Arial" w:eastAsia="Arial" w:hAnsi="Arial"/>
          <w:sz w:val="18"/>
          <w:szCs w:val="18"/>
          <w:b w:val="1"/>
          <w:bCs w:val="1"/>
          <w:color w:val="auto"/>
        </w:rPr>
      </w:pPr>
    </w:p>
    <w:p>
      <w:pPr>
        <w:ind w:left="452"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Realized gains or losses from interest rate derivatives are recognized in the statement of income together with cash settlements. In addition, the interest rate derivatives are “marked to market” each reporting period to determine the fair values which generate unrealized gains or losses. The unrealized gain on interest rate derivatives for the three months ended December 31, 2010 was $11,710 (2009: $5,094). The unrealized loss on interest rate derivatives for the year ended December 31, 2010 was $15,322 (2009: $17,928 gain).</w:t>
      </w:r>
    </w:p>
    <w:p>
      <w:pPr>
        <w:spacing w:after="0" w:line="62"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Derivative instruments held by the Company are categorized as level 2 in the fair value hierarchy. As at December 31, 2010, these derivatives represented a liability of $44,435 (2009: $29,113).</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392"/>
          </w:cols>
          <w:pgMar w:left="248" w:top="274" w:right="25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4"/>
                <w:szCs w:val="14"/>
                <w:b w:val="1"/>
                <w:bCs w:val="1"/>
                <w:color w:val="auto"/>
                <w:w w:val="91"/>
              </w:rPr>
              <w:t>Restricted Stock Units</w:t>
            </w: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00" w:type="dxa"/>
            <w:vAlign w:val="bottom"/>
            <w:gridSpan w:val="4"/>
          </w:tcPr>
          <w:p>
            <w:pPr>
              <w:jc w:val="right"/>
              <w:ind w:right="980"/>
              <w:spacing w:after="0"/>
              <w:rPr>
                <w:sz w:val="20"/>
                <w:szCs w:val="20"/>
                <w:color w:val="auto"/>
              </w:rPr>
            </w:pPr>
            <w:r>
              <w:rPr>
                <w:rFonts w:ascii="Arial" w:cs="Arial" w:eastAsia="Arial" w:hAnsi="Arial"/>
                <w:sz w:val="14"/>
                <w:szCs w:val="14"/>
                <w:color w:val="auto"/>
              </w:rPr>
              <w:t>Number of Units</w:t>
            </w: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color w:val="auto"/>
                <w:w w:val="84"/>
              </w:rPr>
              <w:t>Weighted</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Average</w:t>
            </w:r>
          </w:p>
        </w:tc>
        <w:tc>
          <w:tcPr>
            <w:tcW w:w="48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ind w:right="17"/>
              <w:spacing w:after="0" w:line="149" w:lineRule="exact"/>
              <w:rPr>
                <w:sz w:val="20"/>
                <w:szCs w:val="20"/>
                <w:color w:val="auto"/>
              </w:rPr>
            </w:pPr>
            <w:r>
              <w:rPr>
                <w:rFonts w:ascii="Arial" w:cs="Arial" w:eastAsia="Arial" w:hAnsi="Arial"/>
                <w:sz w:val="14"/>
                <w:szCs w:val="14"/>
                <w:color w:val="auto"/>
                <w:w w:val="91"/>
              </w:rPr>
              <w:t>Fair</w:t>
            </w:r>
          </w:p>
        </w:tc>
        <w:tc>
          <w:tcPr>
            <w:tcW w:w="4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86"/>
              </w:rPr>
              <w:t>Value on</w:t>
            </w:r>
          </w:p>
        </w:tc>
        <w:tc>
          <w:tcPr>
            <w:tcW w:w="4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3"/>
              </w:rPr>
              <w:t>Value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ind w:right="17"/>
              <w:spacing w:after="0" w:line="149" w:lineRule="exact"/>
              <w:rPr>
                <w:sz w:val="20"/>
                <w:szCs w:val="20"/>
                <w:color w:val="auto"/>
              </w:rPr>
            </w:pPr>
            <w:r>
              <w:rPr>
                <w:rFonts w:ascii="Arial" w:cs="Arial" w:eastAsia="Arial" w:hAnsi="Arial"/>
                <w:sz w:val="14"/>
                <w:szCs w:val="14"/>
                <w:color w:val="auto"/>
                <w:w w:val="85"/>
              </w:rPr>
              <w:t>Grant</w:t>
            </w:r>
          </w:p>
        </w:tc>
        <w:tc>
          <w:tcPr>
            <w:tcW w:w="48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Vesting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22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w w:val="85"/>
              </w:rPr>
              <w:t>Management</w:t>
            </w:r>
          </w:p>
        </w:tc>
        <w:tc>
          <w:tcPr>
            <w:tcW w:w="118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Directors</w:t>
            </w:r>
          </w:p>
        </w:tc>
        <w:tc>
          <w:tcPr>
            <w:tcW w:w="100" w:type="dxa"/>
            <w:vAlign w:val="bottom"/>
          </w:tcPr>
          <w:p>
            <w:pPr>
              <w:spacing w:after="0"/>
              <w:rPr>
                <w:sz w:val="13"/>
                <w:szCs w:val="13"/>
                <w:color w:val="auto"/>
              </w:rPr>
            </w:pPr>
          </w:p>
        </w:tc>
        <w:tc>
          <w:tcPr>
            <w:tcW w:w="440" w:type="dxa"/>
            <w:vAlign w:val="bottom"/>
          </w:tcPr>
          <w:p>
            <w:pPr>
              <w:jc w:val="center"/>
              <w:ind w:right="17"/>
              <w:spacing w:after="0" w:line="159" w:lineRule="exact"/>
              <w:rPr>
                <w:sz w:val="20"/>
                <w:szCs w:val="20"/>
                <w:color w:val="auto"/>
              </w:rPr>
            </w:pPr>
            <w:r>
              <w:rPr>
                <w:rFonts w:ascii="Arial" w:cs="Arial" w:eastAsia="Arial" w:hAnsi="Arial"/>
                <w:sz w:val="14"/>
                <w:szCs w:val="14"/>
                <w:color w:val="auto"/>
                <w:w w:val="80"/>
              </w:rPr>
              <w:t>date</w:t>
            </w:r>
          </w:p>
        </w:tc>
        <w:tc>
          <w:tcPr>
            <w:tcW w:w="480" w:type="dxa"/>
            <w:vAlign w:val="bottom"/>
          </w:tcPr>
          <w:p>
            <w:pPr>
              <w:spacing w:after="0"/>
              <w:rPr>
                <w:sz w:val="13"/>
                <w:szCs w:val="13"/>
                <w:color w:val="auto"/>
              </w:rPr>
            </w:pPr>
          </w:p>
        </w:tc>
        <w:tc>
          <w:tcPr>
            <w:tcW w:w="58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0"/>
              </w:rPr>
              <w:t>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860,000</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Vested in January 2009</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(37,671)</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Granted on May 18, 2009</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Vested in September 2009</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(195,000)</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Vested in October 2009</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(105,000)</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Un-Vested as at December 31, 2009</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560,000</w:t>
            </w:r>
          </w:p>
        </w:tc>
        <w:tc>
          <w:tcPr>
            <w:tcW w:w="5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150,273</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4.21</w:t>
            </w:r>
          </w:p>
        </w:tc>
        <w:tc>
          <w:tcPr>
            <w:tcW w:w="4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2010</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(150,273)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Granted on March 1, 2010</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58,511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1.88</w:t>
            </w:r>
          </w:p>
        </w:tc>
        <w:tc>
          <w:tcPr>
            <w:tcW w:w="4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Vested in September 2010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(210,000)</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Vested in October 2010</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(90,000)</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December 31, 2010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260,000</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58,511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Using the graded vesting method of expensing the restricted stock unit grants, the calculated weighted average fair value of the stock units is recognized as compensation costs in the consolidated statement of income over the vesting period. During the three month period and year ended December 31, 2010, the Company recognized a total of $131 (2009: $359) and $980 (2009: $2,513) share based compensation costs respectively. As at December 31, 2010, there was a total of $255 unrecognized compensation costs relating to the above share based awards (December 31, 2009: $1,126). The remaining costs are expected to be recognized over a period of eight months.</w:t>
      </w:r>
    </w:p>
    <w:p>
      <w:pPr>
        <w:spacing w:after="0" w:line="35"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The restricted stock units granted to management on August 14, 2008 were to vest over a period of three years; one third on the first anniversary of the merger, one third on the second anniversary and one third on the third anniversary. The vesting date of the first and second tranches was amended and a total of 260,000 vested in September and October 2009 and a further 260,000 vested in September and October 2010. The vesting date of the third tranche remains unchanged.</w:t>
      </w:r>
    </w:p>
    <w:p>
      <w:pPr>
        <w:spacing w:after="0" w:line="6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restricted stock units granted to management on November 12, 2008 were to vest over a period of two years; half on the first anniversary of the merger and half on the second anniversary. The vesting date of the first and second tranche was amended and a total of 40,000 vested in September and October 2009 and the remaining 40,000 vested in September and October 2010.</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restricted stock units granted to Directors on November 12, 2008 vested in January 2009.</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restricted stock units granted to Directors on May 18, 2009 vested in January 2010.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restricted stock units granted to Directors on March 1, 2010 vested in January 2011.</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380"/>
          </w:cols>
          <w:pgMar w:left="240" w:top="274" w:right="279" w:bottom="1440" w:gutter="0" w:footer="0" w:header="0"/>
        </w:sectPr>
      </w:pPr>
    </w:p>
    <w:bookmarkStart w:id="30" w:name="page31"/>
    <w:bookmarkEnd w:id="30"/>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52" w:hanging="452"/>
        <w:spacing w:after="0"/>
        <w:tabs>
          <w:tab w:leader="none" w:pos="4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52"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Basic earnings per common share presented under the two-class method is computed by dividing the earnings applicable to common stockholders by the weighted average number of common shares outstanding for the period.</w:t>
      </w:r>
    </w:p>
    <w:p>
      <w:pPr>
        <w:spacing w:after="0" w:line="50" w:lineRule="exact"/>
        <w:rPr>
          <w:rFonts w:ascii="Arial" w:cs="Arial" w:eastAsia="Arial" w:hAnsi="Arial"/>
          <w:sz w:val="18"/>
          <w:szCs w:val="18"/>
          <w:b w:val="1"/>
          <w:bCs w:val="1"/>
          <w:color w:val="auto"/>
        </w:rPr>
      </w:pPr>
    </w:p>
    <w:p>
      <w:pPr>
        <w:ind w:left="452"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Under the two class method applied by the Company, net income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three months and year ended December 31, 2010, no dividend was declared on 2010 net income (2009: nil). Dividends paid in the year ended December 31, 2009 related to 2008 net income. Until at least the third quarter 2011, Class B dividend rights are subordinated to those of holders of Class A common shares. Net income for the period was allocated based on the contractual rights of each class of security and there was insufficient net income to allow any dividend on the Class B common shares and accordingly no earnings were allocated to Class B common shares.</w:t>
      </w:r>
    </w:p>
    <w:p>
      <w:pPr>
        <w:spacing w:after="0" w:line="37" w:lineRule="exact"/>
        <w:rPr>
          <w:rFonts w:ascii="Arial" w:cs="Arial" w:eastAsia="Arial" w:hAnsi="Arial"/>
          <w:sz w:val="18"/>
          <w:szCs w:val="18"/>
          <w:b w:val="1"/>
          <w:bCs w:val="1"/>
          <w:color w:val="auto"/>
        </w:rPr>
      </w:pPr>
    </w:p>
    <w:p>
      <w:pPr>
        <w:ind w:left="452"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any losses would only be allocated to the Class A common shareholders.</w:t>
      </w:r>
    </w:p>
    <w:p>
      <w:pPr>
        <w:spacing w:after="0" w:line="59" w:lineRule="exact"/>
        <w:rPr>
          <w:rFonts w:ascii="Arial" w:cs="Arial" w:eastAsia="Arial" w:hAnsi="Arial"/>
          <w:sz w:val="18"/>
          <w:szCs w:val="18"/>
          <w:b w:val="1"/>
          <w:bCs w:val="1"/>
          <w:color w:val="auto"/>
        </w:rPr>
      </w:pPr>
    </w:p>
    <w:p>
      <w:pPr>
        <w:ind w:left="452"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August 24, 2010 39,531,348 Public Warrants exercisable at $6.00 to purchase Class A common shares and 5,500,000 Sponsor Warrants, exercisable on a cashless basis, expired. At December 31, 2010, there were 6,188,088 Class A Warrants to purchase Class A common shares at an exercise price of $9.25 outstanding which are due to expire on September 1, 2013. In addition, there were 318,511 restricted stock units granted and unvested as part of management’s equity incentive plan and as part of the Directors’ compensation for 2010. As of December 31, 2010 only Class A and B common shares are participating securities.</w:t>
      </w:r>
    </w:p>
    <w:p>
      <w:pPr>
        <w:spacing w:after="0" w:line="61" w:lineRule="exact"/>
        <w:rPr>
          <w:rFonts w:ascii="Arial" w:cs="Arial" w:eastAsia="Arial" w:hAnsi="Arial"/>
          <w:sz w:val="18"/>
          <w:szCs w:val="18"/>
          <w:b w:val="1"/>
          <w:bCs w:val="1"/>
          <w:color w:val="auto"/>
        </w:rPr>
      </w:pPr>
    </w:p>
    <w:p>
      <w:pPr>
        <w:ind w:left="452"/>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For the year ended December 31, 2010 and the three months ended December 31, 2009, the diluted weighted average number of Class A common shares outstanding is the same as the basic weighted average number of shares outstanding. The diluted weighted average number of shares excludes the outstanding restricted stock units and the outstanding warrants as these would have an antidilutive effect. For the three months ended December 31, 2010 and the year ended December 31, 2009, the diluted weighted average number of shares includes the incremental effect of outstanding stock based incentive awards but excludes the effect of outstanding warrants as these were antidilutive.</w:t>
      </w:r>
    </w:p>
    <w:p>
      <w:pPr>
        <w:spacing w:after="0" w:line="1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372"/>
          </w:cols>
          <w:pgMar w:left="248" w:top="274" w:right="279" w:bottom="1440" w:gutter="0" w:footer="0" w:header="0"/>
        </w:sectPr>
      </w:pPr>
    </w:p>
    <w:bookmarkStart w:id="31" w:name="page32"/>
    <w:bookmarkEnd w:id="31"/>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(Expressed in thousands of U.S. dollars except per share amounts)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Earnings per Share (continued)</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(In thousands, except share data)</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ind w:left="720"/>
              <w:spacing w:after="0"/>
              <w:rPr>
                <w:sz w:val="20"/>
                <w:szCs w:val="20"/>
                <w:color w:val="auto"/>
              </w:rPr>
            </w:pPr>
            <w:r>
              <w:rPr>
                <w:rFonts w:ascii="Arial" w:cs="Arial" w:eastAsia="Arial" w:hAnsi="Arial"/>
                <w:sz w:val="14"/>
                <w:szCs w:val="14"/>
                <w:b w:val="1"/>
                <w:bCs w:val="1"/>
                <w:color w:val="auto"/>
                <w:w w:val="85"/>
              </w:rPr>
              <w:t>December 31,</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80" w:type="dxa"/>
            <w:vAlign w:val="bottom"/>
          </w:tcPr>
          <w:p>
            <w:pPr>
              <w:spacing w:after="0"/>
              <w:rPr>
                <w:sz w:val="20"/>
                <w:szCs w:val="20"/>
                <w:color w:val="auto"/>
              </w:rPr>
            </w:pPr>
            <w:r>
              <w:rPr>
                <w:rFonts w:ascii="Arial" w:cs="Arial" w:eastAsia="Arial" w:hAnsi="Arial"/>
                <w:sz w:val="18"/>
                <w:szCs w:val="18"/>
                <w:color w:val="auto"/>
              </w:rPr>
              <w:t>Weighted average number of common shares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Arial" w:cs="Arial" w:eastAsia="Arial" w:hAnsi="Arial"/>
                <w:sz w:val="18"/>
                <w:szCs w:val="18"/>
                <w:color w:val="auto"/>
              </w:rPr>
              <w:t>outstanding (B)</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84"/>
              </w:rPr>
              <w:t>47,126,391</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46,675,140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46,910,604</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46,459,509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263,780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Common shares and common share equivalents (F)</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84"/>
              </w:rPr>
              <w:t>47,390,171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46,675,140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46,910,604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46,754,858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B common shares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80" w:type="dxa"/>
            <w:vAlign w:val="bottom"/>
          </w:tcPr>
          <w:p>
            <w:pPr>
              <w:spacing w:after="0"/>
              <w:rPr>
                <w:sz w:val="20"/>
                <w:szCs w:val="20"/>
                <w:color w:val="auto"/>
              </w:rPr>
            </w:pPr>
            <w:r>
              <w:rPr>
                <w:rFonts w:ascii="Arial" w:cs="Arial" w:eastAsia="Arial" w:hAnsi="Arial"/>
                <w:sz w:val="18"/>
                <w:szCs w:val="18"/>
                <w:color w:val="auto"/>
              </w:rPr>
              <w:t>Weighted average number of common shares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Arial" w:cs="Arial" w:eastAsia="Arial" w:hAnsi="Arial"/>
                <w:sz w:val="18"/>
                <w:szCs w:val="18"/>
                <w:color w:val="auto"/>
              </w:rPr>
              <w:t>outstanding (D)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7,405,956</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7,405,956</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Common shares (H)</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7,405,956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7,405,956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income (loss) available to shareholders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1,226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12,348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(3,971)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1,226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12,348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(3,971)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  allocate pro-rata between Class A and B</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income (loss) available for Class A (A)</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1,226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12,348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(3,971)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for Class B (C)</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(A/B)</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Class B (C/D)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income (loss) available to shareholders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1,226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12,348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(3,971)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1,226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12,348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(3,971)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  allocate pro rata between Class A and B</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income (loss) available for Class A (E)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1,226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12,348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(3,971)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for Class B (G)</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(E/F)</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tcPr>
          <w:p>
            <w:pPr>
              <w:ind w:left="440"/>
              <w:spacing w:after="0"/>
              <w:rPr>
                <w:sz w:val="20"/>
                <w:szCs w:val="20"/>
                <w:color w:val="auto"/>
              </w:rPr>
            </w:pPr>
            <w:r>
              <w:rPr>
                <w:rFonts w:ascii="Arial" w:cs="Arial" w:eastAsia="Arial" w:hAnsi="Arial"/>
                <w:sz w:val="18"/>
                <w:szCs w:val="18"/>
                <w:color w:val="auto"/>
              </w:rPr>
              <w:t>Class B (G/H)</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There are no subsequent events other than those disclosed elsewhere in these financial statements.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Page 17</w:t>
      </w:r>
    </w:p>
    <w:sectPr>
      <w:pgSz w:w="11900" w:h="16838" w:orient="portrait"/>
      <w:cols w:equalWidth="0" w:num="1">
        <w:col w:w="10960"/>
      </w:cols>
      <w:pgMar w:left="2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lvl w:ilvl="1">
      <w:lvlJc w:val="left"/>
      <w:lvlText w:val="(%2)"/>
      <w:numFmt w:val="lowerLetter"/>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2"/>
    </w:lvl>
    <w:lvl w:ilvl="1">
      <w:lvlJc w:val="left"/>
      <w:lvlText w:val="(%2)"/>
      <w:numFmt w:val="lowerLetter"/>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lowerLetter"/>
      <w:start w:val="2"/>
    </w:lvl>
  </w:abstractNum>
  <w:abstractNum w:abstractNumId="13">
    <w:nsid w:val="3F2DBA31"/>
    <w:multiLevelType w:val="hybridMultilevel"/>
    <w:lvl w:ilvl="0">
      <w:lvlJc w:val="left"/>
      <w:lvlText w:val="%1."/>
      <w:numFmt w:val="decimal"/>
      <w:start w:val="3"/>
    </w:lvl>
  </w:abstractNum>
  <w:abstractNum w:abstractNumId="14">
    <w:nsid w:val="7C83E458"/>
    <w:multiLevelType w:val="hybridMultilevel"/>
    <w:lvl w:ilvl="0">
      <w:lvlJc w:val="left"/>
      <w:lvlText w:val="%1."/>
      <w:numFmt w:val="decimal"/>
      <w:start w:val="6"/>
    </w:lvl>
  </w:abstractNum>
  <w:abstractNum w:abstractNumId="15">
    <w:nsid w:val="257130A3"/>
    <w:multiLevelType w:val="hybridMultilevel"/>
    <w:lvl w:ilvl="0">
      <w:lvlJc w:val="left"/>
      <w:lvlText w:val="%1."/>
      <w:numFmt w:val="decimal"/>
      <w:start w:val="8"/>
    </w:lvl>
  </w:abstractNum>
  <w:abstractNum w:abstractNumId="16">
    <w:nsid w:val="62BBD95A"/>
    <w:multiLevelType w:val="hybridMultilevel"/>
    <w:lvl w:ilvl="0">
      <w:lvlJc w:val="left"/>
      <w:lvlText w:val="%1."/>
      <w:numFmt w:val="decimal"/>
      <w:start w:val="8"/>
    </w:lvl>
  </w:abstractNum>
  <w:abstractNum w:abstractNumId="17">
    <w:nsid w:val="436C6125"/>
    <w:multiLevelType w:val="hybridMultilevel"/>
    <w:lvl w:ilvl="0">
      <w:lvlJc w:val="left"/>
      <w:lvlText w:val="%1."/>
      <w:numFmt w:val="decimal"/>
      <w:start w:val="8"/>
    </w:lvl>
  </w:abstractNum>
  <w:abstractNum w:abstractNumId="18">
    <w:nsid w:val="628C895D"/>
    <w:multiLevelType w:val="hybridMultilevel"/>
    <w:lvl w:ilvl="0">
      <w:lvlJc w:val="left"/>
      <w:lvlText w:val="%1."/>
      <w:numFmt w:val="decimal"/>
      <w:start w:val="10"/>
    </w:lvl>
  </w:abstractNum>
  <w:abstractNum w:abstractNumId="19">
    <w:nsid w:val="333AB105"/>
    <w:multiLevelType w:val="hybridMultilevel"/>
    <w:lvl w:ilvl="0">
      <w:lvlJc w:val="left"/>
      <w:lvlText w:val="%1."/>
      <w:numFmt w:val="decimal"/>
      <w:start w:val="11"/>
    </w:lvl>
  </w:abstractNum>
  <w:abstractNum w:abstractNumId="20">
    <w:nsid w:val="721DA317"/>
    <w:multiLevelType w:val="hybridMultilevel"/>
    <w:lvl w:ilvl="0">
      <w:lvlJc w:val="left"/>
      <w:lvlText w:val="%1."/>
      <w:numFmt w:val="decimal"/>
      <w:start w:val="11"/>
    </w:lvl>
  </w:abstractNum>
  <w:abstractNum w:abstractNumId="21">
    <w:nsid w:val="2443A858"/>
    <w:multiLevelType w:val="hybridMultilevel"/>
    <w:lvl w:ilvl="0">
      <w:lvlJc w:val="left"/>
      <w:lvlText w:val="%1."/>
      <w:numFmt w:val="decimal"/>
      <w:start w:val="14"/>
    </w:lvl>
  </w:abstractNum>
  <w:abstractNum w:abstractNumId="22">
    <w:nsid w:val="2D1D5AE9"/>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2019-12-11T07:37:26Z</dcterms:created>
  <dcterms:modified xsi:type="dcterms:W3CDTF">2019-12-11T07:37:26Z</dcterms:modified>
</cp:coreProperties>
</file>