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3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August 15, 2012</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4"/>
          <w:szCs w:val="24"/>
          <w:color w:val="auto"/>
        </w:rPr>
      </w:pPr>
    </w:p>
    <w:p>
      <w:pPr>
        <w:ind w:right="3840"/>
        <w:spacing w:after="0" w:line="229"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37" w:lineRule="exact"/>
        <w:rPr>
          <w:sz w:val="24"/>
          <w:szCs w:val="24"/>
          <w:color w:val="auto"/>
        </w:rPr>
      </w:pPr>
    </w:p>
    <w:p>
      <w:pPr>
        <w:ind w:right="376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S-I Rule 101 (b)(1).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72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 (b)(7).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Attached hereto as Exhibit I is a press release dated August 13, 2012 of Global Ship Lease, Inc. (the “Company”) reporting the Company’s financial results for the second quarter of 2012. Attached hereto as Exhibit II are the Company’s interim unaudited consolidated financial statements for the six month period ended June 30, 2012.</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6140" w:val="left"/>
          <w:tab w:leader="none" w:pos="8080" w:val="left"/>
          <w:tab w:leader="none" w:pos="8420" w:val="left"/>
        </w:tabs>
        <w:rPr>
          <w:sz w:val="20"/>
          <w:szCs w:val="20"/>
          <w:color w:val="auto"/>
        </w:rPr>
      </w:pPr>
      <w:r>
        <w:rPr>
          <w:rFonts w:ascii="Arial" w:cs="Arial" w:eastAsia="Arial" w:hAnsi="Arial"/>
          <w:sz w:val="18"/>
          <w:szCs w:val="18"/>
          <w:color w:val="auto"/>
        </w:rPr>
        <w:t>Date: August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10795</wp:posOffset>
            </wp:positionV>
            <wp:extent cx="31730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Ian J. Webber</w:t>
      </w:r>
    </w:p>
    <w:p>
      <w:pPr>
        <w:spacing w:after="0" w:line="1"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380"/>
          </w:cols>
          <w:pgMar w:left="240" w:top="274"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Burke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Second Quarter of 2012</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LONDON, ENGLAND — August 13, 2012 </w:t>
      </w:r>
      <w:r>
        <w:rPr>
          <w:rFonts w:ascii="Arial" w:cs="Arial" w:eastAsia="Arial" w:hAnsi="Arial"/>
          <w:sz w:val="18"/>
          <w:szCs w:val="18"/>
          <w:color w:val="auto"/>
        </w:rPr>
        <w:t>- Global Ship Lease, Inc. (NYSE:GSL), a containership charter owner,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and six months ended June 30,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Year To Date Highlights</w:t>
      </w:r>
    </w:p>
    <w:p>
      <w:pPr>
        <w:spacing w:after="0" w:line="96" w:lineRule="exact"/>
        <w:rPr>
          <w:sz w:val="20"/>
          <w:szCs w:val="20"/>
          <w:color w:val="auto"/>
        </w:rPr>
      </w:pPr>
    </w:p>
    <w:p>
      <w:pPr>
        <w:ind w:right="160" w:firstLine="8"/>
        <w:spacing w:after="0" w:line="256"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$39.2 million for the second quarter 2012, up from $38.8 million for the second quarter 2011 due mainly to 11 days offhire less in the second quarter 2012 from fewer drydockings. Revenue for the six months ended June 30, 2012 was $77.6 million compared to $77.9 million for the six months ended June 30, 2011. There were 70 days offhire in first half 2012, of which 60 were for planned drydockings, compared to a total of 35 days offhire in 2011, of which 30 were for drydockings</w:t>
      </w:r>
    </w:p>
    <w:p>
      <w:pPr>
        <w:spacing w:after="0" w:line="143" w:lineRule="exact"/>
        <w:rPr>
          <w:rFonts w:ascii="Arial" w:cs="Arial" w:eastAsia="Arial" w:hAnsi="Arial"/>
          <w:sz w:val="18"/>
          <w:szCs w:val="18"/>
          <w:color w:val="auto"/>
        </w:rPr>
      </w:pPr>
    </w:p>
    <w:p>
      <w:pPr>
        <w:ind w:right="240" w:firstLine="8"/>
        <w:spacing w:after="0" w:line="298"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net income of $7.5 million for the second quarter 2012, after a $0.9 million non-cash interest rate derivative mark-to-market gain. For the second quarter 2011 the reported net loss was $11.7 million, after a $13.6 million impairment charge relating to the fair value of purchase options on two vessels and a $3.8 million non-cash mark-to-market loss. Normalized net income</w:t>
      </w:r>
      <w:r>
        <w:rPr>
          <w:rFonts w:ascii="Arial" w:cs="Arial" w:eastAsia="Arial" w:hAnsi="Arial"/>
          <w:sz w:val="10"/>
          <w:szCs w:val="10"/>
          <w:color w:val="auto"/>
        </w:rPr>
        <w:t>(1)</w:t>
      </w:r>
      <w:r>
        <w:rPr>
          <w:rFonts w:ascii="Arial" w:cs="Arial" w:eastAsia="Arial" w:hAnsi="Arial"/>
          <w:sz w:val="16"/>
          <w:szCs w:val="16"/>
          <w:color w:val="auto"/>
        </w:rPr>
        <w:t xml:space="preserve"> was $6.6 million for the second quarter 2012 compared to $5.8 million for the second quarter 2011, which excludes the mark-to-market items and the impairment charge in 2011</w:t>
      </w:r>
    </w:p>
    <w:p>
      <w:pPr>
        <w:spacing w:after="0" w:line="112" w:lineRule="exact"/>
        <w:rPr>
          <w:rFonts w:ascii="Arial" w:cs="Arial" w:eastAsia="Arial" w:hAnsi="Arial"/>
          <w:sz w:val="16"/>
          <w:szCs w:val="16"/>
          <w:color w:val="auto"/>
        </w:rPr>
      </w:pPr>
    </w:p>
    <w:p>
      <w:pPr>
        <w:ind w:right="80"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six months ended June 30, 2012, net income was $15.5 million, after a $3.6 million non-cash mark-to-market gain. The net loss of $0.9 million for the six months ended June 30, 2011 was after $13.6 million impairment charge and a mark-to-market gain of $1.2 million. Normalized net income for the six months ended June 30, 2012 was $11.9 million up on $11.6 million for the six months June 30, 2011</w:t>
      </w:r>
    </w:p>
    <w:p>
      <w:pPr>
        <w:spacing w:after="0" w:line="140" w:lineRule="exact"/>
        <w:rPr>
          <w:rFonts w:ascii="Arial" w:cs="Arial" w:eastAsia="Arial" w:hAnsi="Arial"/>
          <w:sz w:val="18"/>
          <w:szCs w:val="18"/>
          <w:color w:val="auto"/>
        </w:rPr>
      </w:pPr>
    </w:p>
    <w:p>
      <w:pPr>
        <w:ind w:right="10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$26.8 million of EBITDA</w:t>
      </w:r>
      <w:r>
        <w:rPr>
          <w:rFonts w:ascii="Arial" w:cs="Arial" w:eastAsia="Arial" w:hAnsi="Arial"/>
          <w:sz w:val="11"/>
          <w:szCs w:val="11"/>
          <w:color w:val="auto"/>
        </w:rPr>
        <w:t>(1)</w:t>
      </w:r>
      <w:r>
        <w:rPr>
          <w:rFonts w:ascii="Arial" w:cs="Arial" w:eastAsia="Arial" w:hAnsi="Arial"/>
          <w:sz w:val="18"/>
          <w:szCs w:val="18"/>
          <w:color w:val="auto"/>
        </w:rPr>
        <w:t xml:space="preserve"> for the second quarter 2012, up slightly on $25.7 million for the second quarter 2011. EBITDA for the six months ended June 30, 2012 was $52.0 million, the same as for the six months ended June 30, 2011</w:t>
      </w:r>
    </w:p>
    <w:p>
      <w:pPr>
        <w:spacing w:after="0" w:line="131" w:lineRule="exact"/>
        <w:rPr>
          <w:rFonts w:ascii="Arial" w:cs="Arial" w:eastAsia="Arial" w:hAnsi="Arial"/>
          <w:sz w:val="18"/>
          <w:szCs w:val="18"/>
          <w:color w:val="auto"/>
        </w:rPr>
      </w:pPr>
    </w:p>
    <w:p>
      <w:pPr>
        <w:ind w:right="2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new charters for two 4,113 TEU vessels commencing immediately on expiry of current charters in September 2012 at $9,962 per vessel per day expiring May 23, 2013 plus/minus 22 days at charterer’s option</w:t>
      </w:r>
    </w:p>
    <w:p>
      <w:pPr>
        <w:spacing w:after="0" w:line="131" w:lineRule="exact"/>
        <w:rPr>
          <w:rFonts w:ascii="Arial" w:cs="Arial" w:eastAsia="Arial" w:hAnsi="Arial"/>
          <w:sz w:val="18"/>
          <w:szCs w:val="18"/>
          <w:color w:val="auto"/>
        </w:rPr>
      </w:pPr>
    </w:p>
    <w:p>
      <w:pPr>
        <w:ind w:right="10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$12.1 million in debt during the second quarter of 2012; repaid $23.9 million in the six months ended June 30, 2012 and $139.3 million since the fourth quarter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Ian Webber, Chief Executive Officer of Global Ship Lease, stated, “For the second quarter of 2012, our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80" w:right="239" w:bottom="1440" w:gutter="0" w:footer="0" w:header="0"/>
        </w:sectPr>
      </w:pPr>
    </w:p>
    <w:bookmarkStart w:id="3" w:name="page4"/>
    <w:bookmarkEnd w:id="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fleet of 17 vessels operating on long-term fixed rate charters generated EBITDA of $26.8 million and achieved utilization of 99%, during a challenging economic environment. In addition, our sizeable and stable cash flows enabled us to continue to strengthen our balance sheet at a time in which we have no purchase obligations. We reduced our debt by $12.1 million during the quarter, for a total repayment of $139.3 million since the fourth quarter of 2009.”</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Webber continued, “We have recently signed new time charters with CMA CGM for two of our vessels whose current contracts expire in September. Consistent with our business model of operating our fleet on fixed rate charters, these vessels will be chartered for approximately eight months at a rate of $9,962 per day. With these new agreements, we now have a contracted revenue stream of $1.1 billion with an average remaining term of 7.8 years. Notably, by keeping these ships with CMA CGM, we will not experience any offhire days, incur any costs associated with repositioning these vessels or pay any third party brokerage fees.”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DATA—UNAUDITED</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72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Three</w:t>
            </w: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1"/>
              </w:rPr>
              <w:t>Three</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Six</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23"/>
        </w:trPr>
        <w:tc>
          <w:tcPr>
            <w:tcW w:w="72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months</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7"/>
              </w:rPr>
              <w:t>months</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2"/>
              </w:rPr>
              <w:t>ended</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June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61"/>
        </w:trPr>
        <w:tc>
          <w:tcPr>
            <w:tcW w:w="7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39,233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77,583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16,623</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2,102</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31,822</w:t>
            </w:r>
          </w:p>
        </w:tc>
        <w:tc>
          <w:tcPr>
            <w:tcW w:w="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18,378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(11,693)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15,464</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EBITDA (1)</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26,788</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25,736</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51,956</w:t>
            </w:r>
          </w:p>
        </w:tc>
        <w:tc>
          <w:tcPr>
            <w:tcW w:w="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51,961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11,881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11,631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2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jc w:val="both"/>
        <w:ind w:right="480"/>
        <w:spacing w:after="0" w:line="294" w:lineRule="auto"/>
        <w:rPr>
          <w:sz w:val="20"/>
          <w:szCs w:val="20"/>
          <w:color w:val="auto"/>
        </w:rPr>
      </w:pPr>
      <w:r>
        <w:rPr>
          <w:rFonts w:ascii="Arial" w:cs="Arial" w:eastAsia="Arial" w:hAnsi="Arial"/>
          <w:sz w:val="16"/>
          <w:szCs w:val="16"/>
          <w:color w:val="auto"/>
        </w:rPr>
        <w:t>The 17 vessel fleet generated revenue from fixed rate long-term time charters of $39.2 million in the three months ended June 30, 2012, up $0.4 million on revenue of $38.8 million for the comparative period in 2011 due mainly to 11 days less offhire from one fewer drydocking. During the three months ended June 30, 2012, there were 1,547 ownership days, the same as the comparable period in 2011. The 21 days offhire in the three months ended June 30, 2012, including 12 for planned drydockings, gives a utilization of 98.6%. In the comparable period of 2011, there were 32 days offhire, including 27 for planned drydockings and five unplanned days offhire, for utilization of 97.9%.</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six months ended June 30, 2012, revenue was $77.6 million, down $0.3 million on revenue of $77.9 million in the comparative period, mainly due to 35 days of additional offhire offset by17 additional ownership days in 2012 due to the leap year.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280" w:right="27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shows fleet utilization for the three and six months ended June 30, 2012 and 2011 and for the years ended December 31, 2011, 2010 and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color w:val="auto"/>
                <w:w w:val="91"/>
              </w:rPr>
              <w:t>Three months ended</w:t>
            </w:r>
          </w:p>
        </w:tc>
        <w:tc>
          <w:tcPr>
            <w:tcW w:w="1680" w:type="dxa"/>
            <w:vAlign w:val="bottom"/>
            <w:gridSpan w:val="4"/>
          </w:tcPr>
          <w:p>
            <w:pPr>
              <w:jc w:val="right"/>
              <w:ind w:right="540"/>
              <w:spacing w:after="0"/>
              <w:rPr>
                <w:sz w:val="20"/>
                <w:szCs w:val="20"/>
                <w:color w:val="auto"/>
              </w:rPr>
            </w:pPr>
            <w:r>
              <w:rPr>
                <w:rFonts w:ascii="Arial" w:cs="Arial" w:eastAsia="Arial" w:hAnsi="Arial"/>
                <w:sz w:val="14"/>
                <w:szCs w:val="14"/>
                <w:color w:val="auto"/>
                <w:w w:val="99"/>
              </w:rPr>
              <w:t>Six months ended</w:t>
            </w: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w w:val="86"/>
              </w:rPr>
              <w:t>Dec 31,</w:t>
            </w: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w w:val="86"/>
              </w:rPr>
              <w:t>Dec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31"/>
        </w:trPr>
        <w:tc>
          <w:tcPr>
            <w:tcW w:w="300" w:type="dxa"/>
            <w:vAlign w:val="bottom"/>
            <w:vMerge w:val="restart"/>
          </w:tcPr>
          <w:p>
            <w:pPr>
              <w:spacing w:after="0"/>
              <w:rPr>
                <w:sz w:val="20"/>
                <w:szCs w:val="20"/>
                <w:color w:val="auto"/>
              </w:rPr>
            </w:pPr>
            <w:r>
              <w:rPr>
                <w:rFonts w:ascii="Arial" w:cs="Arial" w:eastAsia="Arial" w:hAnsi="Arial"/>
                <w:sz w:val="14"/>
                <w:szCs w:val="14"/>
                <w:color w:val="auto"/>
                <w:w w:val="87"/>
              </w:rPr>
              <w:t>Days</w:t>
            </w:r>
          </w:p>
        </w:tc>
        <w:tc>
          <w:tcPr>
            <w:tcW w:w="5440" w:type="dxa"/>
            <w:vAlign w:val="bottom"/>
            <w:vMerge w:val="restart"/>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78"/>
              </w:rPr>
              <w:t>June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8"/>
              </w:rPr>
              <w:t>June 30,</w:t>
            </w:r>
          </w:p>
        </w:tc>
        <w:tc>
          <w:tcPr>
            <w:tcW w:w="3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80"/>
              <w:spacing w:after="0" w:line="131" w:lineRule="exact"/>
              <w:rPr>
                <w:sz w:val="20"/>
                <w:szCs w:val="20"/>
                <w:color w:val="auto"/>
              </w:rPr>
            </w:pPr>
            <w:r>
              <w:rPr>
                <w:rFonts w:ascii="Arial" w:cs="Arial" w:eastAsia="Arial" w:hAnsi="Arial"/>
                <w:sz w:val="14"/>
                <w:szCs w:val="14"/>
                <w:color w:val="auto"/>
                <w:w w:val="81"/>
              </w:rPr>
              <w:t>June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1"/>
              </w:rPr>
              <w:t>June 30,</w:t>
            </w:r>
          </w:p>
        </w:tc>
        <w:tc>
          <w:tcPr>
            <w:tcW w:w="3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0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460" w:type="dxa"/>
            <w:vAlign w:val="bottom"/>
          </w:tcPr>
          <w:p>
            <w:pPr>
              <w:jc w:val="right"/>
              <w:ind w:right="20"/>
              <w:spacing w:after="0" w:line="146"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Ownership days</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1,547</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1,547</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3,094</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3,077</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6,205</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6,205</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5,968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Operating days</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1,526</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1,515</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3,024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3,042</w:t>
            </w:r>
          </w:p>
        </w:tc>
        <w:tc>
          <w:tcPr>
            <w:tcW w:w="3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6,099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6,202</w:t>
            </w:r>
          </w:p>
        </w:tc>
        <w:tc>
          <w:tcPr>
            <w:tcW w:w="3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5,894</w:t>
            </w: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drydocking of four vessels had been completed by June 30, 2012. Three further drydockings are anticipated before December 31, 2012 for a total of seven vessels to be drydocked in the year. Two drydockings are scheduled for each of 2013 and 2014, and none in 2015.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Vessel operating expenses, which include costs of crew, lubricating oil, spares and insurance, were $11.2 million for the three months ended June 30, 2012. The average cost per ownership day was $7,253 down $161 or 2.2% on $7,414 for the rolling four quarters ended March 31, 2012. Increased spend on repairs, maintenance and supplies have been offset by a benefit during the quarter from exchange rate movements on costs denominated in euros. The second quarter 2012 average daily cost was essentially flat on the comparative period, down $22 or 0.3% from the average daily cost of $7,275 for the second quarter 2011.</w:t>
      </w:r>
    </w:p>
    <w:p>
      <w:pPr>
        <w:spacing w:after="0" w:line="98"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For the six months ended June 30, 2012 vessel operating expenses were $22.9 million or an average of $7,394 per day compared to $22.3 million in the comparative period or $7,247 per day. The increase of $147 per day, or 2.0%, is mostly for increased spend on repairs, maintenance and supplies offset by benefits from exchange rate movements on costs denominated in euros.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three months ended June 30, 2012 was $10.2 million, compared to $10.0 million in the comparative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six months ended June 30, 2012 was $20.1 million, compared to $19.9 million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General and administrative costs were $1.3 million in the three months ended June 30, 2012, compared to $1.9 million in the second quarter of 2011 due mainly to lower legal and professional fees.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the six months ended June 30, 2012, general and administrative costs were $2.9 million compared to $3.8 million for 2011. The reduction is due mainly to lower legal and professional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 – Second Quarter 2011</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On November 8, 2010, the Company signed agreements with the sellers of two 4,250 TEU newbuildings to (i) terminate the Company’s obligations under contracts entered into in September 2008 to purchase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vessels on their delivery to the sellers by the builder, which was anticipated to be at the end of 2010 and (ii) grant the Company options to purchase the vessels on the first anniversary of their delivery by the builder to the sellers. Intangible assets totaling $13.6 million relating to these purchase options were recognized at the fair value of the purchase options on the date of the agreement.</w:t>
      </w:r>
    </w:p>
    <w:p>
      <w:pPr>
        <w:spacing w:after="0" w:line="14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The purchase options were to be declared by September 16, 2011 for one vessel and October 4, 2011 for the other, with the purchases to be completed approximately 90 days later. The purchase of these vessels was always predicated on achieving a strong return for shareholders by acquiring the vessels, which had time charters attached, at an attractive price and securing financing on favorable terms. As obtaining committed finance on acceptable terms was going to be challenging, the Company wrote off the intangible assets relating to these purchase options. Subsequently, both purchase options were allowed to expire.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 the three months ended June 30, 2012 was $0.1 million, the same as in the second quarter of 2011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2012, other operating income was $0.2 million, the same as for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the above, EBITDA was $26.8 million for the three months ended June 30, 2012 up slightly from $25.7 million for the three months ended June 30,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six months ended June 30, 2012 was $52.0 million, the same as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June 30, 2012 was $5.3 million. The Company’s borrowings under its credit facility averaged $471.8 million during the three months ended June 30, 2012. There were $48.0 million preferred shares throughout the period giving total average borrowings through the three months ended June 30, 2012 of $519.8 million. Interest expense in the comparative period in 2011 was $5.1 million on average borrowings, including the preferred shares, of $567.0 million.</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six months ended June 30, 2012, interest expense, excluding the effect of interest rate derivatives which do not qualify for hedge accounting, was $10.8 million. The Company’s borrowings under its credit facility and including the $48.0 million preferred shares, averaged $525.7 million during the six months ended June 30, 2012. Interest expense for the six months ended June 30, 2011 was $10.7 million based on average borrowings in that period, including the preferred shares, of $573.8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and six months ended June 30, 2012 and 2011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realized loss of $4.6 million in the three months ended June 30, 2012 for settlements of swaps in the period, as current LIBOR rates are lower than the average fixed rates. Further, there was a $0.9 million unrealized gain for revaluation of the balance sheet position given current LIBOR and movements in the forward curve for interest rates. This compares to a realized loss of $4.9 million and an unrealized loss of $3.8 million in the three months ended June 30, 2011.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80" w:right="279" w:bottom="1440" w:gutter="0" w:footer="0" w:header="0"/>
        </w:sectPr>
      </w:pPr>
    </w:p>
    <w:bookmarkStart w:id="6" w:name="page7"/>
    <w:bookmarkEnd w:id="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six months ended June 30, 2012, the realized loss from hedges was $9.1 million and the unrealized gain was $3.6 million. This compares to a realized loss of $9.7 million and an unrealized gain of $1.2 million in the six months ended June 30, 2011.</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June 30, 2012, interest rate derivatives totaled $580.0 million against floating rate debt of $507.8 million, including the preferred shares. As a consequence, the Company is over hedged which arises from accelerated amortization of the credit facility debt and not incurring additional floating rate debt anticipated to be drawn in connection with the originally intended purchases of the two 4,250 TEU vessels at the end of 2011. $253.0 million of the interest rate derivatives at a fixed rate of 3.40% expire mid March 2013. The total mark-to-market unrealized loss recognized as a liability on the balance sheet at June 30, 2012 was $41.7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June 30, 2012 was $0.1 million, the same as in the second quarter of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six months ended June 30, 2012 was $0.1 million the same as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Net income for the three months ended June 30, 2012 was $7.5 million after $0.9 million non-cash interest rate derivative mark-to-market gain. For the three months ended June 30, 2011 net loss was $11.7 million, after $13.6 million non-cash impairment charge and $3.8 million non-cash interest rate derivative mark-to-market loss. Normalized net income was $6.6 million for the three months ended June 30, 2012 and $5.8 million for the three months ended June 30, 2011, which excludes the effect of the non-cash interest rate derivative mark-to-market gains and losses and the impairment charge.</w:t>
      </w:r>
    </w:p>
    <w:p>
      <w:pPr>
        <w:spacing w:after="0" w:line="11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Net income was $15.5 million for the six months ended June 30, 2012 after a $3.6 million non-cash interest rate derivative mark-to-market gain. For the six months ended June 30, 2011, net loss was $0.9 million after the $13.6 million non-cash impairment charge and a $1.2 million non-cash interest rate derivative mark-to-market gain. Normalized net income was $11.9 million for the six months ended June 30, 2012 and $11.6 million for the six months ended June 30,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container shipping industry is currently experiencing a significant cyclical downturn. As a consequence, there has been a decline in charter free market values of containerships commencing July 2011. 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flows are largely predictable under its business model.</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anticipation of the scheduled test of the Leverage Ratio as at November 30, 2011 when the Company expected that the Leverage Ratio would be between 75% and 90%, the Company agreed with its lenders to waive the requirement to perform the Leverage Ratio test until November 30, 2012. Under the terms of the waiver, the fixed interest margin to be paid over LIBOR increased to 3.50%, prepayments became based on cash flow rather than a fixed amount of $10 million per quarter, and dividends on common shares cannot be paid.</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the three months ended June 30, 2012 a total of $12.1 million of debt was prepaid leaving a balance outstanding of $459.8 million. In the six months ended June 30, 2012 a total of $23.9 million of debt was prepaid.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the waiver of the requirement to perform the Leverage Ratio test, Global Ship Lease is not currently able to pay a dividend on common shares.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at June 30, 2012,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Remaining</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Capacity</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2"/>
              </w:rPr>
              <w:t>Purchase</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Charter</w:t>
            </w:r>
          </w:p>
        </w:tc>
        <w:tc>
          <w:tcPr>
            <w:tcW w:w="1420" w:type="dxa"/>
            <w:vAlign w:val="bottom"/>
            <w:gridSpan w:val="3"/>
          </w:tcPr>
          <w:p>
            <w:pPr>
              <w:jc w:val="center"/>
              <w:ind w:right="304"/>
              <w:spacing w:after="0"/>
              <w:rPr>
                <w:sz w:val="20"/>
                <w:szCs w:val="20"/>
                <w:color w:val="auto"/>
              </w:rPr>
            </w:pPr>
            <w:r>
              <w:rPr>
                <w:rFonts w:ascii="Arial" w:cs="Arial" w:eastAsia="Arial" w:hAnsi="Arial"/>
                <w:sz w:val="14"/>
                <w:szCs w:val="14"/>
                <w:b w:val="1"/>
                <w:bCs w:val="1"/>
                <w:color w:val="auto"/>
                <w:w w:val="90"/>
              </w:rPr>
              <w:t>Earliest</w:t>
            </w: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in TEUs</w:t>
            </w:r>
          </w:p>
        </w:tc>
        <w:tc>
          <w:tcPr>
            <w:tcW w:w="70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0"/>
                <w:szCs w:val="10"/>
                <w:b w:val="1"/>
                <w:bCs w:val="1"/>
                <w:color w:val="auto"/>
              </w:rPr>
              <w:t xml:space="preserve">Term </w:t>
            </w:r>
            <w:r>
              <w:rPr>
                <w:rFonts w:ascii="Arial" w:cs="Arial" w:eastAsia="Arial" w:hAnsi="Arial"/>
                <w:sz w:val="14"/>
                <w:szCs w:val="14"/>
                <w:b w:val="1"/>
                <w:bCs w:val="1"/>
                <w:color w:val="auto"/>
                <w:vertAlign w:val="superscript"/>
              </w:rPr>
              <w:t>(2)</w:t>
            </w:r>
          </w:p>
        </w:tc>
        <w:tc>
          <w:tcPr>
            <w:tcW w:w="1420" w:type="dxa"/>
            <w:vAlign w:val="bottom"/>
            <w:gridSpan w:val="3"/>
          </w:tcPr>
          <w:p>
            <w:pPr>
              <w:jc w:val="center"/>
              <w:ind w:right="304"/>
              <w:spacing w:after="0" w:line="129" w:lineRule="exact"/>
              <w:rPr>
                <w:sz w:val="20"/>
                <w:szCs w:val="20"/>
                <w:color w:val="auto"/>
              </w:rPr>
            </w:pPr>
            <w:r>
              <w:rPr>
                <w:rFonts w:ascii="Arial" w:cs="Arial" w:eastAsia="Arial" w:hAnsi="Arial"/>
                <w:sz w:val="14"/>
                <w:szCs w:val="14"/>
                <w:b w:val="1"/>
                <w:bCs w:val="1"/>
                <w:color w:val="auto"/>
                <w:w w:val="93"/>
              </w:rPr>
              <w:t>Charter Expiry</w:t>
            </w:r>
          </w:p>
        </w:tc>
        <w:tc>
          <w:tcPr>
            <w:tcW w:w="6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50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5"/>
                <w:szCs w:val="15"/>
                <w:color w:val="auto"/>
              </w:rPr>
            </w:pPr>
          </w:p>
        </w:tc>
        <w:tc>
          <w:tcPr>
            <w:tcW w:w="700" w:type="dxa"/>
            <w:vAlign w:val="bottom"/>
            <w:gridSpan w:val="2"/>
          </w:tcPr>
          <w:p>
            <w:pPr>
              <w:ind w:left="60"/>
              <w:spacing w:after="0" w:line="154" w:lineRule="exact"/>
              <w:rPr>
                <w:sz w:val="20"/>
                <w:szCs w:val="20"/>
                <w:color w:val="auto"/>
              </w:rPr>
            </w:pPr>
            <w:r>
              <w:rPr>
                <w:rFonts w:ascii="Arial" w:cs="Arial" w:eastAsia="Arial" w:hAnsi="Arial"/>
                <w:sz w:val="14"/>
                <w:szCs w:val="14"/>
                <w:b w:val="1"/>
                <w:bCs w:val="1"/>
                <w:color w:val="auto"/>
              </w:rPr>
              <w:t>Built</w:t>
            </w:r>
          </w:p>
        </w:tc>
        <w:tc>
          <w:tcPr>
            <w:tcW w:w="10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by GSL</w:t>
            </w:r>
          </w:p>
        </w:tc>
        <w:tc>
          <w:tcPr>
            <w:tcW w:w="92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7"/>
              </w:rPr>
              <w:t>(years)</w:t>
            </w:r>
          </w:p>
        </w:tc>
        <w:tc>
          <w:tcPr>
            <w:tcW w:w="680" w:type="dxa"/>
            <w:vAlign w:val="bottom"/>
          </w:tcPr>
          <w:p>
            <w:pPr>
              <w:jc w:val="center"/>
              <w:ind w:left="295"/>
              <w:spacing w:after="0" w:line="154" w:lineRule="exact"/>
              <w:rPr>
                <w:sz w:val="20"/>
                <w:szCs w:val="20"/>
                <w:color w:val="auto"/>
              </w:rPr>
            </w:pPr>
            <w:r>
              <w:rPr>
                <w:rFonts w:ascii="Arial" w:cs="Arial" w:eastAsia="Arial" w:hAnsi="Arial"/>
                <w:sz w:val="14"/>
                <w:szCs w:val="14"/>
                <w:b w:val="1"/>
                <w:bCs w:val="1"/>
                <w:color w:val="auto"/>
                <w:w w:val="85"/>
              </w:rPr>
              <w:t>Date</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80"/>
              <w:spacing w:after="0" w:line="154" w:lineRule="exact"/>
              <w:rPr>
                <w:sz w:val="20"/>
                <w:szCs w:val="20"/>
                <w:color w:val="auto"/>
              </w:rPr>
            </w:pPr>
            <w:r>
              <w:rPr>
                <w:rFonts w:ascii="Arial" w:cs="Arial" w:eastAsia="Arial" w:hAnsi="Arial"/>
                <w:sz w:val="14"/>
                <w:szCs w:val="14"/>
                <w:b w:val="1"/>
                <w:bCs w:val="1"/>
                <w:color w:val="auto"/>
              </w:rPr>
              <w:t>Rate $</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1997</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Dec 2007</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Sept 21,</w:t>
            </w:r>
          </w:p>
        </w:tc>
        <w:tc>
          <w:tcPr>
            <w:tcW w:w="3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79"/>
              </w:rPr>
              <w:t>2012</w:t>
            </w:r>
          </w:p>
        </w:tc>
        <w:tc>
          <w:tcPr>
            <w:tcW w:w="38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1"/>
                <w:szCs w:val="11"/>
                <w:b w:val="1"/>
                <w:bCs w:val="1"/>
                <w:color w:val="auto"/>
                <w:w w:val="88"/>
              </w:rPr>
              <w:t>(3)</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28,500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Sept 20,</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2012</w:t>
            </w:r>
            <w:r>
              <w:rPr>
                <w:rFonts w:ascii="Arial" w:cs="Arial" w:eastAsia="Arial" w:hAnsi="Arial"/>
                <w:sz w:val="11"/>
                <w:szCs w:val="11"/>
                <w:b w:val="1"/>
                <w:bCs w:val="1"/>
                <w:color w:val="auto"/>
              </w:rPr>
              <w:t>(3)</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Sept 21,</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Sept 11,</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2016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Sept 20,</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Sept 11,</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2017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Sept 21,</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Sept 14,</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2017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Sept 20,</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Sept 7,</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2016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 18,</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Oct 11,</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11,040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 1,</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Sept 17,</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Sept 16,</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Sept 19,</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Aug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May 28,</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2021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As at June 30, 2012. Plus or minus 90 days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Notices of redelivery terminating the charters at these dates have been received.</w:t>
      </w:r>
    </w:p>
    <w:p>
      <w:pPr>
        <w:spacing w:after="0" w:line="165"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New charters have been entered into for Ville d’Aquarius and Ville d’Orion, to come into effect at the expiry of the current charters on September 20, 2012 and September 21, 2012 respectively. The new charters expire May 23, 2013 plus or minus 22 days at charterer’s option and are at a rate of $9,962 per vessel per day.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June 30, 2012 today, Monday, August 13, 2012 at 10:30 a.m. Eastern Time. There are two ways to access the conference call: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 Dial-in: : (866) 966-9439 or (631) 510-7498; Passcode: 13434945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unable to participate at this time, a replay of the call will be available through Monday, August 27, 2012 at (866) 247-4222 or (631) 510-7499.</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Enter the code 13434945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Global Ship Lease, Inc has filed its Annual Report for 2011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xml:space="preserve">. Shareholders may request a hard copy of the audited financial statements free of charge by contacting the Company at </w:t>
      </w:r>
      <w:r>
        <w:rPr>
          <w:rFonts w:ascii="Arial" w:cs="Arial" w:eastAsia="Arial" w:hAnsi="Arial"/>
          <w:sz w:val="16"/>
          <w:szCs w:val="16"/>
          <w:u w:val="single" w:color="auto"/>
          <w:color w:val="auto"/>
        </w:rPr>
        <w:t>info@globalshiplease.com</w:t>
      </w:r>
      <w:r>
        <w:rPr>
          <w:rFonts w:ascii="Arial" w:cs="Arial" w:eastAsia="Arial" w:hAnsi="Arial"/>
          <w:sz w:val="16"/>
          <w:szCs w:val="16"/>
          <w:color w:val="auto"/>
        </w:rPr>
        <w:t xml:space="preserve"> or by writing to Global Ship Lease, Inc, care of Global Ship Lease Services Limited, Portland House, Stag Place, London SW1E 5RS or by telephoning +44 (0) 207 869 8806.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8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Global Ship Lease owns 17 vessels with a total capacity of 66,349 TEU with an average age, weighted by TEU capacity, at June 30, 2012 of 8.3 years. All of the current vessels are fixed on long-term charters to CMA CGM with an average remaining term of 6.6 years, or 7.8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EBITDA</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EBITDA represents Net income (loss) before interest income and expense including amortization of deferred finance costs, realized and unrealized gain (loss) on derivatives, income taxes, depreciation, amortization and impairment charges. EBITDA is a non-US GAAP quantitative measure used to assist in the assessment of the Company’s ability to generate cash from its operations. We believe that the presentation of EBITDA is useful to investors because it is frequently used by securities analysts, investors and other interested parties in the evaluation of companies in our industry. EBITDA is not defined in US GAAP and should not be considered to be an alternate to Net income (loss) or any other financial metric required by such accounting principles.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40"/>
          </w:cols>
          <w:pgMar w:left="240" w:top="280"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EBITDA—UNAUDITED</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72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Three</w:t>
            </w: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Three</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2"/>
              </w:rPr>
              <w:t>Six</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1"/>
              </w:rPr>
              <w:t>June 30,</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June 30,</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June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3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(11,693)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15,464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Adjust: Depreciation</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10,165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9,989</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20,134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Impairment charge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Interest income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10,815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Realized loss on interest rate derivatives</w:t>
            </w:r>
          </w:p>
        </w:tc>
        <w:tc>
          <w:tcPr>
            <w:tcW w:w="540" w:type="dxa"/>
            <w:vAlign w:val="bottom"/>
          </w:tcPr>
          <w:p>
            <w:pPr>
              <w:jc w:val="right"/>
              <w:spacing w:after="0"/>
              <w:rPr>
                <w:sz w:val="20"/>
                <w:szCs w:val="20"/>
                <w:color w:val="auto"/>
              </w:rPr>
            </w:pPr>
            <w:r>
              <w:rPr>
                <w:rFonts w:ascii="Arial" w:cs="Arial" w:eastAsia="Arial" w:hAnsi="Arial"/>
                <w:sz w:val="18"/>
                <w:szCs w:val="18"/>
                <w:color w:val="auto"/>
              </w:rPr>
              <w:t>4,610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4,869</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9,102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Unrealized (gain) loss on interest rate derivatives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Income tax</w:t>
            </w: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26,788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51,956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INCOME—UNAUDITED</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732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Three</w:t>
            </w: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Three</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2"/>
              </w:rPr>
              <w:t>Six</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25"/>
        </w:trPr>
        <w:tc>
          <w:tcPr>
            <w:tcW w:w="73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1"/>
              </w:rPr>
              <w:t>June 30,</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June 30,</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June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59"/>
        </w:trPr>
        <w:tc>
          <w:tcPr>
            <w:tcW w:w="73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7,514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(11,693)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15,464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Adjust: Change in value of derivatives</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(907)</w:t>
            </w:r>
          </w:p>
        </w:tc>
        <w:tc>
          <w:tcPr>
            <w:tcW w:w="600" w:type="dxa"/>
            <w:vAlign w:val="bottom"/>
          </w:tcPr>
          <w:p>
            <w:pPr>
              <w:jc w:val="right"/>
              <w:spacing w:after="0"/>
              <w:rPr>
                <w:sz w:val="20"/>
                <w:szCs w:val="20"/>
                <w:color w:val="auto"/>
              </w:rPr>
            </w:pPr>
            <w:r>
              <w:rPr>
                <w:rFonts w:ascii="Arial" w:cs="Arial" w:eastAsia="Arial" w:hAnsi="Arial"/>
                <w:sz w:val="18"/>
                <w:szCs w:val="18"/>
                <w:color w:val="auto"/>
              </w:rPr>
              <w:t>3,802</w:t>
            </w:r>
          </w:p>
        </w:tc>
        <w:tc>
          <w:tcPr>
            <w:tcW w:w="3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(3,583)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Impairment charge</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Normalized net income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6,607</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5,754</w:t>
            </w:r>
          </w:p>
        </w:tc>
        <w:tc>
          <w:tcPr>
            <w:tcW w:w="3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11,881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11,631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274" w:right="27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80" w:right="25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6"/>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Time charter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39,233</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38,774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77,583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11,254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22,877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31,822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(4,610)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(9,102)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(11,617)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(charge)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(11,693)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15,464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9"/>
              </w:rPr>
              <w:t>Weighted average number of Class A common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47,481,864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47,188,978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47,481,667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47,187,685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47,599,759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47,188,978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47,537,241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47,187,685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A common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9"/>
              </w:rPr>
              <w:t>Weighted average number of Class B common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7,405,956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in $ per Class B common share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32,461</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25,814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13,759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13,911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shd w:val="clear" w:color="auto" w:fill="CCEEFF"/>
          </w:tcPr>
          <w:p>
            <w:pPr>
              <w:spacing w:after="0"/>
              <w:rPr>
                <w:sz w:val="18"/>
                <w:szCs w:val="18"/>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874,477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890,249</w:t>
            </w: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877,642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894,031</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929,299</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939,535</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4,953</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18"/>
                <w:szCs w:val="18"/>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73,789</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412,756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437,612</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20,050</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shd w:val="clear" w:color="auto" w:fill="CCEEFF"/>
          </w:tcPr>
          <w:p>
            <w:pPr>
              <w:spacing w:after="0"/>
              <w:rPr>
                <w:sz w:val="18"/>
                <w:szCs w:val="18"/>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505,599</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535,057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579,388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605,335</w:t>
            </w: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A Common stock – authorized 214,000,000 shares with a $0.01 par value; 47,481,864 shares issued and outstanding (2011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47,463,978)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08"/>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0"/>
              </w:rPr>
              <w:t>Class B Common stock – authorized 20,000,000 shares with a $0.01 par value; 7,405,956 shares issued and outstanding (2011 –</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400" w:type="dxa"/>
            <w:vAlign w:val="bottom"/>
            <w:gridSpan w:val="2"/>
          </w:tcPr>
          <w:p>
            <w:pPr>
              <w:ind w:left="220"/>
              <w:spacing w:after="0"/>
              <w:rPr>
                <w:sz w:val="20"/>
                <w:szCs w:val="20"/>
                <w:color w:val="auto"/>
              </w:rPr>
            </w:pPr>
            <w:r>
              <w:rPr>
                <w:rFonts w:ascii="Arial" w:cs="Arial" w:eastAsia="Arial" w:hAnsi="Arial"/>
                <w:sz w:val="18"/>
                <w:szCs w:val="18"/>
                <w:color w:val="auto"/>
              </w:rPr>
              <w:t>7,405,956)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352,103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351,856</w:t>
            </w: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(2,741)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(18,205)</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349,911</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334,200</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929,299</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939,535</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Three months ended June 30,</w:t>
            </w:r>
          </w:p>
        </w:tc>
        <w:tc>
          <w:tcPr>
            <w:tcW w:w="140" w:type="dxa"/>
            <w:vAlign w:val="bottom"/>
          </w:tcPr>
          <w:p>
            <w:pPr>
              <w:spacing w:after="0"/>
              <w:rPr>
                <w:sz w:val="14"/>
                <w:szCs w:val="14"/>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7,514</w:t>
            </w:r>
          </w:p>
        </w:tc>
        <w:tc>
          <w:tcPr>
            <w:tcW w:w="3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(11,693)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15,464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10,165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20,134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21,398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19,194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43,542</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(4,610)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intangible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relating to drydockings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(2,402)</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(13,040)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(11,068)</w:t>
            </w: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(12,069)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(23,855)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(23,816)</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(12,069)</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(23,855)</w:t>
            </w: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(23,816)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25,814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32,461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 cash investing and financing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5,146</w:t>
            </w:r>
          </w:p>
        </w:tc>
        <w:tc>
          <w:tcPr>
            <w:tcW w:w="3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6,492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10,401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AND SIX MONTH PERIODS ENDED JUNE 30, 2012</w:t>
      </w:r>
    </w:p>
    <w:p>
      <w:pPr>
        <w:sectPr>
          <w:pgSz w:w="11900" w:h="16838" w:orient="portrait"/>
          <w:cols w:equalWidth="0" w:num="1">
            <w:col w:w="10220"/>
          </w:cols>
          <w:pgMar w:left="14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440" w:type="dxa"/>
            <w:vAlign w:val="bottom"/>
            <w:vMerge w:val="restart"/>
          </w:tcPr>
          <w:p>
            <w:pPr>
              <w:jc w:val="right"/>
              <w:ind w:right="114"/>
              <w:spacing w:after="0"/>
              <w:rPr>
                <w:sz w:val="20"/>
                <w:szCs w:val="20"/>
                <w:color w:val="auto"/>
              </w:rPr>
            </w:pPr>
            <w:r>
              <w:rPr>
                <w:rFonts w:ascii="Arial" w:cs="Arial" w:eastAsia="Arial" w:hAnsi="Arial"/>
                <w:sz w:val="14"/>
                <w:szCs w:val="14"/>
                <w:color w:val="auto"/>
              </w:rPr>
              <w:t>Note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3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32,461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13,759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receivables</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Vessels in operation</w:t>
            </w:r>
          </w:p>
        </w:tc>
        <w:tc>
          <w:tcPr>
            <w:tcW w:w="3440" w:type="dxa"/>
            <w:vAlign w:val="bottom"/>
            <w:vMerge w:val="restart"/>
          </w:tcPr>
          <w:p>
            <w:pPr>
              <w:jc w:val="right"/>
              <w:ind w:right="114"/>
              <w:spacing w:after="0"/>
              <w:rPr>
                <w:sz w:val="20"/>
                <w:szCs w:val="20"/>
                <w:color w:val="auto"/>
              </w:rPr>
            </w:pPr>
            <w:r>
              <w:rPr>
                <w:rFonts w:ascii="Arial" w:cs="Arial" w:eastAsia="Arial" w:hAnsi="Arial"/>
                <w:sz w:val="18"/>
                <w:szCs w:val="18"/>
                <w:color w:val="auto"/>
              </w:rPr>
              <w:t>4</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2"/>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874,477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890,249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3440" w:type="dxa"/>
            <w:vAlign w:val="bottom"/>
          </w:tcPr>
          <w:p>
            <w:pPr>
              <w:jc w:val="right"/>
              <w:ind w:right="114"/>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877,642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894,031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34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929,299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939,535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3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expenses</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73,789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3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412,756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437,612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Preferred shares</w:t>
            </w:r>
          </w:p>
        </w:tc>
        <w:tc>
          <w:tcPr>
            <w:tcW w:w="3440" w:type="dxa"/>
            <w:vAlign w:val="bottom"/>
          </w:tcPr>
          <w:p>
            <w:pPr>
              <w:jc w:val="right"/>
              <w:ind w:right="114"/>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long-term liabilities</w:t>
            </w: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505,599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535,057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579,388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440" w:type="dxa"/>
            <w:vAlign w:val="bottom"/>
          </w:tcPr>
          <w:p>
            <w:pPr>
              <w:jc w:val="right"/>
              <w:ind w:right="114"/>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color w:val="auto"/>
              </w:rPr>
              <w:t>Note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2"/>
              </w:rPr>
              <w:t>Class A Common stock – authorized 214,000,000 shares with a $0.01 par value; 47,481,864 shares issued and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outstanding (2011 – 47,463,978)</w:t>
            </w: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Common stock – authorized 20,000,000 shares with a $0.01 par value; 7,405,956 shares issued and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(2011 – 7,405,956)</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352,103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349,911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334,200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929,299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939,535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0" w:type="dxa"/>
            <w:vAlign w:val="bottom"/>
            <w:vMerge w:val="restart"/>
          </w:tcPr>
          <w:p>
            <w:pPr>
              <w:jc w:val="right"/>
              <w:ind w:right="135"/>
              <w:spacing w:after="0"/>
              <w:rPr>
                <w:sz w:val="20"/>
                <w:szCs w:val="20"/>
                <w:color w:val="auto"/>
              </w:rPr>
            </w:pPr>
            <w:r>
              <w:rPr>
                <w:rFonts w:ascii="Arial" w:cs="Arial" w:eastAsia="Arial" w:hAnsi="Arial"/>
                <w:sz w:val="14"/>
                <w:szCs w:val="14"/>
                <w:color w:val="auto"/>
              </w:rPr>
              <w:t>Note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Time charter revenue</w:t>
            </w:r>
          </w:p>
        </w:tc>
        <w:tc>
          <w:tcPr>
            <w:tcW w:w="10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39,233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38,774</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77,583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22,877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45,761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59,500</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16,623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31,822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(9,102)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(11,617)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7,514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(11,693)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15,464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6"/>
              </w:rPr>
              <w:t>Weighted average number of Class A common shares outstanding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47,481,864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47,188,978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47,481,667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47,187,685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47,599,759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47,188,978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47,537,241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47,187,685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A common share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6"/>
              </w:rPr>
              <w:t>Weighted average number of Class B common shares outstanding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 in $ per Class B common share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Three months ended June 30,</w:t>
            </w:r>
          </w:p>
        </w:tc>
        <w:tc>
          <w:tcPr>
            <w:tcW w:w="18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820" w:type="dxa"/>
            <w:vAlign w:val="bottom"/>
            <w:gridSpan w:val="2"/>
            <w:vMerge w:val="restart"/>
          </w:tcPr>
          <w:p>
            <w:pPr>
              <w:jc w:val="right"/>
              <w:ind w:right="372"/>
              <w:spacing w:after="0"/>
              <w:rPr>
                <w:sz w:val="20"/>
                <w:szCs w:val="20"/>
                <w:color w:val="auto"/>
              </w:rPr>
            </w:pPr>
            <w:r>
              <w:rPr>
                <w:rFonts w:ascii="Arial" w:cs="Arial" w:eastAsia="Arial" w:hAnsi="Arial"/>
                <w:sz w:val="14"/>
                <w:szCs w:val="14"/>
                <w:color w:val="auto"/>
              </w:rPr>
              <w:t>Note</w:t>
            </w: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7,514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(11,693)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15,464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Adjustments to Reconcile Net income (loss) to Net Cash Provided by 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Depreciation</w:t>
            </w:r>
          </w:p>
        </w:tc>
        <w:tc>
          <w:tcPr>
            <w:tcW w:w="680" w:type="dxa"/>
            <w:vAlign w:val="bottom"/>
          </w:tcPr>
          <w:p>
            <w:pPr>
              <w:jc w:val="right"/>
              <w:ind w:right="214"/>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10,165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20,134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680" w:type="dxa"/>
            <w:vAlign w:val="bottom"/>
          </w:tcPr>
          <w:p>
            <w:pPr>
              <w:jc w:val="right"/>
              <w:ind w:right="214"/>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21,398</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19,194</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43,542</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8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(4,610)</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intangible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Costs relating to drydockings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(2,402)</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(13,040)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(11,068)</w:t>
            </w:r>
          </w:p>
        </w:tc>
        <w:tc>
          <w:tcPr>
            <w:tcW w:w="0" w:type="dxa"/>
            <w:vAlign w:val="bottom"/>
          </w:tcPr>
          <w:p>
            <w:pPr>
              <w:spacing w:after="0"/>
              <w:rPr>
                <w:sz w:val="1"/>
                <w:szCs w:val="1"/>
                <w:color w:val="auto"/>
              </w:rPr>
            </w:pPr>
          </w:p>
        </w:tc>
      </w:tr>
      <w:tr>
        <w:trPr>
          <w:trHeight w:val="221"/>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(12,069)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(23,855)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(23,816)</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(12,069)</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(23,855)</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25,814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 cash investing and financing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Total interest paid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5,146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6,492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10,401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2"/>
              </w:rPr>
              <w:t>at $0.01</w:t>
            </w:r>
          </w:p>
        </w:tc>
        <w:tc>
          <w:tcPr>
            <w:tcW w:w="4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w w:val="87"/>
              </w:rPr>
              <w:t>Common</w:t>
            </w:r>
          </w:p>
        </w:tc>
        <w:tc>
          <w:tcPr>
            <w:tcW w:w="4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Stockholders’</w:t>
            </w:r>
          </w:p>
        </w:tc>
      </w:tr>
      <w:tr>
        <w:trPr>
          <w:trHeight w:val="159"/>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color w:val="auto"/>
                <w:w w:val="84"/>
              </w:rPr>
              <w:t>Par value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line="159" w:lineRule="exact"/>
              <w:rPr>
                <w:sz w:val="20"/>
                <w:szCs w:val="20"/>
                <w:color w:val="auto"/>
              </w:rPr>
            </w:pPr>
            <w:r>
              <w:rPr>
                <w:rFonts w:ascii="Arial" w:cs="Arial" w:eastAsia="Arial" w:hAnsi="Arial"/>
                <w:sz w:val="14"/>
                <w:szCs w:val="14"/>
                <w:color w:val="auto"/>
              </w:rPr>
              <w:t>Stock</w:t>
            </w:r>
          </w:p>
        </w:tc>
        <w:tc>
          <w:tcPr>
            <w:tcW w:w="400" w:type="dxa"/>
            <w:vAlign w:val="bottom"/>
          </w:tcPr>
          <w:p>
            <w:pPr>
              <w:spacing w:after="0"/>
              <w:rPr>
                <w:sz w:val="13"/>
                <w:szCs w:val="13"/>
                <w:color w:val="auto"/>
              </w:rPr>
            </w:pPr>
          </w:p>
        </w:tc>
        <w:tc>
          <w:tcPr>
            <w:tcW w:w="10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3"/>
                <w:szCs w:val="13"/>
                <w:color w:val="auto"/>
              </w:rPr>
            </w:pPr>
          </w:p>
        </w:tc>
        <w:tc>
          <w:tcPr>
            <w:tcW w:w="10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Equity</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54,536,423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545</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$351,295</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(27,276)</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324,564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54,869,934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(18,205)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54,887,820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352,103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349,911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8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Nature of Operations</w:t>
      </w:r>
    </w:p>
    <w:p>
      <w:pPr>
        <w:spacing w:after="0" w:line="9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Company owns and charters out containerships under long term time charters. All vessels are time chartered to CMA CGM S.A. (“CMA CGM”) for remaining terms as at June 30, 2012 ranging from 0.50 to 13.50 years (see note 7).</w:t>
      </w:r>
    </w:p>
    <w:p>
      <w:pPr>
        <w:spacing w:after="0" w:line="5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r>
      <w:tr>
        <w:trPr>
          <w:trHeight w:val="134"/>
        </w:trPr>
        <w:tc>
          <w:tcPr>
            <w:tcW w:w="7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5"/>
              </w:rPr>
              <w:t>Capacity</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Purchase Date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Duration</w:t>
            </w:r>
          </w:p>
        </w:tc>
        <w:tc>
          <w:tcPr>
            <w:tcW w:w="2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5300" w:type="dxa"/>
            <w:vAlign w:val="bottom"/>
          </w:tcPr>
          <w:p>
            <w:pPr>
              <w:spacing w:after="0"/>
              <w:rPr>
                <w:sz w:val="15"/>
                <w:szCs w:val="15"/>
                <w:color w:val="auto"/>
              </w:rPr>
            </w:pPr>
          </w:p>
        </w:tc>
        <w:tc>
          <w:tcPr>
            <w:tcW w:w="1040" w:type="dxa"/>
            <w:vAlign w:val="bottom"/>
            <w:gridSpan w:val="2"/>
          </w:tcPr>
          <w:p>
            <w:pPr>
              <w:jc w:val="right"/>
              <w:ind w:right="400"/>
              <w:spacing w:after="0" w:line="162" w:lineRule="exact"/>
              <w:rPr>
                <w:sz w:val="20"/>
                <w:szCs w:val="20"/>
                <w:color w:val="auto"/>
              </w:rPr>
            </w:pPr>
            <w:r>
              <w:rPr>
                <w:rFonts w:ascii="Arial" w:cs="Arial" w:eastAsia="Arial" w:hAnsi="Arial"/>
                <w:sz w:val="12"/>
                <w:szCs w:val="12"/>
                <w:b w:val="1"/>
                <w:bCs w:val="1"/>
                <w:color w:val="auto"/>
                <w:w w:val="98"/>
              </w:rPr>
              <w:t xml:space="preserve">in TEUs </w:t>
            </w:r>
            <w:r>
              <w:rPr>
                <w:rFonts w:ascii="Arial" w:cs="Arial" w:eastAsia="Arial" w:hAnsi="Arial"/>
                <w:sz w:val="18"/>
                <w:szCs w:val="18"/>
                <w:b w:val="1"/>
                <w:bCs w:val="1"/>
                <w:color w:val="auto"/>
                <w:w w:val="98"/>
                <w:vertAlign w:val="superscript"/>
              </w:rPr>
              <w:t>(1)</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Year Built</w:t>
            </w:r>
          </w:p>
        </w:tc>
        <w:tc>
          <w:tcPr>
            <w:tcW w:w="158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rPr>
              <w:t>by GSL</w:t>
            </w:r>
            <w:r>
              <w:rPr>
                <w:rFonts w:ascii="Arial" w:cs="Arial" w:eastAsia="Arial" w:hAnsi="Arial"/>
                <w:sz w:val="18"/>
                <w:szCs w:val="18"/>
                <w:b w:val="1"/>
                <w:bCs w:val="1"/>
                <w:color w:val="auto"/>
                <w:vertAlign w:val="superscript"/>
              </w:rPr>
              <w:t>(2)</w:t>
            </w:r>
          </w:p>
        </w:tc>
        <w:tc>
          <w:tcPr>
            <w:tcW w:w="8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7"/>
              </w:rPr>
              <w:t xml:space="preserve">(years) </w:t>
            </w:r>
            <w:r>
              <w:rPr>
                <w:rFonts w:ascii="Arial" w:cs="Arial" w:eastAsia="Arial" w:hAnsi="Arial"/>
                <w:sz w:val="18"/>
                <w:szCs w:val="18"/>
                <w:b w:val="1"/>
                <w:bCs w:val="1"/>
                <w:color w:val="auto"/>
                <w:w w:val="97"/>
                <w:vertAlign w:val="superscript"/>
              </w:rPr>
              <w:t>(3)</w:t>
            </w:r>
          </w:p>
        </w:tc>
        <w:tc>
          <w:tcPr>
            <w:tcW w:w="20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r>
      <w:tr>
        <w:trPr>
          <w:trHeight w:val="203"/>
        </w:trPr>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1"/>
                <w:szCs w:val="11"/>
                <w:color w:val="auto"/>
              </w:rPr>
              <w:t>(4)</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1997</w:t>
            </w:r>
          </w:p>
        </w:tc>
        <w:tc>
          <w:tcPr>
            <w:tcW w:w="4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December 2007</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1"/>
                <w:szCs w:val="11"/>
                <w:color w:val="auto"/>
              </w:rPr>
              <w:t>(5)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4,113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1996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1999</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2,262</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1999</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2003</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2007</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January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5,089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2007</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January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11,040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2008</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4,298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6,621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2009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As at June 30, 2012. Plus or minus 90 days at charterer’s option.</w:t>
      </w:r>
    </w:p>
    <w:p>
      <w:pPr>
        <w:spacing w:after="0" w:line="9" w:lineRule="exact"/>
        <w:rPr>
          <w:rFonts w:ascii="Arial" w:cs="Arial" w:eastAsia="Arial" w:hAnsi="Arial"/>
          <w:sz w:val="18"/>
          <w:szCs w:val="18"/>
          <w:i w:val="1"/>
          <w:iCs w:val="1"/>
          <w:color w:val="auto"/>
        </w:rPr>
      </w:pPr>
    </w:p>
    <w:p>
      <w:pPr>
        <w:ind w:left="460" w:right="600" w:hanging="452"/>
        <w:spacing w:after="0" w:line="250"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Notice of redelivery on September 21, 2012 was received in July 2012. A new charter has been entered into commencing on redelivery and expiring May 23, 2013 plus or minus 22 days at charterer’s option at a rate of $9.962 per day (see note 13).</w:t>
      </w:r>
    </w:p>
    <w:p>
      <w:pPr>
        <w:ind w:left="460" w:right="600" w:hanging="452"/>
        <w:spacing w:after="0" w:line="261"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Notice of redelivery on September 20, 2012 was received in July 2012. A new charter has been entered into commencing on redelivery and expiring May 23, 2013 plus or minus 22 days at charterer’s option at a rate of $9.962 per day (see note 13).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712" w:hanging="256"/>
        <w:spacing w:after="0"/>
        <w:tabs>
          <w:tab w:leader="none" w:pos="71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risk</w:t>
      </w:r>
    </w:p>
    <w:p>
      <w:pPr>
        <w:spacing w:after="0" w:line="96" w:lineRule="exact"/>
        <w:rPr>
          <w:sz w:val="20"/>
          <w:szCs w:val="20"/>
          <w:color w:val="auto"/>
        </w:rPr>
      </w:pPr>
    </w:p>
    <w:p>
      <w:pPr>
        <w:ind w:left="452" w:right="18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are reporting losses.</w:t>
      </w:r>
    </w:p>
    <w:p>
      <w:pPr>
        <w:spacing w:after="0" w:line="26" w:lineRule="exact"/>
        <w:rPr>
          <w:sz w:val="20"/>
          <w:szCs w:val="20"/>
          <w:color w:val="auto"/>
        </w:rPr>
      </w:pPr>
    </w:p>
    <w:p>
      <w:pPr>
        <w:ind w:left="452" w:right="320"/>
        <w:spacing w:after="0" w:line="268" w:lineRule="auto"/>
        <w:rPr>
          <w:sz w:val="20"/>
          <w:szCs w:val="20"/>
          <w:color w:val="auto"/>
        </w:rPr>
      </w:pPr>
      <w:r>
        <w:rPr>
          <w:rFonts w:ascii="Arial" w:cs="Arial" w:eastAsia="Arial" w:hAnsi="Arial"/>
          <w:sz w:val="18"/>
          <w:szCs w:val="18"/>
          <w:color w:val="auto"/>
        </w:rPr>
        <w:t>CMA CGM is discussing with its lenders the rescheduling of certain repayments and the adjustment of certain covenants to take account of the cyclical nature of the container shipping industry.</w:t>
      </w:r>
    </w:p>
    <w:p>
      <w:pPr>
        <w:spacing w:after="0" w:line="51" w:lineRule="exact"/>
        <w:rPr>
          <w:sz w:val="20"/>
          <w:szCs w:val="20"/>
          <w:color w:val="auto"/>
        </w:rPr>
      </w:pPr>
    </w:p>
    <w:p>
      <w:pPr>
        <w:ind w:left="452" w:right="40"/>
        <w:spacing w:after="0" w:line="256" w:lineRule="auto"/>
        <w:rPr>
          <w:sz w:val="20"/>
          <w:szCs w:val="20"/>
          <w:color w:val="auto"/>
        </w:rPr>
      </w:pPr>
      <w:r>
        <w:rPr>
          <w:rFonts w:ascii="Arial" w:cs="Arial" w:eastAsia="Arial" w:hAnsi="Arial"/>
          <w:sz w:val="18"/>
          <w:szCs w:val="18"/>
          <w:color w:val="auto"/>
        </w:rPr>
        <w:t>Nevertheless, 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62"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The Company has experienced continued delays in receiving charterhire from CMA CGM, where between one and three instalments have been outstanding. Under the charter contracts charterhire is due to be paid every 15 days in advance on the 1st and 16th of each month. As at June 30, 2012, two periods of charterhire, due on June 1 and June 16, 2012, were outstanding amounting to $12,884. This was received in July 2012. As at close of business on August 10, 2012, one period of charterhire, due on August 1, 2012 and totalling $6,442 was outstanding.</w:t>
      </w:r>
    </w:p>
    <w:p>
      <w:pPr>
        <w:spacing w:after="0" w:line="32" w:lineRule="exact"/>
        <w:rPr>
          <w:sz w:val="20"/>
          <w:szCs w:val="20"/>
          <w:color w:val="auto"/>
        </w:rPr>
      </w:pPr>
    </w:p>
    <w:p>
      <w:pPr>
        <w:ind w:left="452" w:right="20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59"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left="452" w:right="140"/>
        <w:spacing w:after="0" w:line="318" w:lineRule="auto"/>
        <w:rPr>
          <w:sz w:val="20"/>
          <w:szCs w:val="20"/>
          <w:color w:val="auto"/>
        </w:rPr>
      </w:pPr>
      <w:r>
        <w:rPr>
          <w:rFonts w:ascii="Arial" w:cs="Arial" w:eastAsia="Arial" w:hAnsi="Arial"/>
          <w:sz w:val="15"/>
          <w:szCs w:val="15"/>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which are under charter, cannot exceed 75%. On November 30, 2011, due to the declines in market values, the Company agreed with its lenders a waiver of the requirement to perform the Leverage Ratio test until November 30, 2012. Should there not be a significant improvement in charter free market values, a further waiver or other relief is likely to be required in respect of the test as at November 30, 2012.</w:t>
      </w:r>
    </w:p>
    <w:p>
      <w:pPr>
        <w:spacing w:after="0" w:line="19" w:lineRule="exact"/>
        <w:rPr>
          <w:sz w:val="20"/>
          <w:szCs w:val="20"/>
          <w:color w:val="auto"/>
        </w:rPr>
      </w:pPr>
    </w:p>
    <w:p>
      <w:pPr>
        <w:ind w:left="452" w:right="80"/>
        <w:spacing w:after="0" w:line="256" w:lineRule="auto"/>
        <w:rPr>
          <w:sz w:val="20"/>
          <w:szCs w:val="20"/>
          <w:color w:val="auto"/>
        </w:rPr>
      </w:pPr>
      <w:r>
        <w:rPr>
          <w:rFonts w:ascii="Arial" w:cs="Arial" w:eastAsia="Arial" w:hAnsi="Arial"/>
          <w:sz w:val="18"/>
          <w:szCs w:val="18"/>
          <w:color w:val="auto"/>
        </w:rPr>
        <w:t>If relief in respect of the test due as at November 30, 2012 is required and is not obtained and the Leverage Ratio is above 75%, the lenders may declare an event of default and accelerate some or all of the debt or require the Company to provide additional security which would raise substantial doubt about the Company’s ability to continue as a going concern. The Company was compliant with all of its financial covenants at June 30, 2012 and at the date of issuance of these financial statements.</w:t>
      </w:r>
    </w:p>
    <w:p>
      <w:pPr>
        <w:spacing w:after="0" w:line="62" w:lineRule="exact"/>
        <w:rPr>
          <w:sz w:val="20"/>
          <w:szCs w:val="20"/>
          <w:color w:val="auto"/>
        </w:rPr>
      </w:pPr>
    </w:p>
    <w:p>
      <w:pPr>
        <w:ind w:left="452" w:right="20"/>
        <w:spacing w:after="0" w:line="256" w:lineRule="auto"/>
        <w:rPr>
          <w:sz w:val="20"/>
          <w:szCs w:val="20"/>
          <w:color w:val="auto"/>
        </w:rPr>
      </w:pPr>
      <w:r>
        <w:rPr>
          <w:rFonts w:ascii="Arial" w:cs="Arial" w:eastAsia="Arial" w:hAnsi="Arial"/>
          <w:sz w:val="18"/>
          <w:szCs w:val="18"/>
          <w:color w:val="auto"/>
        </w:rPr>
        <w:t>As a result of the waiver, the relevant debt is classified as non-current in the consolidated balance sheet and the consolidated financial statements have been prepared assuming that the Company will continue as a going concern. Accordingly, the consolidated financial statements do not include any adjustments relating to the recoverability and classification of recorded asset amounts and classification of liabilities, or any other adjustments that might result should the Company be unable to continue as a going concern.</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12"/>
          </w:cols>
          <w:pgMar w:left="248" w:top="274" w:right="23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52" w:right="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2011 filed with the Securities and Exchange Commission on April 13, 2012 in the Company’s Annual Report on Form 20-F.</w:t>
      </w:r>
    </w:p>
    <w:p>
      <w:pPr>
        <w:spacing w:after="0" w:line="1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90" w:lineRule="exact"/>
        <w:rPr>
          <w:rFonts w:ascii="Arial" w:cs="Arial" w:eastAsia="Arial" w:hAnsi="Arial"/>
          <w:sz w:val="18"/>
          <w:szCs w:val="18"/>
          <w:b w:val="1"/>
          <w:bCs w:val="1"/>
          <w:color w:val="auto"/>
        </w:rPr>
      </w:pPr>
    </w:p>
    <w:p>
      <w:pPr>
        <w:ind w:left="45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decline in charter free vessel values referred to in note 2(b)(ii) was seen as an indicator of potential impairment of the carrying value of the Company’s vessels. Accordingly, an impairment test, based on expected undiscounted cash flows by vessel, was performed as at December 31, 2011. There have been no additional significant indicators of impairment noted by management since the test performed as at December 31, 2011.</w:t>
      </w:r>
    </w:p>
    <w:p>
      <w:pPr>
        <w:spacing w:after="0" w:line="25" w:lineRule="exact"/>
        <w:rPr>
          <w:rFonts w:ascii="Arial" w:cs="Arial" w:eastAsia="Arial" w:hAnsi="Arial"/>
          <w:sz w:val="18"/>
          <w:szCs w:val="18"/>
          <w:b w:val="1"/>
          <w:bCs w:val="1"/>
          <w:color w:val="auto"/>
        </w:rPr>
      </w:pPr>
    </w:p>
    <w:p>
      <w:pPr>
        <w:ind w:left="452"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37" w:lineRule="exact"/>
        <w:rPr>
          <w:rFonts w:ascii="Arial" w:cs="Arial" w:eastAsia="Arial" w:hAnsi="Arial"/>
          <w:sz w:val="18"/>
          <w:szCs w:val="18"/>
          <w:b w:val="1"/>
          <w:bCs w:val="1"/>
          <w:color w:val="auto"/>
        </w:rPr>
      </w:pPr>
    </w:p>
    <w:p>
      <w:pPr>
        <w:ind w:left="452" w:right="5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Based on the assumptions made, the expected undiscounted future cash flows exceeded the vessels’ carrying amounts as of December 31, 2011 and accordingly no impairment was recognised.</w:t>
      </w:r>
    </w:p>
    <w:p>
      <w:pPr>
        <w:spacing w:after="0" w:line="21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There have been no applicable accounting standards issued since December 31, 2011.</w:t>
      </w:r>
    </w:p>
    <w:p>
      <w:pPr>
        <w:spacing w:after="0" w:line="90"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92"/>
          </w:cols>
          <w:pgMar w:left="248" w:top="274" w:right="25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$1,014,387</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$1,012,051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60" w:type="dxa"/>
            <w:vAlign w:val="bottom"/>
            <w:gridSpan w:val="6"/>
          </w:tcPr>
          <w:p>
            <w:pPr>
              <w:jc w:val="right"/>
              <w:ind w:right="240"/>
              <w:spacing w:after="0"/>
              <w:rPr>
                <w:sz w:val="20"/>
                <w:szCs w:val="20"/>
                <w:color w:val="auto"/>
              </w:rPr>
            </w:pPr>
            <w:r>
              <w:rPr>
                <w:rFonts w:ascii="Arial" w:cs="Arial" w:eastAsia="Arial" w:hAnsi="Arial"/>
                <w:sz w:val="18"/>
                <w:szCs w:val="18"/>
                <w:color w:val="auto"/>
              </w:rPr>
              <w:t>(139,911)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(122,325)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76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874,477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890,249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67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6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gridSpan w:val="5"/>
          </w:tcPr>
          <w:p>
            <w:pPr>
              <w:ind w:left="1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2012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 – vessel purchase options and software development</w:t>
            </w:r>
          </w:p>
        </w:tc>
        <w:tc>
          <w:tcPr>
            <w:tcW w:w="10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Impairment – vessel purchase options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Additions – software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Depreciation – software development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000" w:type="dxa"/>
            <w:vAlign w:val="bottom"/>
            <w:gridSpan w:val="3"/>
            <w:shd w:val="clear" w:color="auto" w:fill="CCEEFF"/>
          </w:tcPr>
          <w:p>
            <w:pPr>
              <w:ind w:left="90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On November 8, 2010, the Company signed agreements with the sellers of two 4,250 TEU newbuildings to terminate the purchase obligations under contracts entered into in September 2008 and grant the Company options to purchase the vessels one year later. Intangible assets relating to these purchase options were recognised at the fair value of the purchase options on the date of the agreement.</w:t>
      </w:r>
    </w:p>
    <w:p>
      <w:pPr>
        <w:spacing w:after="0" w:line="2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The purchase options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unable to obtain committed finance on acceptable terms, the intangible assets relating to these purchase options were written off in the second quarter 2011. The purchase options have lapsed.</w:t>
      </w:r>
    </w:p>
    <w:p>
      <w:pPr>
        <w:spacing w:after="0" w:line="22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rFonts w:ascii="Arial" w:cs="Arial" w:eastAsia="Arial" w:hAnsi="Arial"/>
          <w:sz w:val="18"/>
          <w:szCs w:val="18"/>
          <w:b w:val="1"/>
          <w:bCs w:val="1"/>
          <w:color w:val="auto"/>
        </w:rPr>
      </w:pPr>
    </w:p>
    <w:p>
      <w:pPr>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90" w:lineRule="exact"/>
        <w:rPr>
          <w:rFonts w:ascii="Arial" w:cs="Arial" w:eastAsia="Arial" w:hAnsi="Arial"/>
          <w:sz w:val="18"/>
          <w:szCs w:val="18"/>
          <w:b w:val="1"/>
          <w:bCs w:val="1"/>
          <w:color w:val="auto"/>
        </w:rPr>
      </w:pPr>
    </w:p>
    <w:p>
      <w:pPr>
        <w:jc w:val="both"/>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60"/>
          </w:cols>
          <w:pgMar w:left="240" w:top="274" w:right="29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52" w:right="4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April 30, 2011 the Leverage Ratio was less than 75% and greater than 65%. Accordingly, from that date (i) interest margin paid on borrowings was 3.00% (ii) prepayments of borrowings were fixed at $10,000 per quarter, and (iii) the Company was able to make dividend payments to common shareholders. On this basis, further repayments of $10,000 were made on both June 30, 2011 and September 30, 2011.</w:t>
      </w:r>
    </w:p>
    <w:p>
      <w:pPr>
        <w:spacing w:after="0" w:line="25" w:lineRule="exact"/>
        <w:rPr>
          <w:rFonts w:ascii="Arial" w:cs="Arial" w:eastAsia="Arial" w:hAnsi="Arial"/>
          <w:sz w:val="18"/>
          <w:szCs w:val="18"/>
          <w:b w:val="1"/>
          <w:bCs w:val="1"/>
          <w:color w:val="auto"/>
        </w:rPr>
      </w:pPr>
    </w:p>
    <w:p>
      <w:pPr>
        <w:ind w:left="452"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prepayments of borrowings are being made quarterly in an amount equal to free cash in excess of $20,000 determined as at the previous month end subject to a minimum of $40,000 repayment a year on a rolling 12 month trailing basis, and (iii) the Company is unable to make dividend payments to common shareholders. On this basis, repayments were made of $15,341 on December 30, 2011, $11,788 on March 30, 2012 and $12,068 on June 29, 2012.</w:t>
      </w:r>
    </w:p>
    <w:p>
      <w:pPr>
        <w:spacing w:after="0" w:line="6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next Leverage Ratio test is scheduled for November 30, 2012.</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90" w:lineRule="exact"/>
        <w:rPr>
          <w:rFonts w:ascii="Arial" w:cs="Arial" w:eastAsia="Arial" w:hAnsi="Arial"/>
          <w:sz w:val="18"/>
          <w:szCs w:val="18"/>
          <w:b w:val="1"/>
          <w:bCs w:val="1"/>
          <w:color w:val="auto"/>
        </w:rPr>
      </w:pPr>
    </w:p>
    <w:p>
      <w:pPr>
        <w:ind w:left="452"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June 30,</w:t>
            </w:r>
          </w:p>
        </w:tc>
        <w:tc>
          <w:tcPr>
            <w:tcW w:w="1120" w:type="dxa"/>
            <w:vAlign w:val="bottom"/>
            <w:gridSpan w:val="4"/>
          </w:tcPr>
          <w:p>
            <w:pPr>
              <w:ind w:left="240"/>
              <w:spacing w:after="0"/>
              <w:rPr>
                <w:sz w:val="20"/>
                <w:szCs w:val="20"/>
                <w:color w:val="auto"/>
              </w:rPr>
            </w:pPr>
            <w:r>
              <w:rPr>
                <w:rFonts w:ascii="Arial" w:cs="Arial" w:eastAsia="Arial" w:hAnsi="Arial"/>
                <w:sz w:val="14"/>
                <w:szCs w:val="14"/>
                <w:color w:val="auto"/>
                <w:w w:val="97"/>
              </w:rPr>
              <w:t>December 31,</w:t>
            </w:r>
          </w:p>
        </w:tc>
      </w:tr>
      <w:tr>
        <w:trPr>
          <w:trHeight w:val="175"/>
        </w:trPr>
        <w:tc>
          <w:tcPr>
            <w:tcW w:w="4960" w:type="dxa"/>
            <w:vAlign w:val="bottom"/>
          </w:tcPr>
          <w:p>
            <w:pPr>
              <w:spacing w:after="0"/>
              <w:rPr>
                <w:sz w:val="15"/>
                <w:szCs w:val="15"/>
                <w:color w:val="auto"/>
              </w:rPr>
            </w:pPr>
          </w:p>
        </w:tc>
        <w:tc>
          <w:tcPr>
            <w:tcW w:w="232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+ 2.50% to 3.50%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$459,756</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483,612</w:t>
            </w: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6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(46,000)</w:t>
            </w:r>
          </w:p>
        </w:tc>
      </w:tr>
      <w:tr>
        <w:trPr>
          <w:trHeight w:val="27"/>
        </w:trPr>
        <w:tc>
          <w:tcPr>
            <w:tcW w:w="4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412,756</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437,612</w:t>
            </w:r>
          </w:p>
        </w:tc>
        <w:tc>
          <w:tcPr>
            <w:tcW w:w="12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260"/>
        <w:spacing w:after="0" w:line="268" w:lineRule="auto"/>
        <w:rPr>
          <w:sz w:val="20"/>
          <w:szCs w:val="20"/>
          <w:color w:val="auto"/>
        </w:rPr>
      </w:pPr>
      <w:r>
        <w:rPr>
          <w:rFonts w:ascii="Arial" w:cs="Arial" w:eastAsia="Arial" w:hAnsi="Arial"/>
          <w:sz w:val="18"/>
          <w:szCs w:val="18"/>
          <w:color w:val="auto"/>
        </w:rPr>
        <w:t>Based on (i) management’s reasonable estimate of cash flows from July 1, 2012 and (ii) the Leverage Ratio being at or below 75% at the next scheduled test date of November 30, 2012, the estimated repayments in each of the relevant periods are as follows:</w:t>
      </w:r>
    </w:p>
    <w:p>
      <w:pPr>
        <w:spacing w:after="0" w:line="168"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6980" w:type="dxa"/>
            <w:vAlign w:val="bottom"/>
          </w:tcPr>
          <w:p>
            <w:pPr>
              <w:spacing w:after="0"/>
              <w:rPr>
                <w:sz w:val="20"/>
                <w:szCs w:val="20"/>
                <w:color w:val="auto"/>
              </w:rPr>
            </w:pPr>
            <w:r>
              <w:rPr>
                <w:rFonts w:ascii="Arial" w:cs="Arial" w:eastAsia="Arial" w:hAnsi="Arial"/>
                <w:sz w:val="14"/>
                <w:szCs w:val="14"/>
                <w:b w:val="1"/>
                <w:bCs w:val="1"/>
                <w:color w:val="auto"/>
              </w:rPr>
              <w:t>Year ending 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292,756</w:t>
            </w: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459,756</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spacing w:after="0" w:line="335" w:lineRule="auto"/>
        <w:rPr>
          <w:sz w:val="20"/>
          <w:szCs w:val="20"/>
          <w:color w:val="auto"/>
        </w:rPr>
      </w:pPr>
      <w:r>
        <w:rPr>
          <w:rFonts w:ascii="Arial" w:cs="Arial" w:eastAsia="Arial" w:hAnsi="Arial"/>
          <w:sz w:val="15"/>
          <w:szCs w:val="15"/>
          <w:color w:val="auto"/>
        </w:rPr>
        <w:t>The amount of excess cash generated may vary significantly from management’s estimates and consequently the repayment profile of outstanding debt may be significantly different from that presented. Further, the Leverage Ratio may not be at or below 75% as at November 30, 2012 in which case, assuming a continuation of the current waiver, quarterly prepayments will continue to be based on free cash in excess of $20,000 at the measurement dates.</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274" w:right="239" w:bottom="1440" w:gutter="0" w:footer="0" w:header="0"/>
        </w:sectPr>
      </w:pPr>
    </w:p>
    <w:bookmarkStart w:id="26" w:name="page27"/>
    <w:bookmarkEnd w:id="2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20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referred to in Note 1, the parent company of Global Ship Lease, Inc. and at June 30, 2012 is a significant shareholder of the Company, owning Class A and Class B common shares representing a 45% voting interest in the Company. Amounts due to and from CMA CGM companies are summarized as follows:</w:t>
      </w:r>
    </w:p>
    <w:p>
      <w:pPr>
        <w:spacing w:after="0" w:line="12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74"/>
        </w:trPr>
        <w:tc>
          <w:tcPr>
            <w:tcW w:w="8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217"/>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4,838</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2,597</w:t>
            </w: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13,759</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13,759</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13,911</w:t>
            </w: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22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June 30, 2012 and December 31, 2011 relate to amounts payable to or recoverable from CMA CGM group companies.</w:t>
      </w:r>
    </w:p>
    <w:p>
      <w:pPr>
        <w:spacing w:after="0" w:line="4"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CMA CGM holds all of the Series A preferred shares of the Company. During the three months to June 30, 2012, the Company incurred costs in respect of dividends on these preferred shares of $301 (2011: $277) and during the six months to June 30, 2012 the Company incurred costs in respect of dividends on these preferred shares of $602 (2011: $553).</w:t>
      </w:r>
    </w:p>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duration of the charter. The charters are for remaining periods as at June 30, 2012 of between 0.50 and 13.50 years (see notes 2(a) and 13). All the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$1,124,434 future charter hire receivable for the fleet set out in note 8 relates to the 17 vessels currently chartered to CMA CGM, taking into account the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new charters referred to in notes 2(a) and 13.</w:t>
      </w:r>
    </w:p>
    <w:p>
      <w:pPr>
        <w:spacing w:after="0" w:line="24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right="80"/>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and six months ended June 30, 2012 amounted to $484 (2011: $484) and $969 (2011: $969)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12"/>
          </w:cols>
          <w:pgMar w:left="248" w:top="274" w:right="239" w:bottom="1440" w:gutter="0" w:footer="0" w:header="0"/>
        </w:sectPr>
      </w:pPr>
    </w:p>
    <w:bookmarkStart w:id="27" w:name="page28"/>
    <w:bookmarkEnd w:id="2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right="8440" w:hanging="452"/>
        <w:spacing w:after="0" w:line="417" w:lineRule="auto"/>
        <w:tabs>
          <w:tab w:leader="none" w:pos="441"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Charter Hire Receivable</w:t>
      </w:r>
    </w:p>
    <w:p>
      <w:pPr>
        <w:ind w:left="452" w:right="200"/>
        <w:spacing w:after="0" w:line="306" w:lineRule="auto"/>
        <w:rPr>
          <w:rFonts w:ascii="Arial" w:cs="Arial" w:eastAsia="Arial" w:hAnsi="Arial"/>
          <w:sz w:val="15"/>
          <w:szCs w:val="15"/>
          <w:b w:val="1"/>
          <w:bCs w:val="1"/>
          <w:color w:val="auto"/>
        </w:rPr>
      </w:pPr>
      <w:r>
        <w:rPr>
          <w:rFonts w:ascii="Arial" w:cs="Arial" w:eastAsia="Arial" w:hAnsi="Arial"/>
          <w:sz w:val="16"/>
          <w:szCs w:val="16"/>
          <w:color w:val="auto"/>
        </w:rPr>
        <w:t>The Company has entered into long term time charters for its vessels. The charter hire is fixed for the duration of the charter. The charters for the vessels were originally for periods of between five and 17 years and the maximum future annual charter hire receivable for the fleet of 17 vessels, taking into account the new charters referred to in notes 2(a) and 13, as at June 30, 2012 is as follows:</w:t>
      </w:r>
    </w:p>
    <w:p>
      <w:pPr>
        <w:spacing w:after="0" w:line="130"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Fleet as at</w:t>
            </w:r>
          </w:p>
        </w:tc>
      </w:tr>
      <w:tr>
        <w:trPr>
          <w:trHeight w:val="149"/>
        </w:trPr>
        <w:tc>
          <w:tcPr>
            <w:tcW w:w="40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75"/>
        </w:trPr>
        <w:tc>
          <w:tcPr>
            <w:tcW w:w="4040" w:type="dxa"/>
            <w:vAlign w:val="bottom"/>
          </w:tcPr>
          <w:p>
            <w:pPr>
              <w:spacing w:after="0"/>
              <w:rPr>
                <w:sz w:val="20"/>
                <w:szCs w:val="20"/>
                <w:color w:val="auto"/>
              </w:rPr>
            </w:pPr>
            <w:r>
              <w:rPr>
                <w:rFonts w:ascii="Arial" w:cs="Arial" w:eastAsia="Arial" w:hAnsi="Arial"/>
                <w:sz w:val="14"/>
                <w:szCs w:val="14"/>
                <w:b w:val="1"/>
                <w:bCs w:val="1"/>
                <w:color w:val="auto"/>
              </w:rPr>
              <w:t>Year ending June 30,</w:t>
            </w:r>
          </w:p>
        </w:tc>
        <w:tc>
          <w:tcPr>
            <w:tcW w:w="3620" w:type="dxa"/>
            <w:vAlign w:val="bottom"/>
            <w:gridSpan w:val="2"/>
          </w:tcPr>
          <w:p>
            <w:pPr>
              <w:jc w:val="center"/>
              <w:ind w:left="27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5"/>
                <w:szCs w:val="15"/>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145,440</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2014</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2016</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136,324</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121,272</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449,494</w:t>
            </w: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1,124,434</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2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June 30, 2012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certain financial conditions, mainly relating to the record of dividend payments, have been met when the Class B common shares would convert to Class A common shares on a one-for-one basis. The financial conditions have not yet been met and accordingly the conversion has not taken place.</w:t>
      </w:r>
    </w:p>
    <w:p>
      <w:pPr>
        <w:spacing w:after="0" w:line="61" w:lineRule="exact"/>
        <w:rPr>
          <w:rFonts w:ascii="Arial" w:cs="Arial" w:eastAsia="Arial" w:hAnsi="Arial"/>
          <w:sz w:val="18"/>
          <w:szCs w:val="18"/>
          <w:b w:val="1"/>
          <w:bCs w:val="1"/>
          <w:color w:val="auto"/>
        </w:rPr>
      </w:pPr>
    </w:p>
    <w:p>
      <w:pPr>
        <w:ind w:left="452"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0"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shareholders are entitled to is presented as part of interest expense.</w:t>
      </w:r>
    </w:p>
    <w:p>
      <w:pPr>
        <w:spacing w:after="0" w:line="4" w:lineRule="exact"/>
        <w:rPr>
          <w:rFonts w:ascii="Arial" w:cs="Arial" w:eastAsia="Arial" w:hAnsi="Arial"/>
          <w:sz w:val="18"/>
          <w:szCs w:val="18"/>
          <w:b w:val="1"/>
          <w:bCs w:val="1"/>
          <w:color w:val="auto"/>
        </w:rPr>
      </w:pPr>
    </w:p>
    <w:p>
      <w:pPr>
        <w:ind w:left="452"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There are 6,188,088 Class A Warrants outstanding which expire on September 1, 2013 and give the holders the right to purchase one Class A common share at a price of $9.25.</w:t>
      </w:r>
    </w:p>
    <w:p>
      <w:pPr>
        <w:spacing w:after="0" w:line="50" w:lineRule="exact"/>
        <w:rPr>
          <w:rFonts w:ascii="Arial" w:cs="Arial" w:eastAsia="Arial" w:hAnsi="Arial"/>
          <w:sz w:val="18"/>
          <w:szCs w:val="18"/>
          <w:b w:val="1"/>
          <w:bCs w:val="1"/>
          <w:color w:val="auto"/>
        </w:rPr>
      </w:pPr>
    </w:p>
    <w:p>
      <w:pPr>
        <w:ind w:left="452"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at June 30, 2012, total proceeds received in 2008 from the exercise of Public Warrants prior to their expiry in August 2010 were $3,027 (December 31, 2011: $3,027). These funds are to be used only to redeem the Series A preferred shares, with a minimum redemption amount of $5,000. As this threshold has not been reached, none of the preferred shares have been redeemed and the funds are classified as restricted cash in the balance sheet.</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72"/>
          </w:cols>
          <w:pgMar w:left="248" w:top="274" w:right="27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As of June 30, 2012 a total of $580,000 of debt was swapped into fixed rate debt at a weighted average rate of 3.59%.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jc w:val="both"/>
        <w:ind w:left="4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consolidated statement of income. In addition, the interest rate derivatives are “marked to market” at each reporting period end and are recorded at fair values. This generates unrealized gains or losses. The unrealized gain on interest rate derivatives for the three months ended June 30, 2012 was $907 (2011: $3,802 loss). The unrealised gain on interest rate derivatives for the six months ended June 30, 2012 was $3,583 (2011: $1,160 gain).</w:t>
      </w:r>
    </w:p>
    <w:p>
      <w:pPr>
        <w:spacing w:after="0" w:line="62"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June 30, 2012, these derivatives represented a liability of $41,733 (December 31, 2011: $45,315).</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4"/>
                <w:szCs w:val="14"/>
                <w:b w:val="1"/>
                <w:bCs w:val="1"/>
                <w:color w:val="auto"/>
                <w:w w:val="95"/>
              </w:rPr>
              <w:t>Restricted Stock Units</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2"/>
          </w:tcPr>
          <w:p>
            <w:pPr>
              <w:spacing w:after="0" w:line="131" w:lineRule="exact"/>
              <w:rPr>
                <w:sz w:val="20"/>
                <w:szCs w:val="20"/>
                <w:color w:val="auto"/>
              </w:rPr>
            </w:pPr>
            <w:r>
              <w:rPr>
                <w:rFonts w:ascii="Arial" w:cs="Arial" w:eastAsia="Arial" w:hAnsi="Arial"/>
                <w:sz w:val="14"/>
                <w:szCs w:val="14"/>
                <w:color w:val="auto"/>
                <w:w w:val="84"/>
              </w:rPr>
              <w:t>Weighted</w:t>
            </w:r>
          </w:p>
        </w:tc>
        <w:tc>
          <w:tcPr>
            <w:tcW w:w="400" w:type="dxa"/>
            <w:vAlign w:val="bottom"/>
          </w:tcPr>
          <w:p>
            <w:pPr>
              <w:spacing w:after="0"/>
              <w:rPr>
                <w:sz w:val="11"/>
                <w:szCs w:val="11"/>
                <w:color w:val="auto"/>
              </w:rPr>
            </w:pPr>
          </w:p>
        </w:tc>
        <w:tc>
          <w:tcPr>
            <w:tcW w:w="400" w:type="dxa"/>
            <w:vAlign w:val="bottom"/>
          </w:tcPr>
          <w:p>
            <w:pPr>
              <w:jc w:val="center"/>
              <w:spacing w:after="0" w:line="131" w:lineRule="exact"/>
              <w:rPr>
                <w:sz w:val="20"/>
                <w:szCs w:val="20"/>
                <w:color w:val="auto"/>
              </w:rPr>
            </w:pPr>
            <w:r>
              <w:rPr>
                <w:rFonts w:ascii="Arial" w:cs="Arial" w:eastAsia="Arial" w:hAnsi="Arial"/>
                <w:sz w:val="14"/>
                <w:szCs w:val="14"/>
                <w:color w:val="auto"/>
                <w:w w:val="92"/>
              </w:rPr>
              <w:t>Actual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1"/>
              </w:rPr>
              <w:t>Fair</w:t>
            </w:r>
          </w:p>
        </w:tc>
        <w:tc>
          <w:tcPr>
            <w:tcW w:w="40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140" w:type="dxa"/>
            <w:vAlign w:val="bottom"/>
            <w:gridSpan w:val="5"/>
            <w:vMerge w:val="restart"/>
          </w:tcPr>
          <w:p>
            <w:pPr>
              <w:jc w:val="right"/>
              <w:ind w:right="800"/>
              <w:spacing w:after="0"/>
              <w:rPr>
                <w:sz w:val="20"/>
                <w:szCs w:val="20"/>
                <w:color w:val="auto"/>
              </w:rPr>
            </w:pPr>
            <w:r>
              <w:rPr>
                <w:rFonts w:ascii="Arial" w:cs="Arial" w:eastAsia="Arial" w:hAnsi="Arial"/>
                <w:sz w:val="14"/>
                <w:szCs w:val="14"/>
                <w:color w:val="auto"/>
              </w:rPr>
              <w:t>Number of Units</w:t>
            </w: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6"/>
              </w:rPr>
              <w:t>Value on</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85"/>
              </w:rPr>
              <w:t>Grant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5"/>
              </w:rPr>
              <w:t>Management</w:t>
            </w:r>
          </w:p>
        </w:tc>
        <w:tc>
          <w:tcPr>
            <w:tcW w:w="180" w:type="dxa"/>
            <w:vAlign w:val="bottom"/>
          </w:tcPr>
          <w:p>
            <w:pPr>
              <w:spacing w:after="0"/>
              <w:rPr>
                <w:sz w:val="13"/>
                <w:szCs w:val="13"/>
                <w:color w:val="auto"/>
              </w:rPr>
            </w:pPr>
          </w:p>
        </w:tc>
        <w:tc>
          <w:tcPr>
            <w:tcW w:w="10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96"/>
              </w:rPr>
              <w:t>Directors</w:t>
            </w:r>
          </w:p>
        </w:tc>
        <w:tc>
          <w:tcPr>
            <w:tcW w:w="100" w:type="dxa"/>
            <w:vAlign w:val="bottom"/>
          </w:tcPr>
          <w:p>
            <w:pPr>
              <w:spacing w:after="0"/>
              <w:rPr>
                <w:sz w:val="13"/>
                <w:szCs w:val="13"/>
                <w:color w:val="auto"/>
              </w:rPr>
            </w:pP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auto"/>
                <w:w w:val="80"/>
              </w:rPr>
              <w:t>date</w:t>
            </w:r>
          </w:p>
        </w:tc>
        <w:tc>
          <w:tcPr>
            <w:tcW w:w="400" w:type="dxa"/>
            <w:vAlign w:val="bottom"/>
          </w:tcPr>
          <w:p>
            <w:pPr>
              <w:spacing w:after="0"/>
              <w:rPr>
                <w:sz w:val="13"/>
                <w:szCs w:val="13"/>
                <w:color w:val="auto"/>
              </w:rPr>
            </w:pPr>
          </w:p>
        </w:tc>
        <w:tc>
          <w:tcPr>
            <w:tcW w:w="5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260,000</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58,511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January 2011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(58,511)</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17,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17,886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September 2011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(206,250)</w:t>
            </w: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Granted on September 2,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October 2011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(68,750)</w:t>
            </w: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January 2012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Un-Vested as at June 30, 2012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 of income over the vesting period. During the three months and six months ended June 30, 2012, the Company recognized a total of $134 (2011: $175) and $247 (2011: $311) share based compensation costs respectively. As at June 30, 2012, there was a total of $473 unrecognized compensation cost relating to the above share based awards (December 31, 2011: $352). The remaining cost is expected to be recognized over a period of 27 months.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274" w:right="27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4"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The restricted stock units granted to three members of management on August 14, 2008 were to vest over a period of three years; one third on the first anniversary of the merger, one third on the second anniversary and one third on the third anniversary. The vesting dates were amended and a total of 260,000 vested annually during September and October of 2009, 2010 and 2011.</w:t>
      </w:r>
    </w:p>
    <w:p>
      <w:pPr>
        <w:spacing w:after="0" w:line="59"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restricted stock units granted to Directors on March 1, 2010 vested in January 2011. The restricted stock units granted to Directors on March 17, 2011 vested in January 2012. The restricted stock units granted to Directors on March 13, 2012 will vest in January 2013.</w:t>
      </w:r>
    </w:p>
    <w:p>
      <w:pPr>
        <w:spacing w:after="0" w:line="51"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color w:val="auto"/>
        </w:rPr>
        <w:t>Restricted stock units granted to one member of management on March 17, 2011 vested during September and October 2011. 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w:t>
      </w:r>
    </w:p>
    <w:p>
      <w:pPr>
        <w:spacing w:after="0" w:line="23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six months ended June 30, 2012, no dividend was declared (2011: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39"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59"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June 30, 2012, there were 6,188,088 Class A Warrants to purchase Class A common shares at an exercise price of $9.25 outstanding which are due to expire on September 1, 2013. In addition, there were 257,070 restricted stock units granted and unvested as part of management’s equity incentive plan and as part of the Directors’ compensation for 2012. As of June 30, 2012 only Class A and B common shares are participating securities.</w:t>
      </w:r>
    </w:p>
    <w:p>
      <w:pPr>
        <w:spacing w:after="0" w:line="25"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the three months and six months ended June 30, 2012, the diluted weighted average number of shares includes the incremental effect of outstanding stock based incentive awards but excludes the effect of outstanding warrants as these were antidilutive. For the three and six months ended June 30, 2011,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had an antidilutive effect.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40" w:top="274"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80" w:type="dxa"/>
            <w:vAlign w:val="bottom"/>
            <w:gridSpan w:val="6"/>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20"/>
                <w:szCs w:val="20"/>
                <w:color w:val="auto"/>
              </w:rPr>
            </w:pPr>
            <w:r>
              <w:rPr>
                <w:rFonts w:ascii="Arial" w:cs="Arial" w:eastAsia="Arial" w:hAnsi="Arial"/>
                <w:sz w:val="14"/>
                <w:szCs w:val="14"/>
                <w:color w:val="auto"/>
              </w:rPr>
              <w:t>(In thousands, except share data)</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47,481,864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47,188,978</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47,481,667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47,187,685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117,895</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Common shares and common share equivalents (F)</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47,599,759</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47,188,978</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47,537,241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47,187,685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7,405,956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7,405,596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Common shares (H)</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7,405,956</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(11,693)</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(11,693)</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for Class A (A)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(11,693)</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(C)</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(A/B)</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Class B (C/D)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(11,693)</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(11,693)</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for Class A (E)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(11,693)</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(E/F)</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Class B (G/H)</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2"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July 23, 2012 the Company announced it has signed new time charters with CMA CGM for two 4,113 TEU containerships, the Ville d’Aquarius and the Ville d’Orion. The vessels will be chartered to May 23, 2013 plus or minus 22 days at charterer’s option at a rate of $9.962 per vessel per day, commencing upon expiration of the current time charters on September 20 and 21, 2012, respectively.</w:t>
      </w:r>
    </w:p>
    <w:p>
      <w:pPr>
        <w:spacing w:after="0" w:line="59"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time charters for the Ville d’Aquarius and the Ville d’Orion were executed under an agreement entered into with CMA CGM, which provided the Company with the option to obligate CMA CGM to charter the vessels at an index-linked rate, with a floor of $8.5 per day. As part of this agreement, the Company accelerated the redemption of 63 Series A Preferred Shares of $48 each from CMA CGM for $3,024. The redemption was funded by restricted cash, which could only be used for this purpose, being the proceeds from the exercise of warrants in 2008. These 63 Preferred Shares were originally scheduled for redemption on August 31, 2016.</w:t>
      </w:r>
    </w:p>
    <w:p>
      <w:pPr>
        <w:spacing w:after="0" w:line="12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Page 16</w:t>
      </w:r>
    </w:p>
    <w:sectPr>
      <w:pgSz w:w="11900" w:h="16838" w:orient="portrait"/>
      <w:cols w:equalWidth="0" w:num="1">
        <w:col w:w="11212"/>
      </w:cols>
      <w:pgMar w:left="248"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lowerLetter"/>
      <w:start w:val="1"/>
    </w:lvl>
    <w:lvl w:ilvl="1">
      <w:lvlJc w:val="left"/>
      <w:lvlText w:val="(%2)"/>
      <w:numFmt w:val="lowerLetter"/>
      <w:start w:val="2"/>
    </w:lvl>
  </w:abstractNum>
  <w:abstractNum w:abstractNumId="8">
    <w:nsid w:val="7FDCC233"/>
    <w:multiLevelType w:val="hybridMultilevel"/>
    <w:lvl w:ilvl="0">
      <w:lvlJc w:val="left"/>
      <w:lvlText w:val="(%1)"/>
      <w:numFmt w:val="lowerLetter"/>
      <w:start w:val="9"/>
    </w:lvl>
    <w:lvl w:ilvl="1">
      <w:lvlJc w:val="left"/>
      <w:lvlText w:val="%2"/>
      <w:numFmt w:val="lowerLetter"/>
      <w:start w:val="1"/>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decimal"/>
      <w:start w:val="6"/>
    </w:lvl>
  </w:abstractNum>
  <w:abstractNum w:abstractNumId="14">
    <w:nsid w:val="519B500D"/>
    <w:multiLevelType w:val="hybridMultilevel"/>
    <w:lvl w:ilvl="0">
      <w:lvlJc w:val="left"/>
      <w:lvlText w:val="%1."/>
      <w:numFmt w:val="decimal"/>
      <w:start w:val="7"/>
    </w:lvl>
  </w:abstractNum>
  <w:abstractNum w:abstractNumId="15">
    <w:nsid w:val="431BD7B7"/>
    <w:multiLevelType w:val="hybridMultilevel"/>
    <w:lvl w:ilvl="0">
      <w:lvlJc w:val="left"/>
      <w:lvlText w:val="%1."/>
      <w:numFmt w:val="decimal"/>
      <w:start w:val="8"/>
    </w:lvl>
  </w:abstractNum>
  <w:abstractNum w:abstractNumId="16">
    <w:nsid w:val="3F2DBA31"/>
    <w:multiLevelType w:val="hybridMultilevel"/>
    <w:lvl w:ilvl="0">
      <w:lvlJc w:val="left"/>
      <w:lvlText w:val="%1."/>
      <w:numFmt w:val="decimal"/>
      <w:start w:val="9"/>
    </w:lvl>
  </w:abstractNum>
  <w:abstractNum w:abstractNumId="17">
    <w:nsid w:val="7C83E458"/>
    <w:multiLevelType w:val="hybridMultilevel"/>
    <w:lvl w:ilvl="0">
      <w:lvlJc w:val="left"/>
      <w:lvlText w:val="%1."/>
      <w:numFmt w:val="decimal"/>
      <w:start w:val="10"/>
    </w:lvl>
  </w:abstractNum>
  <w:abstractNum w:abstractNumId="18">
    <w:nsid w:val="257130A3"/>
    <w:multiLevelType w:val="hybridMultilevel"/>
    <w:lvl w:ilvl="0">
      <w:lvlJc w:val="left"/>
      <w:lvlText w:val="%1."/>
      <w:numFmt w:val="decimal"/>
      <w:start w:val="12"/>
    </w:lvl>
  </w:abstractNum>
  <w:abstractNum w:abstractNumId="19">
    <w:nsid w:val="62BBD95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2019-12-09T19:39:52Z</dcterms:created>
  <dcterms:modified xsi:type="dcterms:W3CDTF">2019-12-09T19:39:52Z</dcterms:modified>
</cp:coreProperties>
</file>