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Date of Report: November 17, 2008</w:t>
      </w:r>
    </w:p>
    <w:p>
      <w:pPr>
        <w:spacing w:after="0" w:line="17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10 Greycoat Place,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SW1P 1SB,</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 w:lineRule="exact"/>
        <w:rPr>
          <w:sz w:val="24"/>
          <w:szCs w:val="24"/>
          <w:color w:val="auto"/>
        </w:rPr>
      </w:pPr>
    </w:p>
    <w:p>
      <w:pPr>
        <w:ind w:left="180"/>
        <w:spacing w:after="0" w:line="207" w:lineRule="exact"/>
        <w:tabs>
          <w:tab w:leader="none" w:pos="13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5" w:lineRule="exact"/>
        <w:rPr>
          <w:sz w:val="24"/>
          <w:szCs w:val="24"/>
          <w:color w:val="auto"/>
        </w:rPr>
      </w:pPr>
    </w:p>
    <w:p>
      <w:pPr>
        <w:ind w:left="180"/>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5" w:lineRule="exact"/>
        <w:rPr>
          <w:sz w:val="24"/>
          <w:szCs w:val="24"/>
          <w:color w:val="auto"/>
        </w:rPr>
      </w:pPr>
    </w:p>
    <w:p>
      <w:pPr>
        <w:ind w:left="180"/>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ind w:left="180"/>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tabs>
          <w:tab w:leader="none" w:pos="8640" w:val="left"/>
        </w:tabs>
        <w:rPr>
          <w:sz w:val="20"/>
          <w:szCs w:val="20"/>
          <w:color w:val="auto"/>
        </w:rPr>
      </w:pPr>
      <w:r>
        <w:rPr>
          <w:rFonts w:ascii="Arial" w:cs="Arial" w:eastAsia="Arial" w:hAnsi="Arial"/>
          <w:sz w:val="16"/>
          <w:szCs w:val="16"/>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Attached hereto as Exhibit I is a press release dated November 13, 2008 of Global Ship Lease, Inc. (the “Company”), reporting the Company’s financial results for the quarter ended September 30, 2008 and announcing that the Company’s Board of Directors declared its first regular quarterly dividend of $0.23 per Class A common share and unit to be paid on November 28, 2008 to Class A common shareholders and unit holders of record as of November 21, 2008.</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November 17,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20"/>
          </w:cols>
          <w:pgMar w:left="240" w:top="27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24333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 Tyler Wilson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Reports Results for the Third Quarter of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Declares its First Regular Quarterly Dividend of $0.23 per share</w:t>
      </w:r>
    </w:p>
    <w:p>
      <w:pPr>
        <w:spacing w:after="0" w:line="165"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LONDON, ENGLAND—(Nov. 13, 2008)</w:t>
      </w:r>
      <w:r>
        <w:rPr>
          <w:rFonts w:ascii="Arial" w:cs="Arial" w:eastAsia="Arial" w:hAnsi="Arial"/>
          <w:sz w:val="18"/>
          <w:szCs w:val="18"/>
          <w:color w:val="auto"/>
        </w:rPr>
        <w:t>—Global Ship Lease, Inc (NYSE:GSL, GSL.U and GSL.WS), a rapidly growing containership charter owner,</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its unaudited results for the three and nine months ended September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2008 and Year-to-Date Highlights</w:t>
      </w:r>
    </w:p>
    <w:p>
      <w:pPr>
        <w:spacing w:after="0" w:line="90"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Paid a starting dividend of $0.23 per share on October 14, 2008 to all Class A common shareholders and unit holders of record as of October 2, 2008</w:t>
      </w:r>
    </w:p>
    <w:p>
      <w:pPr>
        <w:spacing w:after="0" w:line="113" w:lineRule="exact"/>
        <w:rPr>
          <w:rFonts w:ascii="Arial" w:cs="Arial" w:eastAsia="Arial" w:hAnsi="Arial"/>
          <w:sz w:val="16"/>
          <w:szCs w:val="16"/>
          <w:color w:val="auto"/>
        </w:rPr>
      </w:pPr>
    </w:p>
    <w:p>
      <w:pPr>
        <w:ind w:left="220" w:right="100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Declared a third quarter dividend of $0.23 per share to be paid on November 28 to Class A common shareholders and unit holders of record as of November 21, 2008</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Generated $12.1 million pro forma cash available for distribution in the third quarter and $34.8 million in the nine months ended September 30, 2008</w:t>
      </w:r>
    </w:p>
    <w:p>
      <w:pPr>
        <w:spacing w:after="0" w:line="113" w:lineRule="exact"/>
        <w:rPr>
          <w:rFonts w:ascii="Arial" w:cs="Arial" w:eastAsia="Arial" w:hAnsi="Arial"/>
          <w:sz w:val="16"/>
          <w:szCs w:val="16"/>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combined revenue of $23.9 million for the third quarter and $68.7 million for the nine months ended September 30, 2008</w:t>
      </w:r>
    </w:p>
    <w:p>
      <w:pPr>
        <w:spacing w:after="0" w:line="90" w:lineRule="exact"/>
        <w:rPr>
          <w:rFonts w:ascii="Arial" w:cs="Arial" w:eastAsia="Arial" w:hAnsi="Arial"/>
          <w:sz w:val="18"/>
          <w:szCs w:val="18"/>
          <w:color w:val="auto"/>
        </w:rPr>
      </w:pPr>
    </w:p>
    <w:p>
      <w:pPr>
        <w:ind w:left="220" w:right="40" w:hanging="212"/>
        <w:spacing w:after="0" w:line="259"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normalized pro forma net earnings of $6.4 million, or $0.19 per share, for the third quarter of 2008 and $17.9 million, or $0.54 per share, for the nine months ended September 30, 2008, excluding a $6.4 million non-cash interest rate derivative mark-to-market charge for the third quarter and a $1.1 million charge for the nine months ended September 30, 2008</w:t>
      </w:r>
    </w:p>
    <w:p>
      <w:pPr>
        <w:spacing w:after="0" w:line="59"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non-cash charges, reported pro forma net earnings of $0.0 million, or $0.00 per share, for the third quarter and earnings of $16.8 million, or $0.50 per share, for the nine months ended September 30, 2008</w:t>
      </w:r>
    </w:p>
    <w:p>
      <w:pPr>
        <w:spacing w:after="0" w:line="50" w:lineRule="exact"/>
        <w:rPr>
          <w:rFonts w:ascii="Arial" w:cs="Arial" w:eastAsia="Arial" w:hAnsi="Arial"/>
          <w:sz w:val="18"/>
          <w:szCs w:val="18"/>
          <w:color w:val="auto"/>
        </w:rPr>
      </w:pPr>
    </w:p>
    <w:p>
      <w:pPr>
        <w:ind w:left="220" w:right="30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Acquired two 4,250 TEU containership newbuildings with charters in place to ZIM Integrated Shipping Services Limited, or ZISS, for seven to eight years which are expected to be delivered in the fourth quarter of 2010</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Listed on the New York Stock Exchange on August 15, 2008</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Ian Webber, Chief Executive Officer of Global Ship Lease, stated, “During the third quarter of 2008, Global Ship Lease achieved significant milestones that position the Company well over the long term. Specifically, Global Ship Lease merged with Marathon Acquisition Corp, listed on the New York Stock Exchange, signed an agreement to acquire two containership newbuildings, and achieved strong operational results based on our time charter strategy. We also drew upon our contracted revenue and cash flow streams to both pay a starting dividend of $0.23 per share and declare our first quarterly distribution of $0.23 per share. Despite the current slowdown in demand for containerized goods, container shipping remains well positioned for long-term growth. Further, we believe that Global Ship Lease’s business model mitigates the effect of any near-term industry volatility as all of</w:t>
      </w:r>
    </w:p>
    <w:p>
      <w:pPr>
        <w:sectPr>
          <w:pgSz w:w="11900" w:h="16838" w:orient="portrait"/>
          <w:cols w:equalWidth="0" w:num="1">
            <w:col w:w="11420"/>
          </w:cols>
          <w:pgMar w:left="240" w:top="274" w:right="239" w:bottom="144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vessels are fixed on charters with an average remaining duration of 10 years with leading and well established liner operators. Our first charter renewals, are not until the fourth quarter of 2012 and are on only two vessels in the fleet. In addition, we have an $800 million credit facility in place to fund the purchase of our seven contracted vessels which will double our capacity.”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Results for Three and Nine Months Ended September 30, 2008</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Comparative financial information for 2007 is not included herein because under predecessor accounting, this information pertains mainly to operations of the vessels when they were owned by CMA CGM, a privately owned French container shipping company, and operated in CMA CGM’s business of earning revenue from carrying cargo. Global Ship Lease commenced its business of time chartering out vessels in December 2007. The two business models are therefore not comparable.</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same reasons mentioned above with respect to 2007 comparatives, financial information relating to operations for the nine months ended September 30, 2008 commented upon herein relates to earnings from the provision of vessels under time charters and excludes the results of two vessels prior to their acquisition date in January 2008 because they had been previously operated by CMA CGM. The unaudited interim combined financial statements also differ from the information commented upon herein as they reflect the reporting period both before and after the merger on August 14, 2008, as a result of which the capital structure of the Company changed significantly. Full unaudited interim combined financial statements are included in this press release.</w:t>
      </w:r>
    </w:p>
    <w:p>
      <w:pPr>
        <w:spacing w:after="0" w:line="1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revenue for the three months ended September 30, 2008, as reported in our unaudited interim combined financial statements, was $12.8 million for the Successor (post-merger) and $11.1 million for the Predecessor (pre-merger). Revenue for the nine months ended September 30, 2008 was $12.8 million for the Successor and $58.9 million for the Predecessor. For the three months ended September 30, 2008, we also reported a net loss of $0.3 million for the Successor and $0.9 million for the Predecessor. For the nine months ended September 30, 2008 the net loss was $0.3 million for the Successor and net income was $7.4million for the Predecessor.</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3 months ended</w:t>
            </w:r>
          </w:p>
        </w:tc>
        <w:tc>
          <w:tcPr>
            <w:tcW w:w="4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9 months ended</w:t>
            </w:r>
          </w:p>
        </w:tc>
      </w:tr>
      <w:tr>
        <w:trPr>
          <w:trHeight w:val="149"/>
        </w:trPr>
        <w:tc>
          <w:tcPr>
            <w:tcW w:w="3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30 September,</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30 September,</w:t>
            </w:r>
          </w:p>
        </w:tc>
      </w:tr>
      <w:tr>
        <w:trPr>
          <w:trHeight w:val="16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thousands of U.S. dollars except per share data)</w:t>
            </w: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2008</w:t>
            </w:r>
          </w:p>
        </w:tc>
      </w:tr>
      <w:tr>
        <w:trPr>
          <w:trHeight w:val="142"/>
        </w:trPr>
        <w:tc>
          <w:tcPr>
            <w:tcW w:w="3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Combined revenue (1) / (2)</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Combined operating income (1) / (2)</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9,414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28,948</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earnings (2)</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Pro forma net earnings per share (2)</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Normalised pro forma net earnings (2)</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w w:val="87"/>
              </w:rPr>
              <w:t>Normalised pro forma earnings per share (2)</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0"/>
              </w:rPr>
              <w:t>Pro forma cash available for distribution (2)</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6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on a combined basis for the Successor and Predecessor period as reported in the segment information in footnote 10 to interim unaudited combined financial statements.</w:t>
      </w:r>
    </w:p>
    <w:p>
      <w:pPr>
        <w:ind w:left="460" w:right="300" w:hanging="452"/>
        <w:spacing w:after="0" w:line="30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Combined revenue, combined operating income, pro forma net earnings, pro forma earnings per share, normalised pro forma earnings, normalised pro forma earnings per share and pro forma cash available for distribution are non-US Generally Accepted Accounting Principles (US GAAP) measures, as explained further in this release and a reconciliation is provided to the interim unaudited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Combined Revenue and Utilization</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Global Ship Lease owned twelve vessels throughout the three months ended September 30, 2008, generating time charter revenue from fixed rate long-term time charters of $23.9 million. During this period, there were 18 off-hire days, including 14 for unplanned dry-docking in July to repair bottom damage to a vessel following a grounding, out of 1,104 ownership days, representing utilization of over 98%. Two of the twelve vessels were purchased in January 2008 and there were 3,263 ownership days in the nine months ended September 30, 2008. Revenue for the nine months ended September 30, 2008 was $68.7m which includes 15 planned off-hire days for a scheduled dry-docking in the First Quarter and 29 unplanned days, representing less than 1.5% ownership days.</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Vessel Operating Expenses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Vessel operating expenses, which include crew costs, lubricating oil, spares and insurance, were $7.9 million, for the three months ended September 30, 2008, an average of $7,146 per ownership day. Vessel operating expenses for the nine months ending September 30, 2008 were $21.9 million, representing $6,704 per ownership day. Vessel operating costs during the quarter and the nine months ended September 30, 2008 were affected by increasing crew and lubricating oil costs. Vessel operating expenses include regular ship operating costs under Global Ship Lease’s ship management agreements at less than the capped amounts included in these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Combined Depreciation</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Depreciation was $5.2 million and $14.8 million for the three and nine months ended September 30, 2008 respectively. The depreciation costs for the three and nine months periods reflect the addition of two ships in January 2008 and impact of fair valuing the vessels from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Combined General and Administrative Costs</w:t>
      </w:r>
    </w:p>
    <w:p>
      <w:pPr>
        <w:spacing w:after="0" w:line="9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General and administrative costs incurred by Global Ship Lease were $1.5 million and $3.3 million in the three and nine months ended September 30, 2008 respectively. General and administrative costs during the quarter were affected by an increasing cost base from the merger date as an independent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Combined Interest</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 expense for the three months ended September 30, 2008 was $4.2 million based on the Company’s indebtedness of approximately $578 million from July 1, 2008 through the consummation of the merger on August 14, 2008 and borrowings of approximately $286 million after August 14, 2008 as approximately $292 million of debt was cancelled or repaid upon consummation of the merger. Interest charged until August 14, 2008 on this element of debt was approximately $1.3 million. Interest expense in the nine months ended September 30, 2008 was $18.8 million, based on borrowings of approximately $578 million before August 14, 2008 and $286 million after such date. Interest charged during the nine months on the debt cancelled or repaid on August 14, 2008 was approximately $7.1 million. The dividend on $48 million of preferred shares is also included from August 14,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the majority of its interest rate exposure by entering into derivatives that swap floating rate debt to fixed rate debt to provide long-term stability and predictability to cash flows. As these hedges do not qualify for hedge accounting under US GAAP, the outstanding hedges are marked to market each period end with any change in the fair value being booked to the income and expenditure account. The change in the fair value was $6.4 million loss in the three months ended September 30, 2008 reflecting movements in the forward curve for interest rates. The change in the fair value in the nine months ended September 30, 2008 was $1.1 million loss. Mark-to-market adjustments have no impact on operating performance or cash generation and do not affect the Company’s ability to make distributions to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Pro Forma Net Earnings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Normalized pro forma net earnings were $6.4 million, or $0.19 per share, for the third quarter of 2008 and $17.9 million, or $0.54 per share, for the nine months period ended September 30, 2008, excluding a $6.4 million non-cash interest rate derivative mark-to-market charge for the third quarter and $1.1 million charge for the nine months period.</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Including non-cash charges, the Company reported a pro forma net income of $0.0 million for the third quarter and pro forma net income of $16.8 million for the nine months ended September 30,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Normalized pro forma net earnings, normalized pro forma earnings per share and pro forma net income are non-</w:t>
      </w:r>
    </w:p>
    <w:p>
      <w:pPr>
        <w:sectPr>
          <w:pgSz w:w="11900" w:h="16838" w:orient="portrait"/>
          <w:cols w:equalWidth="0" w:num="1">
            <w:col w:w="11420"/>
          </w:cols>
          <w:pgMar w:left="240" w:top="280" w:right="239" w:bottom="1440" w:gutter="0" w:footer="0" w:header="0"/>
        </w:sectPr>
      </w:pPr>
    </w:p>
    <w:bookmarkStart w:id="5" w:name="page6"/>
    <w:bookmarkEnd w:id="5"/>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 GAAP measures and are reconciled to the financial statements further in this release. We believe that they are useful measures with which to assess the Company’s financial performance as they adjust for the effects of non-cash and other items that do not affect the Company’s ability to make distributions on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Pro Forma Cash Available for Common Dividends</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Pro forma cash available for distribution to common shareholders as dividends was $12.1 million for the three months ended September 30, 2008 and $34.8 million for the nine months ended September 30, 2008. Pro forma cash available for common dividends is a non-US GAAP measure and is reconciled to the financial statements further in this release. We believe that it is a useful measure with which to assess the Company’s operating performance as it adjusts for the effects of non-cash items that do not affect the Company’s ability to make distributions on common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Dividend</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 dividend of $0.23 per Class A common share has been declared for the quarter ended September 30, 2008 which will absorb a total of approximately $7.8 million. Class B and Class C common shares are not entitled to dividend for the quarter ended September 30, 2008. The units will receive the same dividend as the Class A common shares. The dividend will be paid on November 28, 2008 to shareholders of record as of November 21, 2008.</w:t>
      </w:r>
    </w:p>
    <w:p>
      <w:pPr>
        <w:spacing w:after="0" w:line="10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Mr Webber, commented, “We are pleased to have achieved another important objective and declared our first regular quarterly distribution of $0.23 per share. Following the completion of our merger on August 14, 2008, we have now declared two dividends for a total of $0.46 per share. Going forward, we intend to build upon this success and remain committed to distributing sizeable and consistent dividends while pursuing additional opportunities that create long-term shareholder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Fleet Utilization</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table below shows vessel utilization for each of the quarters in 2008. Global Ship Lease commenced its business of time chartering out vessels in mid December 2007 and consequently comparative figures for 2007 are not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Three</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w:t>
            </w:r>
          </w:p>
        </w:tc>
        <w:tc>
          <w:tcPr>
            <w:tcW w:w="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months</w:t>
            </w:r>
          </w:p>
        </w:tc>
        <w:tc>
          <w:tcPr>
            <w:tcW w:w="260" w:type="dxa"/>
            <w:vAlign w:val="bottom"/>
          </w:tcPr>
          <w:p>
            <w:pPr>
              <w:spacing w:after="0"/>
              <w:rPr>
                <w:sz w:val="12"/>
                <w:szCs w:val="12"/>
                <w:color w:val="auto"/>
              </w:rPr>
            </w:pPr>
          </w:p>
        </w:tc>
        <w:tc>
          <w:tcPr>
            <w:tcW w:w="9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months</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ended</w:t>
            </w: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center"/>
              <w:ind w:right="112"/>
              <w:spacing w:after="0" w:line="149" w:lineRule="exact"/>
              <w:rPr>
                <w:sz w:val="20"/>
                <w:szCs w:val="20"/>
                <w:color w:val="auto"/>
              </w:rPr>
            </w:pPr>
            <w:r>
              <w:rPr>
                <w:rFonts w:ascii="Arial" w:cs="Arial" w:eastAsia="Arial" w:hAnsi="Arial"/>
                <w:sz w:val="14"/>
                <w:szCs w:val="14"/>
                <w:b w:val="1"/>
                <w:bCs w:val="1"/>
                <w:color w:val="auto"/>
                <w:w w:val="81"/>
              </w:rPr>
              <w:t>Sept 30,</w:t>
            </w:r>
          </w:p>
        </w:tc>
        <w:tc>
          <w:tcPr>
            <w:tcW w:w="26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 31,</w:t>
            </w: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Sept 30,</w:t>
            </w:r>
          </w:p>
        </w:tc>
        <w:tc>
          <w:tcPr>
            <w:tcW w:w="0" w:type="dxa"/>
            <w:vAlign w:val="bottom"/>
          </w:tcPr>
          <w:p>
            <w:pPr>
              <w:spacing w:after="0"/>
              <w:rPr>
                <w:sz w:val="1"/>
                <w:szCs w:val="1"/>
                <w:color w:val="auto"/>
              </w:rPr>
            </w:pPr>
          </w:p>
        </w:tc>
      </w:tr>
      <w:tr>
        <w:trPr>
          <w:trHeight w:val="161"/>
        </w:trPr>
        <w:tc>
          <w:tcPr>
            <w:tcW w:w="6760" w:type="dxa"/>
            <w:vAlign w:val="bottom"/>
            <w:gridSpan w:val="4"/>
          </w:tcPr>
          <w:p>
            <w:pPr>
              <w:spacing w:after="0"/>
              <w:rPr>
                <w:sz w:val="20"/>
                <w:szCs w:val="20"/>
                <w:color w:val="auto"/>
              </w:rPr>
            </w:pPr>
            <w:r>
              <w:rPr>
                <w:rFonts w:ascii="Arial" w:cs="Arial" w:eastAsia="Arial" w:hAnsi="Arial"/>
                <w:sz w:val="14"/>
                <w:szCs w:val="14"/>
                <w:b w:val="1"/>
                <w:bCs w:val="1"/>
                <w:color w:val="auto"/>
              </w:rPr>
              <w:t>Days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6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1,104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Planned offhire - scheduled drydock</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Unplanned offhire - bottom damage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Unplanned offhire - other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40" w:type="dxa"/>
            <w:vAlign w:val="bottom"/>
            <w:gridSpan w:val="3"/>
          </w:tcPr>
          <w:p>
            <w:pPr>
              <w:jc w:val="right"/>
              <w:ind w:right="52"/>
              <w:spacing w:after="0"/>
              <w:rPr>
                <w:sz w:val="20"/>
                <w:szCs w:val="20"/>
                <w:color w:val="auto"/>
              </w:rPr>
            </w:pPr>
            <w:r>
              <w:rPr>
                <w:rFonts w:ascii="Arial" w:cs="Arial" w:eastAsia="Arial" w:hAnsi="Arial"/>
                <w:sz w:val="18"/>
                <w:szCs w:val="18"/>
                <w:color w:val="auto"/>
              </w:rPr>
              <w:t>(4)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days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3"/>
              </w:rPr>
              <w:t>1,087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1,047</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Utilization</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98.4%</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99.4%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3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760" w:type="dxa"/>
            <w:vAlign w:val="bottom"/>
            <w:gridSpan w:val="4"/>
          </w:tcPr>
          <w:p>
            <w:pPr>
              <w:spacing w:after="0"/>
              <w:rPr>
                <w:sz w:val="20"/>
                <w:szCs w:val="20"/>
                <w:color w:val="auto"/>
              </w:rPr>
            </w:pPr>
            <w:r>
              <w:rPr>
                <w:rFonts w:ascii="Arial" w:cs="Arial" w:eastAsia="Arial" w:hAnsi="Arial"/>
                <w:sz w:val="18"/>
                <w:szCs w:val="18"/>
                <w:color w:val="auto"/>
              </w:rPr>
              <w:t>Fleet</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60" w:type="dxa"/>
            <w:vAlign w:val="bottom"/>
            <w:gridSpan w:val="4"/>
          </w:tcPr>
          <w:p>
            <w:pPr>
              <w:spacing w:after="0"/>
              <w:rPr>
                <w:sz w:val="20"/>
                <w:szCs w:val="20"/>
                <w:color w:val="auto"/>
              </w:rPr>
            </w:pPr>
            <w:r>
              <w:rPr>
                <w:rFonts w:ascii="Arial" w:cs="Arial" w:eastAsia="Arial" w:hAnsi="Arial"/>
                <w:sz w:val="18"/>
                <w:szCs w:val="18"/>
                <w:color w:val="auto"/>
                <w:w w:val="99"/>
              </w:rPr>
              <w:t>The following table provides information about the initial fleet chartered to CMA CGM.</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Charter</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Remaining</w:t>
            </w: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Capacity in</w:t>
            </w:r>
          </w:p>
        </w:tc>
        <w:tc>
          <w:tcPr>
            <w:tcW w:w="160" w:type="dxa"/>
            <w:vAlign w:val="bottom"/>
          </w:tcPr>
          <w:p>
            <w:pPr>
              <w:spacing w:after="0"/>
              <w:rPr>
                <w:sz w:val="12"/>
                <w:szCs w:val="12"/>
                <w:color w:val="auto"/>
              </w:rPr>
            </w:pPr>
          </w:p>
        </w:tc>
        <w:tc>
          <w:tcPr>
            <w:tcW w:w="72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2"/>
                <w:szCs w:val="12"/>
                <w:color w:val="auto"/>
              </w:rPr>
            </w:pPr>
          </w:p>
        </w:tc>
        <w:tc>
          <w:tcPr>
            <w:tcW w:w="12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Date</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Duration</w:t>
            </w: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1"/>
        </w:trPr>
        <w:tc>
          <w:tcPr>
            <w:tcW w:w="676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TEUs (1)</w:t>
            </w:r>
          </w:p>
        </w:tc>
        <w:tc>
          <w:tcPr>
            <w:tcW w:w="160" w:type="dxa"/>
            <w:vAlign w:val="bottom"/>
          </w:tcPr>
          <w:p>
            <w:pPr>
              <w:spacing w:after="0"/>
              <w:rPr>
                <w:sz w:val="14"/>
                <w:szCs w:val="14"/>
                <w:color w:val="auto"/>
              </w:rPr>
            </w:pPr>
          </w:p>
        </w:tc>
        <w:tc>
          <w:tcPr>
            <w:tcW w:w="72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89"/>
              </w:rPr>
              <w:t>Built</w:t>
            </w:r>
          </w:p>
        </w:tc>
        <w:tc>
          <w:tcPr>
            <w:tcW w:w="200" w:type="dxa"/>
            <w:vAlign w:val="bottom"/>
          </w:tcPr>
          <w:p>
            <w:pPr>
              <w:spacing w:after="0"/>
              <w:rPr>
                <w:sz w:val="14"/>
                <w:szCs w:val="14"/>
                <w:color w:val="auto"/>
              </w:rPr>
            </w:pPr>
          </w:p>
        </w:tc>
        <w:tc>
          <w:tcPr>
            <w:tcW w:w="12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9"/>
              </w:rPr>
              <w:t>by GSL</w:t>
            </w: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Ville d’Orion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4,113</w:t>
            </w:r>
          </w:p>
        </w:tc>
        <w:tc>
          <w:tcPr>
            <w:tcW w:w="880" w:type="dxa"/>
            <w:vAlign w:val="bottom"/>
            <w:tcBorders>
              <w:right w:val="single" w:sz="8" w:color="CCEEFF"/>
            </w:tcBorders>
            <w:gridSpan w:val="4"/>
            <w:shd w:val="clear" w:color="auto" w:fill="CCEEFF"/>
          </w:tcPr>
          <w:p>
            <w:pPr>
              <w:jc w:val="center"/>
              <w:ind w:right="112"/>
              <w:spacing w:after="0"/>
              <w:rPr>
                <w:sz w:val="20"/>
                <w:szCs w:val="20"/>
                <w:color w:val="auto"/>
              </w:rPr>
            </w:pPr>
            <w:r>
              <w:rPr>
                <w:rFonts w:ascii="Arial" w:cs="Arial" w:eastAsia="Arial" w:hAnsi="Arial"/>
                <w:sz w:val="18"/>
                <w:szCs w:val="18"/>
                <w:color w:val="auto"/>
                <w:w w:val="89"/>
              </w:rPr>
              <w:t>1997</w:t>
            </w:r>
          </w:p>
        </w:tc>
        <w:tc>
          <w:tcPr>
            <w:tcW w:w="1420" w:type="dxa"/>
            <w:vAlign w:val="bottom"/>
            <w:tcBorders>
              <w:right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4,113</w:t>
            </w:r>
          </w:p>
        </w:tc>
        <w:tc>
          <w:tcPr>
            <w:tcW w:w="880" w:type="dxa"/>
            <w:vAlign w:val="bottom"/>
            <w:gridSpan w:val="4"/>
          </w:tcPr>
          <w:p>
            <w:pPr>
              <w:jc w:val="center"/>
              <w:ind w:right="112"/>
              <w:spacing w:after="0"/>
              <w:rPr>
                <w:sz w:val="20"/>
                <w:szCs w:val="20"/>
                <w:color w:val="auto"/>
              </w:rPr>
            </w:pPr>
            <w:r>
              <w:rPr>
                <w:rFonts w:ascii="Arial" w:cs="Arial" w:eastAsia="Arial" w:hAnsi="Arial"/>
                <w:sz w:val="18"/>
                <w:szCs w:val="18"/>
                <w:color w:val="auto"/>
                <w:w w:val="89"/>
              </w:rPr>
              <w:t>1996</w:t>
            </w:r>
          </w:p>
        </w:tc>
        <w:tc>
          <w:tcPr>
            <w:tcW w:w="1420" w:type="dxa"/>
            <w:vAlign w:val="bottom"/>
            <w:gridSpan w:val="5"/>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tcPr>
          <w:p>
            <w:pPr>
              <w:jc w:val="center"/>
              <w:ind w:left="59"/>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w:t>
            </w:r>
          </w:p>
        </w:tc>
        <w:tc>
          <w:tcPr>
            <w:tcW w:w="880" w:type="dxa"/>
            <w:vAlign w:val="bottom"/>
            <w:tcBorders>
              <w:right w:val="single" w:sz="8" w:color="CCEEFF"/>
            </w:tcBorders>
            <w:gridSpan w:val="4"/>
            <w:shd w:val="clear" w:color="auto" w:fill="CCEEFF"/>
          </w:tcPr>
          <w:p>
            <w:pPr>
              <w:jc w:val="center"/>
              <w:ind w:right="112"/>
              <w:spacing w:after="0"/>
              <w:rPr>
                <w:sz w:val="20"/>
                <w:szCs w:val="20"/>
                <w:color w:val="auto"/>
              </w:rPr>
            </w:pPr>
            <w:r>
              <w:rPr>
                <w:rFonts w:ascii="Arial" w:cs="Arial" w:eastAsia="Arial" w:hAnsi="Arial"/>
                <w:sz w:val="18"/>
                <w:szCs w:val="18"/>
                <w:color w:val="auto"/>
                <w:w w:val="89"/>
              </w:rPr>
              <w:t>1999</w:t>
            </w:r>
          </w:p>
        </w:tc>
        <w:tc>
          <w:tcPr>
            <w:tcW w:w="1420" w:type="dxa"/>
            <w:vAlign w:val="bottom"/>
            <w:tcBorders>
              <w:right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79"/>
              </w:rPr>
              <w:t>8</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2,262</w:t>
            </w:r>
          </w:p>
        </w:tc>
        <w:tc>
          <w:tcPr>
            <w:tcW w:w="880" w:type="dxa"/>
            <w:vAlign w:val="bottom"/>
            <w:gridSpan w:val="4"/>
          </w:tcPr>
          <w:p>
            <w:pPr>
              <w:jc w:val="center"/>
              <w:ind w:right="112"/>
              <w:spacing w:after="0"/>
              <w:rPr>
                <w:sz w:val="20"/>
                <w:szCs w:val="20"/>
                <w:color w:val="auto"/>
              </w:rPr>
            </w:pPr>
            <w:r>
              <w:rPr>
                <w:rFonts w:ascii="Arial" w:cs="Arial" w:eastAsia="Arial" w:hAnsi="Arial"/>
                <w:sz w:val="18"/>
                <w:szCs w:val="18"/>
                <w:color w:val="auto"/>
                <w:w w:val="89"/>
              </w:rPr>
              <w:t>1999</w:t>
            </w:r>
          </w:p>
        </w:tc>
        <w:tc>
          <w:tcPr>
            <w:tcW w:w="1420" w:type="dxa"/>
            <w:vAlign w:val="bottom"/>
            <w:gridSpan w:val="5"/>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tcPr>
          <w:p>
            <w:pPr>
              <w:jc w:val="center"/>
              <w:ind w:left="59"/>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MOL Rainbow</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880" w:type="dxa"/>
            <w:vAlign w:val="bottom"/>
            <w:tcBorders>
              <w:right w:val="single" w:sz="8" w:color="CCEEFF"/>
            </w:tcBorders>
            <w:gridSpan w:val="4"/>
            <w:shd w:val="clear" w:color="auto" w:fill="CCEEFF"/>
          </w:tcPr>
          <w:p>
            <w:pPr>
              <w:jc w:val="center"/>
              <w:ind w:right="112"/>
              <w:spacing w:after="0"/>
              <w:rPr>
                <w:sz w:val="20"/>
                <w:szCs w:val="20"/>
                <w:color w:val="auto"/>
              </w:rPr>
            </w:pPr>
            <w:r>
              <w:rPr>
                <w:rFonts w:ascii="Arial" w:cs="Arial" w:eastAsia="Arial" w:hAnsi="Arial"/>
                <w:sz w:val="18"/>
                <w:szCs w:val="18"/>
                <w:color w:val="auto"/>
                <w:w w:val="89"/>
              </w:rPr>
              <w:t>2003</w:t>
            </w:r>
          </w:p>
        </w:tc>
        <w:tc>
          <w:tcPr>
            <w:tcW w:w="1420" w:type="dxa"/>
            <w:vAlign w:val="bottom"/>
            <w:tcBorders>
              <w:right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2,207</w:t>
            </w:r>
          </w:p>
        </w:tc>
        <w:tc>
          <w:tcPr>
            <w:tcW w:w="880" w:type="dxa"/>
            <w:vAlign w:val="bottom"/>
            <w:gridSpan w:val="4"/>
          </w:tcPr>
          <w:p>
            <w:pPr>
              <w:jc w:val="center"/>
              <w:ind w:right="112"/>
              <w:spacing w:after="0"/>
              <w:rPr>
                <w:sz w:val="20"/>
                <w:szCs w:val="20"/>
                <w:color w:val="auto"/>
              </w:rPr>
            </w:pPr>
            <w:r>
              <w:rPr>
                <w:rFonts w:ascii="Arial" w:cs="Arial" w:eastAsia="Arial" w:hAnsi="Arial"/>
                <w:sz w:val="18"/>
                <w:szCs w:val="18"/>
                <w:color w:val="auto"/>
                <w:w w:val="89"/>
              </w:rPr>
              <w:t>2002</w:t>
            </w:r>
          </w:p>
        </w:tc>
        <w:tc>
          <w:tcPr>
            <w:tcW w:w="1420" w:type="dxa"/>
            <w:vAlign w:val="bottom"/>
            <w:gridSpan w:val="5"/>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tcPr>
          <w:p>
            <w:pPr>
              <w:jc w:val="center"/>
              <w:ind w:left="59"/>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880" w:type="dxa"/>
            <w:vAlign w:val="bottom"/>
            <w:tcBorders>
              <w:right w:val="single" w:sz="8" w:color="CCEEFF"/>
            </w:tcBorders>
            <w:gridSpan w:val="4"/>
            <w:shd w:val="clear" w:color="auto" w:fill="CCEEFF"/>
          </w:tcPr>
          <w:p>
            <w:pPr>
              <w:jc w:val="center"/>
              <w:ind w:right="112"/>
              <w:spacing w:after="0"/>
              <w:rPr>
                <w:sz w:val="20"/>
                <w:szCs w:val="20"/>
                <w:color w:val="auto"/>
              </w:rPr>
            </w:pPr>
            <w:r>
              <w:rPr>
                <w:rFonts w:ascii="Arial" w:cs="Arial" w:eastAsia="Arial" w:hAnsi="Arial"/>
                <w:sz w:val="18"/>
                <w:szCs w:val="18"/>
                <w:color w:val="auto"/>
                <w:w w:val="89"/>
              </w:rPr>
              <w:t>2002</w:t>
            </w:r>
          </w:p>
        </w:tc>
        <w:tc>
          <w:tcPr>
            <w:tcW w:w="1420" w:type="dxa"/>
            <w:vAlign w:val="bottom"/>
            <w:tcBorders>
              <w:right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2,207</w:t>
            </w:r>
          </w:p>
        </w:tc>
        <w:tc>
          <w:tcPr>
            <w:tcW w:w="880" w:type="dxa"/>
            <w:vAlign w:val="bottom"/>
            <w:gridSpan w:val="4"/>
          </w:tcPr>
          <w:p>
            <w:pPr>
              <w:jc w:val="center"/>
              <w:ind w:right="112"/>
              <w:spacing w:after="0"/>
              <w:rPr>
                <w:sz w:val="20"/>
                <w:szCs w:val="20"/>
                <w:color w:val="auto"/>
              </w:rPr>
            </w:pPr>
            <w:r>
              <w:rPr>
                <w:rFonts w:ascii="Arial" w:cs="Arial" w:eastAsia="Arial" w:hAnsi="Arial"/>
                <w:sz w:val="18"/>
                <w:szCs w:val="18"/>
                <w:color w:val="auto"/>
                <w:w w:val="89"/>
              </w:rPr>
              <w:t>2002</w:t>
            </w:r>
          </w:p>
        </w:tc>
        <w:tc>
          <w:tcPr>
            <w:tcW w:w="1420" w:type="dxa"/>
            <w:vAlign w:val="bottom"/>
            <w:gridSpan w:val="5"/>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tcPr>
          <w:p>
            <w:pPr>
              <w:jc w:val="center"/>
              <w:ind w:left="59"/>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w:t>
            </w:r>
          </w:p>
        </w:tc>
        <w:tc>
          <w:tcPr>
            <w:tcW w:w="880" w:type="dxa"/>
            <w:vAlign w:val="bottom"/>
            <w:tcBorders>
              <w:right w:val="single" w:sz="8" w:color="CCEEFF"/>
            </w:tcBorders>
            <w:gridSpan w:val="4"/>
            <w:shd w:val="clear" w:color="auto" w:fill="CCEEFF"/>
          </w:tcPr>
          <w:p>
            <w:pPr>
              <w:jc w:val="center"/>
              <w:ind w:right="112"/>
              <w:spacing w:after="0"/>
              <w:rPr>
                <w:sz w:val="20"/>
                <w:szCs w:val="20"/>
                <w:color w:val="auto"/>
              </w:rPr>
            </w:pPr>
            <w:r>
              <w:rPr>
                <w:rFonts w:ascii="Arial" w:cs="Arial" w:eastAsia="Arial" w:hAnsi="Arial"/>
                <w:sz w:val="18"/>
                <w:szCs w:val="18"/>
                <w:color w:val="auto"/>
                <w:w w:val="89"/>
              </w:rPr>
              <w:t>2001</w:t>
            </w:r>
          </w:p>
        </w:tc>
        <w:tc>
          <w:tcPr>
            <w:tcW w:w="1420" w:type="dxa"/>
            <w:vAlign w:val="bottom"/>
            <w:tcBorders>
              <w:right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79"/>
              </w:rPr>
              <w:t>8</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880" w:type="dxa"/>
            <w:vAlign w:val="bottom"/>
            <w:gridSpan w:val="4"/>
          </w:tcPr>
          <w:p>
            <w:pPr>
              <w:jc w:val="center"/>
              <w:ind w:right="112"/>
              <w:spacing w:after="0"/>
              <w:rPr>
                <w:sz w:val="20"/>
                <w:szCs w:val="20"/>
                <w:color w:val="auto"/>
              </w:rPr>
            </w:pPr>
            <w:r>
              <w:rPr>
                <w:rFonts w:ascii="Arial" w:cs="Arial" w:eastAsia="Arial" w:hAnsi="Arial"/>
                <w:sz w:val="18"/>
                <w:szCs w:val="18"/>
                <w:color w:val="auto"/>
                <w:w w:val="89"/>
              </w:rPr>
              <w:t>2001</w:t>
            </w:r>
          </w:p>
        </w:tc>
        <w:tc>
          <w:tcPr>
            <w:tcW w:w="1420" w:type="dxa"/>
            <w:vAlign w:val="bottom"/>
            <w:gridSpan w:val="5"/>
          </w:tcPr>
          <w:p>
            <w:pPr>
              <w:jc w:val="center"/>
              <w:ind w:right="340"/>
              <w:spacing w:after="0"/>
              <w:rPr>
                <w:sz w:val="20"/>
                <w:szCs w:val="20"/>
                <w:color w:val="auto"/>
              </w:rPr>
            </w:pPr>
            <w:r>
              <w:rPr>
                <w:rFonts w:ascii="Arial" w:cs="Arial" w:eastAsia="Arial" w:hAnsi="Arial"/>
                <w:sz w:val="18"/>
                <w:szCs w:val="18"/>
                <w:color w:val="auto"/>
                <w:w w:val="84"/>
              </w:rPr>
              <w:t>December 2007</w:t>
            </w:r>
          </w:p>
        </w:tc>
        <w:tc>
          <w:tcPr>
            <w:tcW w:w="460" w:type="dxa"/>
            <w:vAlign w:val="bottom"/>
          </w:tcPr>
          <w:p>
            <w:pPr>
              <w:jc w:val="center"/>
              <w:ind w:left="59"/>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5,100</w:t>
            </w:r>
          </w:p>
        </w:tc>
        <w:tc>
          <w:tcPr>
            <w:tcW w:w="880" w:type="dxa"/>
            <w:vAlign w:val="bottom"/>
            <w:tcBorders>
              <w:right w:val="single" w:sz="8" w:color="CCEEFF"/>
            </w:tcBorders>
            <w:gridSpan w:val="4"/>
            <w:shd w:val="clear" w:color="auto" w:fill="CCEEFF"/>
          </w:tcPr>
          <w:p>
            <w:pPr>
              <w:jc w:val="center"/>
              <w:ind w:right="112"/>
              <w:spacing w:after="0"/>
              <w:rPr>
                <w:sz w:val="20"/>
                <w:szCs w:val="20"/>
                <w:color w:val="auto"/>
              </w:rPr>
            </w:pPr>
            <w:r>
              <w:rPr>
                <w:rFonts w:ascii="Arial" w:cs="Arial" w:eastAsia="Arial" w:hAnsi="Arial"/>
                <w:sz w:val="18"/>
                <w:szCs w:val="18"/>
                <w:color w:val="auto"/>
                <w:w w:val="89"/>
              </w:rPr>
              <w:t>2007</w:t>
            </w:r>
          </w:p>
        </w:tc>
        <w:tc>
          <w:tcPr>
            <w:tcW w:w="1420" w:type="dxa"/>
            <w:vAlign w:val="bottom"/>
            <w:tcBorders>
              <w:right w:val="single" w:sz="8" w:color="CCEEFF"/>
            </w:tcBorders>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6"/>
              </w:rPr>
              <w:t>January 2008</w:t>
            </w:r>
          </w:p>
        </w:tc>
        <w:tc>
          <w:tcPr>
            <w:tcW w:w="4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79"/>
              </w:rPr>
              <w:t>12</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CMA CGM Chateau d’lf</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c>
          <w:tcPr>
            <w:tcW w:w="880" w:type="dxa"/>
            <w:vAlign w:val="bottom"/>
            <w:gridSpan w:val="4"/>
          </w:tcPr>
          <w:p>
            <w:pPr>
              <w:jc w:val="center"/>
              <w:ind w:right="112"/>
              <w:spacing w:after="0"/>
              <w:rPr>
                <w:sz w:val="20"/>
                <w:szCs w:val="20"/>
                <w:color w:val="auto"/>
              </w:rPr>
            </w:pPr>
            <w:r>
              <w:rPr>
                <w:rFonts w:ascii="Arial" w:cs="Arial" w:eastAsia="Arial" w:hAnsi="Arial"/>
                <w:sz w:val="18"/>
                <w:szCs w:val="18"/>
                <w:color w:val="auto"/>
                <w:w w:val="89"/>
              </w:rPr>
              <w:t>2007</w:t>
            </w:r>
          </w:p>
        </w:tc>
        <w:tc>
          <w:tcPr>
            <w:tcW w:w="1420" w:type="dxa"/>
            <w:vAlign w:val="bottom"/>
            <w:gridSpan w:val="5"/>
          </w:tcPr>
          <w:p>
            <w:pPr>
              <w:jc w:val="center"/>
              <w:ind w:right="400"/>
              <w:spacing w:after="0"/>
              <w:rPr>
                <w:sz w:val="20"/>
                <w:szCs w:val="20"/>
                <w:color w:val="auto"/>
              </w:rPr>
            </w:pPr>
            <w:r>
              <w:rPr>
                <w:rFonts w:ascii="Arial" w:cs="Arial" w:eastAsia="Arial" w:hAnsi="Arial"/>
                <w:sz w:val="18"/>
                <w:szCs w:val="18"/>
                <w:color w:val="auto"/>
                <w:w w:val="86"/>
              </w:rPr>
              <w:t>January 2008</w:t>
            </w:r>
          </w:p>
        </w:tc>
        <w:tc>
          <w:tcPr>
            <w:tcW w:w="460" w:type="dxa"/>
            <w:vAlign w:val="bottom"/>
          </w:tcPr>
          <w:p>
            <w:pPr>
              <w:jc w:val="center"/>
              <w:ind w:left="59"/>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Twenty-foot Equivalent Units.</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about the contracted fleet.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Delivery</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2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Capacity in</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Year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Duration</w:t>
            </w:r>
          </w:p>
        </w:tc>
        <w:tc>
          <w:tcPr>
            <w:tcW w:w="2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1"/>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TEUs (1)</w:t>
            </w: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Built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to GSL</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10,960</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CMA CGM</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$47,200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4,298</w:t>
            </w: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2006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2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14</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$25,350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CMA</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2006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CGM</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4,045</w:t>
            </w: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2006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2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14</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$25,350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CMA</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6,627</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2001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CGM</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Hull 789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4,250</w:t>
            </w: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2010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October 2010</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ZISS</w:t>
            </w:r>
          </w:p>
        </w:tc>
        <w:tc>
          <w:tcPr>
            <w:tcW w:w="740" w:type="dxa"/>
            <w:vAlign w:val="bottom"/>
            <w:gridSpan w:val="2"/>
          </w:tcPr>
          <w:p>
            <w:pPr>
              <w:jc w:val="right"/>
              <w:ind w:right="72"/>
              <w:spacing w:after="0"/>
              <w:rPr>
                <w:sz w:val="20"/>
                <w:szCs w:val="20"/>
                <w:color w:val="auto"/>
              </w:rPr>
            </w:pPr>
            <w:r>
              <w:rPr>
                <w:rFonts w:ascii="Arial" w:cs="Arial" w:eastAsia="Arial" w:hAnsi="Arial"/>
                <w:sz w:val="18"/>
                <w:szCs w:val="18"/>
                <w:color w:val="auto"/>
              </w:rPr>
              <w:t>7-8</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790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w:t>
            </w: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2010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ZISS</w:t>
            </w: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Twenty-foot Equivalent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and Webcast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will hold a conference call to discuss the Company’s results for the third quarter of 2008 today, Thursday, November 13, 2008 at 11:00 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Eastern Time. There are two ways to access the conference call:</w:t>
      </w:r>
    </w:p>
    <w:p>
      <w:pPr>
        <w:spacing w:after="0" w:line="8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Dial-in: (866) 550-6338 or (347) 284-6930; Passcode: 1342187</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11:00 a.m. Eastern Time to ensure a prompt start to the call.</w:t>
      </w:r>
    </w:p>
    <w:p>
      <w:pPr>
        <w:spacing w:after="0" w:line="90" w:lineRule="exact"/>
        <w:rPr>
          <w:sz w:val="20"/>
          <w:szCs w:val="20"/>
          <w:color w:val="auto"/>
        </w:rPr>
      </w:pPr>
    </w:p>
    <w:p>
      <w:pPr>
        <w:ind w:left="920" w:right="7380" w:hanging="466"/>
        <w:spacing w:after="0" w:line="370" w:lineRule="auto"/>
        <w:tabs>
          <w:tab w:leader="none" w:pos="898"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Live Internet webcast and slide presentation: </w:t>
      </w:r>
      <w:r>
        <w:rPr>
          <w:rFonts w:ascii="Arial" w:cs="Arial" w:eastAsia="Arial" w:hAnsi="Arial"/>
          <w:sz w:val="15"/>
          <w:szCs w:val="15"/>
          <w:u w:val="single" w:color="auto"/>
          <w:color w:val="auto"/>
        </w:rPr>
        <w:t>http://www.globalshiplease.com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If you are unable to participate at this time, a replay of the call will be available through Thursday, November 27, 2008 at (888) 203-1112 or (719) 457-0820.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Enter the code 4612868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About Global Ship Lease</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Global Ship Lease is a rapidly growing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Global Ship Lease currently owns 12 vessels and has contracts in place to purchase an additional seven vessels. The Company has contracted to purchase five vessels for $437 million from CMA CGM, four of which are expected to be delivered in December 2008 and one in July 2009. The Company also has contracts in place to purchase two newbuildings from German interests for approximately $77 million each which are expected to be delivered in the fourth quarter of 2010.</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Once all of the contracted vessels have been delivered, Global Ship Lease will have a 19 vessel fleet with total capacity of 74,797 TEU and a weighted average age of 5.9 years. All of the vessels including those contracted for future delivery are under long-term charters with an average remaining charter term of approximately 10 years.</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Reconciliation of Non-US GAAP 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Combination of Successor and Predecessor financial information</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combination of Successor and Predecessor financial information is a non-US GAAP measure and is reconciled to the financial statements below. The combination of Successor and Predecessor financial information is a non-GAAP quantitative measure which we believe will assist investors and analysts to assess our performance on periods presented. The combination of Successor and Predecessor financial information is not defined in accounting principles generally accepted in the United States and should not be considered to be an alternate to net earnings or any other financial metric required by such accounting principles.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Nine months ended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7"/>
              </w:rPr>
              <w:t>September 30,2008</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6"/>
              </w:rPr>
              <w:t>September 30,2008</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8"/>
              </w:rPr>
              <w:t>Predecessor</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Combined</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Successor</w:t>
            </w:r>
          </w:p>
        </w:tc>
        <w:tc>
          <w:tcPr>
            <w:tcW w:w="1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0"/>
              </w:rPr>
              <w:t>Predecessor</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23,912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12,790</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55,883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3,980</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3,908</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7,888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3,980</w:t>
            </w:r>
          </w:p>
        </w:tc>
        <w:tc>
          <w:tcPr>
            <w:tcW w:w="18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17,893</w:t>
            </w:r>
          </w:p>
        </w:tc>
        <w:tc>
          <w:tcPr>
            <w:tcW w:w="620" w:type="dxa"/>
            <w:vAlign w:val="bottom"/>
          </w:tcPr>
          <w:p>
            <w:pPr>
              <w:jc w:val="right"/>
              <w:spacing w:after="0"/>
              <w:rPr>
                <w:sz w:val="20"/>
                <w:szCs w:val="20"/>
                <w:color w:val="auto"/>
              </w:rPr>
            </w:pPr>
            <w:r>
              <w:rPr>
                <w:rFonts w:ascii="Arial" w:cs="Arial" w:eastAsia="Arial" w:hAnsi="Arial"/>
                <w:sz w:val="18"/>
                <w:szCs w:val="18"/>
                <w:color w:val="auto"/>
              </w:rPr>
              <w:t>21,873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484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1,510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1,026</w:t>
            </w:r>
          </w:p>
        </w:tc>
        <w:tc>
          <w:tcPr>
            <w:tcW w:w="18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2,306</w:t>
            </w:r>
          </w:p>
        </w:tc>
        <w:tc>
          <w:tcPr>
            <w:tcW w:w="620" w:type="dxa"/>
            <w:vAlign w:val="bottom"/>
          </w:tcPr>
          <w:p>
            <w:pPr>
              <w:jc w:val="right"/>
              <w:spacing w:after="0"/>
              <w:rPr>
                <w:sz w:val="20"/>
                <w:szCs w:val="20"/>
                <w:color w:val="auto"/>
              </w:rPr>
            </w:pPr>
            <w:r>
              <w:rPr>
                <w:rFonts w:ascii="Arial" w:cs="Arial" w:eastAsia="Arial" w:hAnsi="Arial"/>
                <w:sz w:val="18"/>
                <w:szCs w:val="18"/>
                <w:color w:val="auto"/>
              </w:rPr>
              <w:t>3,332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Expense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(187)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7,811</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31,914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(expense)</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4,435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9,414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4,979</w:t>
            </w:r>
          </w:p>
        </w:tc>
        <w:tc>
          <w:tcPr>
            <w:tcW w:w="180" w:type="dxa"/>
            <w:vAlign w:val="bottom"/>
            <w:tcBorders>
              <w:right w:val="single" w:sz="8" w:color="auto"/>
            </w:tcBorders>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23,969</w:t>
            </w:r>
          </w:p>
        </w:tc>
        <w:tc>
          <w:tcPr>
            <w:tcW w:w="620" w:type="dxa"/>
            <w:vAlign w:val="bottom"/>
          </w:tcPr>
          <w:p>
            <w:pPr>
              <w:jc w:val="right"/>
              <w:spacing w:after="0"/>
              <w:rPr>
                <w:sz w:val="20"/>
                <w:szCs w:val="20"/>
                <w:color w:val="auto"/>
              </w:rPr>
            </w:pPr>
            <w:r>
              <w:rPr>
                <w:rFonts w:ascii="Arial" w:cs="Arial" w:eastAsia="Arial" w:hAnsi="Arial"/>
                <w:sz w:val="18"/>
                <w:szCs w:val="18"/>
                <w:color w:val="auto"/>
              </w:rPr>
              <w:t>28,948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20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(3,022)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(4,217)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(1,195)</w:t>
            </w:r>
          </w:p>
        </w:tc>
        <w:tc>
          <w:tcPr>
            <w:tcW w:w="180" w:type="dxa"/>
            <w:vAlign w:val="bottom"/>
            <w:tcBorders>
              <w:right w:val="single" w:sz="8" w:color="auto"/>
            </w:tcBorders>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(17,600)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Realised and unrealised gain on derivatives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(4,307)</w:t>
            </w:r>
          </w:p>
        </w:tc>
        <w:tc>
          <w:tcPr>
            <w:tcW w:w="20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(4,307)</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Income (expense) before income taxes</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200" w:type="dxa"/>
            <w:vAlign w:val="bottom"/>
            <w:tcBorders>
              <w:right w:val="single" w:sz="8" w:color="auto"/>
            </w:tcBorders>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80" w:type="dxa"/>
            <w:vAlign w:val="bottom"/>
            <w:tcBorders>
              <w:right w:val="single" w:sz="8" w:color="auto"/>
            </w:tcBorders>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9,542</w:t>
            </w:r>
          </w:p>
        </w:tc>
        <w:tc>
          <w:tcPr>
            <w:tcW w:w="620" w:type="dxa"/>
            <w:vAlign w:val="bottom"/>
          </w:tcPr>
          <w:p>
            <w:pPr>
              <w:jc w:val="right"/>
              <w:spacing w:after="0"/>
              <w:rPr>
                <w:sz w:val="20"/>
                <w:szCs w:val="20"/>
                <w:color w:val="auto"/>
              </w:rPr>
            </w:pPr>
            <w:r>
              <w:rPr>
                <w:rFonts w:ascii="Arial" w:cs="Arial" w:eastAsia="Arial" w:hAnsi="Arial"/>
                <w:sz w:val="18"/>
                <w:szCs w:val="18"/>
                <w:color w:val="auto"/>
              </w:rPr>
              <w:t>9,237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income (expense)</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200" w:type="dxa"/>
            <w:vAlign w:val="bottom"/>
            <w:tcBorders>
              <w:right w:val="single" w:sz="8" w:color="auto"/>
            </w:tcBorders>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80" w:type="dxa"/>
            <w:vAlign w:val="bottom"/>
            <w:tcBorders>
              <w:right w:val="single" w:sz="8" w:color="auto"/>
            </w:tcBorders>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9,519</w:t>
            </w:r>
          </w:p>
        </w:tc>
        <w:tc>
          <w:tcPr>
            <w:tcW w:w="620" w:type="dxa"/>
            <w:vAlign w:val="bottom"/>
          </w:tcPr>
          <w:p>
            <w:pPr>
              <w:jc w:val="right"/>
              <w:spacing w:after="0"/>
              <w:rPr>
                <w:sz w:val="20"/>
                <w:szCs w:val="20"/>
                <w:color w:val="auto"/>
              </w:rPr>
            </w:pPr>
            <w:r>
              <w:rPr>
                <w:rFonts w:ascii="Arial" w:cs="Arial" w:eastAsia="Arial" w:hAnsi="Arial"/>
                <w:sz w:val="18"/>
                <w:szCs w:val="18"/>
                <w:color w:val="auto"/>
              </w:rPr>
              <w:t>9,204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 Pro forma Cash Available for Common Dividends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Pro forma cash available for common dividends is a non-US GAAP measure and is reconciled to the financial statements below. It represents net earnings adjusted for non-cash items including depreciation, amortization of deferred financing charges, accretion of earnings for intangible liabilities, charge for equity based incentive awards and change in fair value of derivatives. We also deduct an allowance for the cost of future drydockings which due to their substantial and periodic nature could otherwise distort quarterly cashflow available for common dividends. Further, in order to more appropriately reflect the Company’s ability to generate cash based on its present operations and capital structure, we have based the determination of pro forma cash available for common dividends upon pro forma financial information prepared in accordance with SFAS No 141, Business Combination (FAS 141) and disclosed in the interim unaudited combined financial statements for the three and</w:t>
      </w:r>
    </w:p>
    <w:p>
      <w:pPr>
        <w:sectPr>
          <w:pgSz w:w="11900" w:h="16838" w:orient="portrait"/>
          <w:cols w:equalWidth="0" w:num="1">
            <w:col w:w="11420"/>
          </w:cols>
          <w:pgMar w:left="240" w:top="280" w:right="239" w:bottom="1440" w:gutter="0" w:footer="0" w:header="0"/>
        </w:sectPr>
      </w:pPr>
    </w:p>
    <w:bookmarkStart w:id="8" w:name="page9"/>
    <w:bookmarkEnd w:id="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nine months periods ended September 30, 2008 which assumes that the merger had taken place at the beginning of each period presented. Pro forma cash available for common dividends is a non-US GAAP quantitative measure used to assist in the assessment of the Company’s ability to pay common dividends. Pro forma cash available for common dividends is not defined in accounting principles generally accepted in the United States and should not be considered to be an alternate to net earnings or any other financial metric required by such accounting principles. We believe that cash available for common dividends is a useful measure with which to assess the Company’s operating performance as it adjusts for the effects of non-cash items that do not affect the Company’s ability to make distributions on common shares.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Pro forma cash available for common dividends is not presented for periods prior to January 1, 2008 due to the different business model of the predecessor group.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Three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months</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 30,</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(unaudited)</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income</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Add: Pro forma depreciation</w:t>
            </w:r>
          </w:p>
        </w:tc>
        <w:tc>
          <w:tcPr>
            <w:tcW w:w="700" w:type="dxa"/>
            <w:vAlign w:val="bottom"/>
          </w:tcPr>
          <w:p>
            <w:pPr>
              <w:jc w:val="right"/>
              <w:spacing w:after="0"/>
              <w:rPr>
                <w:sz w:val="20"/>
                <w:szCs w:val="20"/>
                <w:color w:val="auto"/>
              </w:rPr>
            </w:pPr>
            <w:r>
              <w:rPr>
                <w:rFonts w:ascii="Arial" w:cs="Arial" w:eastAsia="Arial" w:hAnsi="Arial"/>
                <w:sz w:val="18"/>
                <w:szCs w:val="18"/>
                <w:color w:val="auto"/>
              </w:rPr>
              <w:t>5,559</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 charge for equity incentive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Pro forma amortization of deferred financing fees</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value of derivatives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Less: Allowance for future dry-docks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 revenue accretion for intangible liabilities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Pro forma cash from operations available for common dividends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12,052</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 Pro forma normalized net earnings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 forma normalized net earnings is a non-US GAAP measure and is reconciled to the financial statements below. It represents net earnings adjusted for the change in fair value of derivatives. Further, in order to more appropriately reflect the Company’s ability to generate cash based on its present operations and capital structure, we have based the determination of cash available for common dividends upon pro forma financial information prepared in accordance with FAS 141 and disclosed in the interim unaudited combined financial statements for the three and nine months periods ended September 30, 2008 which assumes that the merger had taken place at the beginning of each period presented. Pro forma normalized net earnings is a non-GAAP quantitative measure which we believe will assist investors and analysts who often adjust reported net earnings for non-operating items such as change in fair value of derivatives to eliminate the effect of non cash non-operating items that do not affect operating performance or cash for distribution as dividends. Pro forma normalized net earnings is not defined in accounting principles generally accepted in the United States and should not be considered to be an alternate to net earnings or any other financial metric required by such accounting principles. Pro forma normalized net earnings per share is calculated based on normalized net earnings and the actual or pro forma weighted average number of shares in the relevant period.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Pro forma normalized net earnings is not presented for periods prior to January 1, 2008 due to the different business model of the predecessor group.</w:t>
      </w:r>
    </w:p>
    <w:p>
      <w:pPr>
        <w:sectPr>
          <w:pgSz w:w="11900" w:h="16838" w:orient="portrait"/>
          <w:cols w:equalWidth="0" w:num="1">
            <w:col w:w="11420"/>
          </w:cols>
          <w:pgMar w:left="240" w:top="2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Three</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months</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Sept 30,</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46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share and per share data)</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earnings</w:t>
            </w:r>
          </w:p>
        </w:tc>
        <w:tc>
          <w:tcPr>
            <w:tcW w:w="5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Adjust: Change in value of derivatives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normalized net earnings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60" w:type="dxa"/>
            <w:vAlign w:val="bottom"/>
            <w:gridSpan w:val="3"/>
            <w:vMerge w:val="restart"/>
          </w:tcPr>
          <w:p>
            <w:pPr>
              <w:spacing w:after="0"/>
              <w:rPr>
                <w:sz w:val="20"/>
                <w:szCs w:val="20"/>
                <w:color w:val="auto"/>
              </w:rPr>
            </w:pPr>
            <w:r>
              <w:rPr>
                <w:rFonts w:ascii="Arial" w:cs="Arial" w:eastAsia="Arial" w:hAnsi="Arial"/>
                <w:sz w:val="18"/>
                <w:szCs w:val="18"/>
                <w:color w:val="auto"/>
              </w:rPr>
              <w:t>Pro forma weighted average number of Class A common shares outstanding (1)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33,469,295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33,465,684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41,968,943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43,517,487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on reported pro forma earnings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Net income (loss) per share on reported normalized pro forma earnings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90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weighted average number of shares basic and diluted is pro forma as if the merger had taken place at the beginning of the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220" w:right="6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the strength of the future growth of the shipping industry, including the rate of annual demand growth in the international containership industry;</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ectPr>
          <w:pgSz w:w="11900" w:h="16838" w:orient="portrait"/>
          <w:cols w:equalWidth="0" w:num="1">
            <w:col w:w="11420"/>
          </w:cols>
          <w:pgMar w:left="240" w:top="263" w:right="239" w:bottom="1440" w:gutter="0" w:footer="0" w:header="0"/>
        </w:sectPr>
      </w:pPr>
    </w:p>
    <w:bookmarkStart w:id="10" w:name="page11"/>
    <w:bookmarkEnd w:id="10"/>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Lease’s ability to repay its credit facility and grow using the available funds under its credit facility;</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the rate of growth of global and various regional economies;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incidental to vessel operation, including discharge of pollutants and vessel collisions;</w:t>
      </w:r>
    </w:p>
    <w:p>
      <w:pPr>
        <w:spacing w:after="0" w:line="90" w:lineRule="exact"/>
        <w:rPr>
          <w:rFonts w:ascii="Arial" w:cs="Arial" w:eastAsia="Arial" w:hAnsi="Arial"/>
          <w:sz w:val="18"/>
          <w:szCs w:val="18"/>
          <w:color w:val="auto"/>
        </w:rPr>
      </w:pPr>
    </w:p>
    <w:p>
      <w:pPr>
        <w:ind w:left="220" w:right="8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financing in the future to fund capital expenditures, acquisitions and other general corporate activities;</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Global Ship Lease’s expectations about the availability of ships to purchase, the time that it may take to construct new ships, or the useful lives of its ships;</w:t>
      </w:r>
    </w:p>
    <w:p>
      <w:pPr>
        <w:spacing w:after="0" w:line="113"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long-term, fixed-rate charters;</w:t>
      </w:r>
    </w:p>
    <w:p>
      <w:pPr>
        <w:spacing w:after="0" w:line="90" w:lineRule="exact"/>
        <w:rPr>
          <w:rFonts w:ascii="Arial" w:cs="Arial" w:eastAsia="Arial" w:hAnsi="Arial"/>
          <w:sz w:val="18"/>
          <w:szCs w:val="18"/>
          <w:color w:val="auto"/>
        </w:rPr>
      </w:pPr>
    </w:p>
    <w:p>
      <w:pPr>
        <w:ind w:left="220" w:right="36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laws and regulations; and</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INTERIM UNAUDITED COMBINED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PERIODS 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Statements of Income</w:t>
      </w:r>
    </w:p>
    <w:p>
      <w:pPr>
        <w:spacing w:after="0" w:line="90"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The interim unaudited combined financial statements for the three and nine months ended September 30, 2008 include two distinct reporting periods (i) up to August 14, 2008 (“Predecessor”) and (ii) August 15, 2008 through September 30, 2008 (“Successor”), which relate to the period preceding the merger and the period succeeding the merger, respectively. The Company derives virtually all of its revenue in 2008 from chartering out its vessels under long-term fixed rate time charters whereas, in 2007, it earned virtually all of its revenue from carrying</w:t>
      </w:r>
    </w:p>
    <w:p>
      <w:pPr>
        <w:sectPr>
          <w:pgSz w:w="11900" w:h="16838" w:orient="portrait"/>
          <w:cols w:equalWidth="0" w:num="1">
            <w:col w:w="11400"/>
          </w:cols>
          <w:pgMar w:left="240" w:top="280" w:right="259" w:bottom="1440" w:gutter="0" w:footer="0" w:header="0"/>
        </w:sectPr>
      </w:pPr>
    </w:p>
    <w:bookmarkStart w:id="11" w:name="page12"/>
    <w:bookmarkEnd w:id="11"/>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containerized cargo. The interim unaudited combined financial statements for the Successor period reflect the acquisition of Global Ship Lease, Inc. under the purchase method of accounting. The results of the Successor are not comparable to the results of the Predecessor due to the difference in the basis of presentation of purchase accounting as compared to historical cost. Further, the results for the periods after January 1, 2008 are not comparable to results prior to that date due to the different nature of the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60" w:type="dxa"/>
            <w:vAlign w:val="bottom"/>
            <w:vMerge w:val="restart"/>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Note</w:t>
            </w:r>
          </w:p>
        </w:tc>
        <w:tc>
          <w:tcPr>
            <w:tcW w:w="28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August 15 to</w:t>
            </w:r>
          </w:p>
        </w:tc>
        <w:tc>
          <w:tcPr>
            <w:tcW w:w="4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4"/>
              </w:rPr>
              <w:t>July 1 to</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84"/>
              </w:rPr>
              <w:t>September 30</w:t>
            </w:r>
          </w:p>
        </w:tc>
        <w:tc>
          <w:tcPr>
            <w:tcW w:w="300" w:type="dxa"/>
            <w:vAlign w:val="bottom"/>
          </w:tcPr>
          <w:p>
            <w:pPr>
              <w:spacing w:after="0"/>
              <w:rPr>
                <w:sz w:val="14"/>
                <w:szCs w:val="1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August 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Voyage revenue</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12,790</w:t>
            </w:r>
          </w:p>
        </w:tc>
        <w:tc>
          <w:tcPr>
            <w:tcW w:w="4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11,122</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Voyage expenses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2,848</w:t>
            </w:r>
          </w:p>
        </w:tc>
        <w:tc>
          <w:tcPr>
            <w:tcW w:w="4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4,979</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 Operating Income (Expense)</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(4,307)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taxes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in $ per share basic and diluted</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(15,170)</w:t>
            </w:r>
          </w:p>
        </w:tc>
        <w:tc>
          <w:tcPr>
            <w:tcW w:w="0" w:type="dxa"/>
            <w:vAlign w:val="bottom"/>
          </w:tcPr>
          <w:p>
            <w:pPr>
              <w:spacing w:after="0"/>
              <w:rPr>
                <w:sz w:val="1"/>
                <w:szCs w:val="1"/>
                <w:color w:val="auto"/>
              </w:rPr>
            </w:pPr>
          </w:p>
        </w:tc>
      </w:tr>
      <w:tr>
        <w:trPr>
          <w:trHeight w:val="458"/>
        </w:trPr>
        <w:tc>
          <w:tcPr>
            <w:tcW w:w="632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33,474,499</w:t>
            </w: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40,047,367</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5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January 1 to</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84"/>
              </w:rPr>
              <w:t>September 30</w:t>
            </w:r>
          </w:p>
        </w:tc>
        <w:tc>
          <w:tcPr>
            <w:tcW w:w="30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August 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Voyage revenue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2,072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12,790</w:t>
            </w:r>
          </w:p>
        </w:tc>
        <w:tc>
          <w:tcPr>
            <w:tcW w:w="5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57,955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253,838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Voyage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Depreciation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2,848</w:t>
            </w:r>
          </w:p>
        </w:tc>
        <w:tc>
          <w:tcPr>
            <w:tcW w:w="5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12,163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8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4,979</w:t>
            </w:r>
          </w:p>
        </w:tc>
        <w:tc>
          <w:tcPr>
            <w:tcW w:w="5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21,867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 Operating Income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5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(17,600)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(4,307)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in $ per share basic and 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74,170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33,474,499</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40,047,367</w:t>
            </w:r>
          </w:p>
        </w:tc>
        <w:tc>
          <w:tcPr>
            <w:tcW w:w="5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Balance Sheets</w:t>
      </w:r>
    </w:p>
    <w:p>
      <w:pPr>
        <w:spacing w:after="0" w:line="90"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interim unaudited combined financial statements for the three and nine months ended September 30, 2008 include two distinct reporting periods (i) up to August 14, 2008 (“Predecessor”) and (ii) August 15, 2008 through September 30, 2008 (“Successor”), which relate to the period preceding the merger and the period succeeding the merger, respectively. The Company derives virtually all of its revenue in 2008 from chartering out its vessels</w:t>
      </w:r>
    </w:p>
    <w:p>
      <w:pPr>
        <w:sectPr>
          <w:pgSz w:w="11900" w:h="16838" w:orient="portrait"/>
          <w:cols w:equalWidth="0" w:num="1">
            <w:col w:w="11420"/>
          </w:cols>
          <w:pgMar w:left="240" w:top="478" w:right="239" w:bottom="1440" w:gutter="0" w:footer="0" w:header="0"/>
        </w:sectPr>
      </w:pPr>
    </w:p>
    <w:bookmarkStart w:id="13" w:name="page14"/>
    <w:bookmarkEnd w:id="13"/>
    <w:p>
      <w:pPr>
        <w:ind w:right="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long-term fixed rate time charters whereas, in 2007, it earned virtually all of its revenue from carrying containerized cargo. The interim unaudited combined financial statements for the Successor period reflect the acquisition of Global Ship Lease, Inc. under the purchase method of accounting. The results of the Successor are not comparable to the results of the Predecessor due to the difference in the basis of presentation of purchase accounting as compared to historical cost. Further, the results for the periods after January 1, 2008 are not comparable to results prior to that date due to the different nature of the business.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b w:val="1"/>
                <w:bCs w:val="1"/>
                <w:color w:val="auto"/>
                <w:w w:val="79"/>
              </w:rPr>
              <w:t>Successor</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5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29,584</w:t>
            </w:r>
          </w:p>
        </w:tc>
        <w:tc>
          <w:tcPr>
            <w:tcW w:w="440" w:type="dxa"/>
            <w:vAlign w:val="bottom"/>
            <w:tcBorders>
              <w:right w:val="single" w:sz="8" w:color="auto"/>
            </w:tcBorders>
          </w:tcPr>
          <w:p>
            <w:pPr>
              <w:spacing w:after="0"/>
              <w:rPr>
                <w:sz w:val="24"/>
                <w:szCs w:val="24"/>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5,115</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35,246</w:t>
            </w: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520,459</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Vessel deposits</w:t>
            </w:r>
          </w:p>
        </w:tc>
        <w:tc>
          <w:tcPr>
            <w:tcW w:w="32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115,079</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 purchase agreement</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42,659</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685,093</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481,759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720,339</w:t>
            </w:r>
          </w:p>
        </w:tc>
        <w:tc>
          <w:tcPr>
            <w:tcW w:w="440" w:type="dxa"/>
            <w:vAlign w:val="bottom"/>
            <w:tcBorders>
              <w:right w:val="single" w:sz="8" w:color="auto"/>
            </w:tcBorders>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674,625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6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installments of long term debt</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Amounts due to group companies</w:t>
            </w:r>
          </w:p>
        </w:tc>
        <w:tc>
          <w:tcPr>
            <w:tcW w:w="326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286,100</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group companies</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Preferred stock</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26,976</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361,076</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374,614</w:t>
            </w:r>
          </w:p>
        </w:tc>
        <w:tc>
          <w:tcPr>
            <w:tcW w:w="440" w:type="dxa"/>
            <w:vAlign w:val="bottom"/>
            <w:tcBorders>
              <w:right w:val="single" w:sz="8" w:color="auto"/>
            </w:tcBorders>
          </w:tcPr>
          <w:p>
            <w:pPr>
              <w:spacing w:after="0"/>
              <w:rPr>
                <w:sz w:val="20"/>
                <w:szCs w:val="20"/>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Balance Sheets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interim unaudited combined financial statements for the three and nine months ended September 30, 2008 include two distinct reporting periods (i) up to August 14, 2008 (“Predecessor”) and (ii) August 15, 2008 through September 30, 2008 (“Successor”), which relate to the period preceding the merger and the period succeeding the merger, respectively. The Company derives virtually all of its revenue in 2008 from chartering out its vessels under long-term fixed rate time charters whereas, in 2007, it earned virtually all of its revenue from carrying containerized cargo. The interim unaudited combined financial statements for the Successor period reflect the acquisition of Global Ship Lease, Inc. under the purchase method of accounting. The results of the Successor are not comparable to the results of the Predecessor due to the difference in the basis of presentation of purchase accounting as compared to historical cost. Further, the results for the periods after January 1, 2008 are not comparable to results prior to that date due to the different nature of the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r>
      <w:tr>
        <w:trPr>
          <w:trHeight w:val="149"/>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left="155"/>
              <w:spacing w:after="0" w:line="149" w:lineRule="exact"/>
              <w:rPr>
                <w:sz w:val="20"/>
                <w:szCs w:val="20"/>
                <w:color w:val="auto"/>
              </w:rPr>
            </w:pPr>
            <w:r>
              <w:rPr>
                <w:rFonts w:ascii="Arial" w:cs="Arial" w:eastAsia="Arial" w:hAnsi="Arial"/>
                <w:sz w:val="14"/>
                <w:szCs w:val="14"/>
                <w:b w:val="1"/>
                <w:bCs w:val="1"/>
                <w:color w:val="auto"/>
                <w:w w:val="83"/>
              </w:rPr>
              <w:t>2008</w:t>
            </w:r>
          </w:p>
        </w:tc>
        <w:tc>
          <w:tcPr>
            <w:tcW w:w="380" w:type="dxa"/>
            <w:vAlign w:val="bottom"/>
            <w:tcBorders>
              <w:right w:val="single" w:sz="8" w:color="auto"/>
            </w:tcBorders>
          </w:tcPr>
          <w:p>
            <w:pPr>
              <w:spacing w:after="0"/>
              <w:rPr>
                <w:sz w:val="12"/>
                <w:szCs w:val="12"/>
                <w:color w:val="auto"/>
              </w:rPr>
            </w:pPr>
          </w:p>
        </w:tc>
        <w:tc>
          <w:tcPr>
            <w:tcW w:w="102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Note</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3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57"/>
        </w:trPr>
        <w:tc>
          <w:tcPr>
            <w:tcW w:w="8900" w:type="dxa"/>
            <w:vAlign w:val="bottom"/>
            <w:gridSpan w:val="3"/>
          </w:tcPr>
          <w:p>
            <w:pPr>
              <w:spacing w:after="0"/>
              <w:rPr>
                <w:sz w:val="20"/>
                <w:szCs w:val="20"/>
                <w:color w:val="auto"/>
              </w:rPr>
            </w:pPr>
            <w:r>
              <w:rPr>
                <w:rFonts w:ascii="Arial" w:cs="Arial" w:eastAsia="Arial" w:hAnsi="Arial"/>
                <w:sz w:val="18"/>
                <w:szCs w:val="18"/>
                <w:color w:val="auto"/>
              </w:rPr>
              <w:t>Common stock - authorized 100 shares $.01 par value; 100 shares issued and outstanding</w:t>
            </w:r>
          </w:p>
        </w:tc>
        <w:tc>
          <w:tcPr>
            <w:tcW w:w="240" w:type="dxa"/>
            <w:vAlign w:val="bottom"/>
          </w:tcPr>
          <w:p>
            <w:pPr>
              <w:spacing w:after="0"/>
              <w:rPr>
                <w:sz w:val="24"/>
                <w:szCs w:val="24"/>
                <w:color w:val="auto"/>
              </w:rPr>
            </w:pPr>
          </w:p>
        </w:tc>
        <w:tc>
          <w:tcPr>
            <w:tcW w:w="12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 authorized 214,000,000 shares with a $.01 par value; 33,963,961 shares issued and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w w:val="93"/>
              </w:rPr>
              <w:t>Class B Common stock - authorized 20,000,000 shares with a $.01 par value; 7,405,956 shares issued and outstanding</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C Common stock - authorized 15,000,000 shares with a $.01 par value; 12,375,000 shares issued and outstanding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57"/>
        </w:trPr>
        <w:tc>
          <w:tcPr>
            <w:tcW w:w="8900" w:type="dxa"/>
            <w:vAlign w:val="bottom"/>
            <w:gridSpan w:val="3"/>
          </w:tcPr>
          <w:p>
            <w:pPr>
              <w:spacing w:after="0"/>
              <w:rPr>
                <w:sz w:val="20"/>
                <w:szCs w:val="20"/>
                <w:color w:val="auto"/>
              </w:rPr>
            </w:pPr>
            <w:r>
              <w:rPr>
                <w:rFonts w:ascii="Arial" w:cs="Arial" w:eastAsia="Arial" w:hAnsi="Arial"/>
                <w:sz w:val="18"/>
                <w:szCs w:val="18"/>
                <w:color w:val="auto"/>
              </w:rPr>
              <w:t>Retained earnings (deficit)</w:t>
            </w:r>
          </w:p>
        </w:tc>
        <w:tc>
          <w:tcPr>
            <w:tcW w:w="14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(1,469)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(96,925)</w:t>
            </w: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for the period</w:t>
            </w:r>
          </w:p>
        </w:tc>
        <w:tc>
          <w:tcPr>
            <w:tcW w:w="144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Due to CMA CGM</w:t>
            </w:r>
          </w:p>
        </w:tc>
        <w:tc>
          <w:tcPr>
            <w:tcW w:w="24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162,885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346,972</w:t>
            </w:r>
          </w:p>
        </w:tc>
        <w:tc>
          <w:tcPr>
            <w:tcW w:w="3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345,725</w:t>
            </w:r>
          </w:p>
        </w:tc>
        <w:tc>
          <w:tcPr>
            <w:tcW w:w="3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87,475</w:t>
            </w:r>
          </w:p>
        </w:tc>
        <w:tc>
          <w:tcPr>
            <w:tcW w:w="60" w:type="dxa"/>
            <w:vAlign w:val="bottom"/>
            <w:shd w:val="clear" w:color="auto" w:fill="CCEEFF"/>
          </w:tcPr>
          <w:p>
            <w:pPr>
              <w:spacing w:after="0"/>
              <w:rPr>
                <w:sz w:val="18"/>
                <w:szCs w:val="18"/>
                <w:color w:val="auto"/>
              </w:rPr>
            </w:pPr>
          </w:p>
        </w:tc>
      </w:tr>
      <w:tr>
        <w:trPr>
          <w:trHeight w:val="222"/>
        </w:trPr>
        <w:tc>
          <w:tcPr>
            <w:tcW w:w="89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720,339</w:t>
            </w:r>
          </w:p>
        </w:tc>
        <w:tc>
          <w:tcPr>
            <w:tcW w:w="38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674,625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Statements of Cash Flows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interim unaudited combined financial statements for the three and nine months ended September 30, 2008 include two distinct reporting periods (i) up to August 14, 2008 (“Predecessor”) and (ii) August 15, 2008 through September 30, 2008 (“Successor”), which relate to the period preceding the merger and the period succeeding the merger, respectively. The Company derives virtually all of its revenue in 2008 from chartering out its vessels under long-term fixed rate time charters whereas, in 2007, it earned virtually all of its revenue from carrying containerized cargo. The interim unaudited combined financial statements for the Successor period reflect the acquisition of Global Ship Lease, Inc. under the purchase method of accounting. The results of the Successor are not comparable to the results of the Predecessor due to the difference in the basis of presentation of purchase accounting as compared to historical cost. Further, the results for the periods after January 1, 2008 are not comparable to results prior to that date due to the different nature of the business.</w:t>
      </w:r>
    </w:p>
    <w:p>
      <w:pPr>
        <w:sectPr>
          <w:pgSz w:w="11900" w:h="16838" w:orient="portrait"/>
          <w:cols w:equalWidth="0" w:num="1">
            <w:col w:w="1142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vMerge w:val="restart"/>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Note</w:t>
            </w:r>
          </w:p>
        </w:tc>
        <w:tc>
          <w:tcPr>
            <w:tcW w:w="30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0"/>
              </w:rPr>
              <w:t>Three months ended September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5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8"/>
              </w:rPr>
              <w:t>July 1 to</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August 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Depreciation</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2,848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4,176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accretion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Settlements of hedge which do not qualify for hedge accounting</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(9,343)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Periodic costs relating to drydocks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by Operating Activities</w:t>
            </w: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(1,241)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6,808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746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Settlements of hedge which do not qualify for hedge accounting</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Release of Trust Account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317,446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in Investing Activities</w:t>
            </w: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296,124</w:t>
            </w:r>
          </w:p>
        </w:tc>
        <w:tc>
          <w:tcPr>
            <w:tcW w:w="5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Repayments of debt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5"/>
              </w:rPr>
              <w:t>(115,000)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costs of debt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(3,852)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Buyback of shares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(147,053)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Increase (Decrease) in amount due to CMA CGM</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Net Cash Provided (Used) by Financing Activities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5"/>
              </w:rPr>
              <w:t>(265,904)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start of Period</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w:t>
            </w:r>
          </w:p>
        </w:tc>
        <w:tc>
          <w:tcPr>
            <w:tcW w:w="5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9,444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5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w w:val="84"/>
              </w:rPr>
              <w:t>Nine months ended September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3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18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August 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7,417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accretion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Settlements of hedge which do not qualify for hedge accounting</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(9,343)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Periodic costs relating to drydocks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by Operating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20,726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31,756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Settlements of hedge which do not qualify for hedge accounting</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Release of Trust Account</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317,446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(37,120)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in Investing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296,124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5"/>
              </w:rPr>
              <w:t>(115,000)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Issuance costs of debt</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Buyback of shares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(147,053)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Increase (Decrease) in amount due to CMA CGM</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(188,713)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by Financing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5"/>
              </w:rPr>
              <w:t>(265,904)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at start of Period</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unaudited combined financial statements.</w:t>
      </w:r>
    </w:p>
    <w:p>
      <w:pPr>
        <w:sectPr>
          <w:pgSz w:w="11900" w:h="16838" w:orient="portrait"/>
          <w:cols w:equalWidth="0" w:num="1">
            <w:col w:w="11420"/>
          </w:cols>
          <w:pgMar w:left="240" w:top="27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Statements of Cash Flows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interim unaudited combined financial statements for the three and nine months ended September 30, 2008 include two distinct reporting periods (i) up to August 14, 2008 (“Predecessor”) and (ii) August 15, 2008 through September 30, 2008 (“Successor”), which relate to the period preceding the merger and the period succeeding the merger, respectively. The Company derives virtually all of its revenue in 2008 from chartering out its vessels under long-term fixed rate time charters whereas, in 2007, it earned virtually all of its revenue from carrying containerized cargo. The interim unaudited combined financial statements for the Successor period reflect the acquisition of Global Ship Lease, Inc. under the purchase method of accounting. The results of the Successor are not comparable to the results of the Predecessor due to the difference in the basis of presentation of purchase accounting as compared to historical cost. Further, the results for the periods after January 1, 2008 are not comparable to results prior to that date due to the different nature of the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Note</w:t>
            </w:r>
          </w:p>
        </w:tc>
        <w:tc>
          <w:tcPr>
            <w:tcW w:w="30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8"/>
              </w:rPr>
              <w:t>Predecessor</w:t>
            </w:r>
          </w:p>
        </w:tc>
        <w:tc>
          <w:tcPr>
            <w:tcW w:w="0" w:type="dxa"/>
            <w:vAlign w:val="bottom"/>
          </w:tcPr>
          <w:p>
            <w:pPr>
              <w:spacing w:after="0"/>
              <w:rPr>
                <w:sz w:val="1"/>
                <w:szCs w:val="1"/>
                <w:color w:val="auto"/>
              </w:rPr>
            </w:pPr>
          </w:p>
        </w:tc>
      </w:tr>
      <w:tr>
        <w:trPr>
          <w:trHeight w:val="129"/>
        </w:trPr>
        <w:tc>
          <w:tcPr>
            <w:tcW w:w="7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4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July 1 to</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August 14</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Non cash investing and financing activities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Issuance of shares and preferred shares for the acquisition of GSL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216,730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3"/>
          </w:tcPr>
          <w:p>
            <w:pPr>
              <w:ind w:left="440"/>
              <w:spacing w:after="0"/>
              <w:rPr>
                <w:sz w:val="20"/>
                <w:szCs w:val="20"/>
                <w:color w:val="auto"/>
              </w:rPr>
            </w:pPr>
            <w:r>
              <w:rPr>
                <w:rFonts w:ascii="Arial" w:cs="Arial" w:eastAsia="Arial" w:hAnsi="Arial"/>
                <w:sz w:val="18"/>
                <w:szCs w:val="18"/>
                <w:color w:val="auto"/>
              </w:rPr>
              <w:t>Dividend declared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7,812</w:t>
            </w:r>
          </w:p>
        </w:tc>
        <w:tc>
          <w:tcPr>
            <w:tcW w:w="1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interest paid during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Total tonnage tax and income tax paid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w w:val="84"/>
              </w:rPr>
              <w:t>Nine months ended September 30,</w:t>
            </w:r>
          </w:p>
        </w:tc>
        <w:tc>
          <w:tcPr>
            <w:tcW w:w="500" w:type="dxa"/>
            <w:vAlign w:val="bottom"/>
            <w:tcBorders>
              <w:bottom w:val="single" w:sz="8" w:color="auto"/>
            </w:tcBorders>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2007</w:t>
            </w:r>
          </w:p>
        </w:tc>
      </w:tr>
      <w:tr>
        <w:trPr>
          <w:trHeight w:val="223"/>
        </w:trPr>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8"/>
              </w:rPr>
              <w:t>Predecessor</w:t>
            </w:r>
          </w:p>
        </w:tc>
      </w:tr>
      <w:tr>
        <w:trPr>
          <w:trHeight w:val="129"/>
        </w:trPr>
        <w:tc>
          <w:tcPr>
            <w:tcW w:w="844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3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r>
      <w:tr>
        <w:trPr>
          <w:trHeight w:val="161"/>
        </w:trPr>
        <w:tc>
          <w:tcPr>
            <w:tcW w:w="8440" w:type="dxa"/>
            <w:vAlign w:val="bottom"/>
          </w:tcPr>
          <w:p>
            <w:pPr>
              <w:spacing w:after="0"/>
              <w:rPr>
                <w:sz w:val="14"/>
                <w:szCs w:val="14"/>
                <w:color w:val="auto"/>
              </w:rPr>
            </w:pPr>
          </w:p>
        </w:tc>
        <w:tc>
          <w:tcPr>
            <w:tcW w:w="11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14</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Non cash investing and financing activities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and preferred shares for the acquisition of GSL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216,730</w:t>
            </w: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Dividend declared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7,812</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 during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10,782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Total tonnage tax and income tax paid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220</w:t>
            </w: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Statements of Stockholder’s Equity</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interim unaudited combined financial statements for the three and nine months ended September 30, 2008 include two distinct reporting periods (i) up to August 14, 2008 (“Predecessor”) and (ii) August 15, 2008 through September 30, 2008 (“Successor”), which relate to the period preceding the merger and the period succeeding the merger, respectively. The Company derives virtually all of its revenue in 2008 from chartering out its vessels under long-term fixed rate time charters whereas, in 2007, it earned virtually all of its revenue from carrying containerized cargo. The interim unaudited combined financial statements for the Successor period reflect the acquisition of Global Ship Lease, Inc. under the purchase method of accounting. The results of the Successor are not comparable to the results of the Predecessor due to the difference in the basis of presentation of purchase accounting as compared to historical cost. Further, the results for the periods after January 1, 2008 are not comparable to results prior to that date due to the different nature of the business.</w:t>
      </w:r>
    </w:p>
    <w:p>
      <w:pPr>
        <w:sectPr>
          <w:pgSz w:w="11900" w:h="16838" w:orient="portrait"/>
          <w:cols w:equalWidth="0" w:num="1">
            <w:col w:w="11420"/>
          </w:cols>
          <w:pgMar w:left="240" w:top="27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(Expressed in thousands of U.S. dollars, except share and warrant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at $0.01</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 value</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(Deficit)</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 (Predecessor)</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Incorporation of Global Ship Lease, Inc.</w:t>
            </w:r>
          </w:p>
        </w:tc>
        <w:tc>
          <w:tcPr>
            <w:tcW w:w="880" w:type="dxa"/>
            <w:vAlign w:val="bottom"/>
          </w:tcPr>
          <w:p>
            <w:pPr>
              <w:ind w:left="620"/>
              <w:spacing w:after="0"/>
              <w:rPr>
                <w:sz w:val="20"/>
                <w:szCs w:val="20"/>
                <w:color w:val="auto"/>
              </w:rPr>
            </w:pPr>
            <w:r>
              <w:rPr>
                <w:rFonts w:ascii="Arial" w:cs="Arial" w:eastAsia="Arial" w:hAnsi="Arial"/>
                <w:sz w:val="18"/>
                <w:szCs w:val="18"/>
                <w:color w:val="auto"/>
                <w:w w:val="79"/>
              </w:rPr>
              <w:t>100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amount due from CMA CGM</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Allocation of prior year net income</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Effect of derivative instruments</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Effect of currency translation adjustment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effect of the transfer of the initial ten vessels in 2007</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(96,925)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2007 (Predecessor)</w:t>
            </w: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2"/>
            <w:vMerge w:val="continue"/>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w w:val="79"/>
              </w:rPr>
              <w:t>100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(96,925)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amount due from CMA CGM</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Allocation of prior year net income</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effect of the transfer of the two vessels in 2008</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Allocation of net income</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14, 2008 (Predecessor)</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(94,329)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Elimination of historical stockholder’s equity</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GSL Holdings stockholder’s equity pre-merger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26,685,209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Issuance of shares and warrants in connection with the merger (Note 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Class B</w:t>
            </w:r>
          </w:p>
        </w:tc>
        <w:tc>
          <w:tcPr>
            <w:tcW w:w="880" w:type="dxa"/>
            <w:vAlign w:val="bottom"/>
          </w:tcPr>
          <w:p>
            <w:pPr>
              <w:jc w:val="right"/>
              <w:spacing w:after="0"/>
              <w:rPr>
                <w:sz w:val="20"/>
                <w:szCs w:val="20"/>
                <w:color w:val="auto"/>
              </w:rPr>
            </w:pPr>
            <w:r>
              <w:rPr>
                <w:rFonts w:ascii="Arial" w:cs="Arial" w:eastAsia="Arial" w:hAnsi="Arial"/>
                <w:sz w:val="18"/>
                <w:szCs w:val="18"/>
                <w:color w:val="auto"/>
              </w:rPr>
              <w:t>7,405,956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12,375,000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Warrants</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 into Class A shares (Note 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Restricted Stock (Note 11)</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for the period</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Dividend declared (Note 11)</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 (Successor)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53,744,917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Due to</w:t>
            </w:r>
          </w:p>
        </w:tc>
        <w:tc>
          <w:tcPr>
            <w:tcW w:w="1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paid in</w:t>
            </w:r>
          </w:p>
        </w:tc>
        <w:tc>
          <w:tcPr>
            <w:tcW w:w="3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CGA CGM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Capital</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 (Predecessor)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115,350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Incorporation of Global Ship Lease, Inc.</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amount due from CMA CGM</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Allocation of prior year net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 of derivative instruments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currency translation adjustment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effect of the transfer of the initial ten vessels in 2007</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(26,528)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437"/>
        </w:trPr>
        <w:tc>
          <w:tcPr>
            <w:tcW w:w="6080" w:type="dxa"/>
            <w:vAlign w:val="bottom"/>
            <w:gridSpan w:val="2"/>
          </w:tcPr>
          <w:p>
            <w:pPr>
              <w:spacing w:after="0"/>
              <w:rPr>
                <w:sz w:val="20"/>
                <w:szCs w:val="20"/>
                <w:color w:val="auto"/>
              </w:rPr>
            </w:pPr>
            <w:r>
              <w:rPr>
                <w:rFonts w:ascii="Arial" w:cs="Arial" w:eastAsia="Arial" w:hAnsi="Arial"/>
                <w:sz w:val="18"/>
                <w:szCs w:val="18"/>
                <w:color w:val="auto"/>
              </w:rPr>
              <w:t>Balance at December 31, 2007 (Predecessor)</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162,885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amount due from CMA CGM</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(188,716)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Allocation of prior year net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effect of the transfer of the two vessels in 2008</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Allocation of net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14, 2008 (Predecessor)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Elimination of historical stockholder’s 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GSL Holdings stockholder’s equity pre-merger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shares and warrants in connection with the merger (Note 3)</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Class B</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Warrants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 into Class A shares (Note 11)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Restricted Stock (Note 11)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355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for the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 declared (Note 11)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 (Successor)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346,972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unaudited combined financial statements</w:t>
      </w:r>
    </w:p>
    <w:p>
      <w:pPr>
        <w:sectPr>
          <w:pgSz w:w="11900" w:h="16838" w:orient="portrait"/>
          <w:cols w:equalWidth="0" w:num="1">
            <w:col w:w="11420"/>
          </w:cols>
          <w:pgMar w:left="240" w:top="26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Unaudited Combined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General</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pursuant to an agreement and plan of merger dated March 21, 2008 as amended, which we refer to as the merger agreement. Following the merger, the Company became listed on the New York Stock Exchange on August 15, 2008 (Note 10). As of the closing of the merger, the Company has an independent board with no representation by CMA CGM S.A. (“CMA CGM”), its previous 100% parent company.</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merger agreement, Marathon, a U.S. corporation, first merged with its 100% owned Marshall Islands subsidiary, GSL Holdings, Inc., with GSL Holdings, Inc. continuing as the surviving company. GSL Holdings, Inc. and Global Ship Lease, Inc., at that time a subsidiary of CMA CGM, then merged, with GSL Holdings, Inc. again being the surviving company. GSL Holdings, Inc. was renamed Global Ship Lease, Inc. and became listed on the New York Stock Exchange.</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accordance with SFAS No. 141, “Business Combinations” (FAS 141), Marathon Acquisition Corp. (through its subsidiary GSL Holdings, Inc.) was treated as the accounting acquirer and Global Ship Lease, Inc. was treated as the acquiree. Under the purchase method of accounting, the assets and liabilities of Global Ship Lease, Inc were recorded at their estimated fair values as of the acquisition date. The excess of the fair value of the net acquired assets over the purchase price has been recorded as a pro rata reduction of identified intangible assets, vessels in operation and other fixed assets. Because the activities of Marathon Acquisition Corp. were insignificant prior to the acquisition, Global Ship Lease, Inc. (the acquiree), was determined to be the Predecessor for the purpose of reporting historical financial information.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unaudited interim financial statements are for the periods August 15, 2008 to September 30, 2008 (period titled “Successor” reflecting results of the combined operations following the merger,), January 1, 2008 to August 14, 2008 (period labeled “Predecessor”, reflecting the results of operations as historically reported of Global Ship Lease, Inc. prior to the merger), and the three and nine months period ended September 30, 2007 (also labeled “Predecessor”). Under Predecessor accounting rules, the financial statements of the Predecessor period also include the results of the vessels as they were operated by CMA CGM in its business of carrying containerized cargo prior to their sale to the Company.</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the merger was consummated on August 14, 2008, the unaudited balance sheets as of September 30, 2008 (labeled “Successor”) reflects the acquisition under the purchase method of accounting of all the assets and liabilities of Global Ship Lease, Inc. The balance sheet as of December 31, 2007 (labeled “Predecessor”) reflects the historical balance sheet of Global Ship Lease, Inc. as previously reported.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term “Company” refers to both Successor and Predecessor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Nature of Operations and Basis of Preparation</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subject to certain conditions, to acquire 17 containerships from CMA CGM. Of these, ten were purchased by the Company during December 2007, and two in January 2008. Four of the remaining vessels are anticipated to be purchased in December 2008 and the last vessel in July 2009. All vessels are, or will be, time chartered to CMA CGM for terms ranging from five to seventeen years. The Company has also entered into an agreement with German interests to acquire two 4,250 TEU newbuildings for approximately $77 million per vessel. These vessels will be chartered to ZIM Integrated Shipping Services Limited (“ZISS”), a top 20 global liner operator, for a period of seven to eight years.</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period covered by these interim unaudited combined financial statements, the Company operated under two business models. During the period up to the delivery of the two ships in January 2008 (i.e. the entire nine months ended September 30, 2007 and, for two ships of the fleet, for a few days of January 2008 included in the nine months ended September 30, 2008), operations involved earning freight revenues from the containerized transportation of a broad range of industrial and consumer goods whilst the vessels were owned by CMA CGM. Following the purchase by the Company of ten of the vessels in December 2007 and the further two vessels in January 2008, the activities changed and consisted solely of ownership and provision of vessels to container shipping companies under time charters.</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Fleet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initial fleet chartered to CMA CGM and reflected in these interim unaudited combined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Purchase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Capacity</w:t>
            </w:r>
          </w:p>
        </w:tc>
        <w:tc>
          <w:tcPr>
            <w:tcW w:w="16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Year</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Duration</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1"/>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in TEUs (1)</w:t>
            </w:r>
          </w:p>
        </w:tc>
        <w:tc>
          <w:tcPr>
            <w:tcW w:w="160" w:type="dxa"/>
            <w:vAlign w:val="bottom"/>
          </w:tcPr>
          <w:p>
            <w:pPr>
              <w:spacing w:after="0"/>
              <w:rPr>
                <w:sz w:val="14"/>
                <w:szCs w:val="1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Built</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by GSL</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4,113</w:t>
            </w: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1997</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4,113</w:t>
            </w: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1996</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w:t>
            </w: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1999</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2,262</w:t>
            </w: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1999</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MOL Rainbow</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2003</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2,207</w:t>
            </w: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2002</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2002</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2,207</w:t>
            </w: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2002</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w:t>
            </w: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2001</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2001</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5,100</w:t>
            </w: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2007</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 2008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CMA CGM Chateau d’lf</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2007</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January 2008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Twenty-foot Equivalent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contracted fleet not reflected in these interim unaudited combined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Estimated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Capacity</w:t>
            </w:r>
          </w:p>
        </w:tc>
        <w:tc>
          <w:tcPr>
            <w:tcW w:w="2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Delivery Date to</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Duration</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1"/>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7"/>
              </w:rPr>
              <w:t>in TEUs (1)</w:t>
            </w: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Built</w:t>
            </w:r>
          </w:p>
        </w:tc>
        <w:tc>
          <w:tcPr>
            <w:tcW w:w="2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GSL</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Charterer</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CMA CGM</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$47,200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CMA CGM Jamaica</w:t>
            </w:r>
          </w:p>
        </w:tc>
        <w:tc>
          <w:tcPr>
            <w:tcW w:w="660" w:type="dxa"/>
            <w:vAlign w:val="bottom"/>
          </w:tcPr>
          <w:p>
            <w:pPr>
              <w:jc w:val="right"/>
              <w:spacing w:after="0"/>
              <w:rPr>
                <w:sz w:val="20"/>
                <w:szCs w:val="20"/>
                <w:color w:val="auto"/>
              </w:rPr>
            </w:pPr>
            <w:r>
              <w:rPr>
                <w:rFonts w:ascii="Arial" w:cs="Arial" w:eastAsia="Arial" w:hAnsi="Arial"/>
                <w:sz w:val="18"/>
                <w:szCs w:val="18"/>
                <w:color w:val="auto"/>
              </w:rPr>
              <w:t>4,298</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CMA CGM</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CMA CGM</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CMA CGM America</w:t>
            </w:r>
          </w:p>
        </w:tc>
        <w:tc>
          <w:tcPr>
            <w:tcW w:w="660" w:type="dxa"/>
            <w:vAlign w:val="bottom"/>
          </w:tcPr>
          <w:p>
            <w:pPr>
              <w:jc w:val="right"/>
              <w:spacing w:after="0"/>
              <w:rPr>
                <w:sz w:val="20"/>
                <w:szCs w:val="20"/>
                <w:color w:val="auto"/>
              </w:rPr>
            </w:pPr>
            <w:r>
              <w:rPr>
                <w:rFonts w:ascii="Arial" w:cs="Arial" w:eastAsia="Arial" w:hAnsi="Arial"/>
                <w:sz w:val="18"/>
                <w:szCs w:val="18"/>
                <w:color w:val="auto"/>
              </w:rPr>
              <w:t>4,045</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CMA CGM</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July 2009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CMA CGM</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Hull 789</w:t>
            </w:r>
          </w:p>
        </w:tc>
        <w:tc>
          <w:tcPr>
            <w:tcW w:w="660" w:type="dxa"/>
            <w:vAlign w:val="bottom"/>
          </w:tcPr>
          <w:p>
            <w:pPr>
              <w:jc w:val="right"/>
              <w:spacing w:after="0"/>
              <w:rPr>
                <w:sz w:val="20"/>
                <w:szCs w:val="20"/>
                <w:color w:val="auto"/>
              </w:rPr>
            </w:pPr>
            <w:r>
              <w:rPr>
                <w:rFonts w:ascii="Arial" w:cs="Arial" w:eastAsia="Arial" w:hAnsi="Arial"/>
                <w:sz w:val="18"/>
                <w:szCs w:val="18"/>
                <w:color w:val="auto"/>
              </w:rPr>
              <w:t>4,250</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October 2010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ZISS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Hull 790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2010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ZISS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Twenty-foot Equivalent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Accounting for merger</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August 14, 2008, pursuant to the terms of the merger agreement, the Company acquired all of Global Ship Lease, Inc. outstanding capital stock for approximately $249,175, funded by the issue to CMA CGM of 6,778,650 Class A common shares, 3,934,050 Class B common shares, 12,375,000 Class C common shares, warrants to acquire 3,131,900 Class A common shares with an exercise price of $9.25 and 1,000 Series A preferred shares with a nominal value of $48,000 and $18,570 in cash. The rights of the different classes of shares are set out in Note 11.</w:t>
      </w:r>
    </w:p>
    <w:p>
      <w:pPr>
        <w:spacing w:after="0" w:line="11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accounted for the business combination under the purchase method. Under the purchase method, the assets acquired and liabilities assumed were recorded at their fair values as of the acquisition date. Any excess of the fair value of the net acquired assets over the purchase price was recorded as a pro rata reduction of identified intangible assets, vessels in operation and other fixed assets. The following table shows the adjusted fair values, as of the date of these unaudited interim financial statements, of the assets purchased and liabilities assumed in the transaction.</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of Allocable Purchase Price: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7"/>
              </w:rPr>
              <w:t>Investment</w:t>
            </w: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Class A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6,778,650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Class C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12,375,000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Mandatory redeemable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235,300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allocable purchase price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249,175</w:t>
            </w:r>
          </w:p>
        </w:tc>
        <w:tc>
          <w:tcPr>
            <w:tcW w:w="20" w:type="dxa"/>
            <w:vAlign w:val="bottom"/>
          </w:tcPr>
          <w:p>
            <w:pPr>
              <w:spacing w:after="0"/>
              <w:rPr>
                <w:sz w:val="18"/>
                <w:szCs w:val="18"/>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Equity instruments issued in connection with the merger were assessed at their respective fair value reflecting specific features of each instrument at the date of the announcement of the definitive terms of the merger on July 24,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 of assets acquired and liabilities assumed at the merger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Fair Value of</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net assets</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negative</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acquired</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goodwill</w:t>
            </w:r>
          </w:p>
        </w:tc>
        <w:tc>
          <w:tcPr>
            <w:tcW w:w="4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Allocation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shd w:val="clear" w:color="auto" w:fill="CCEEFF"/>
          </w:tcPr>
          <w:p>
            <w:pPr>
              <w:ind w:left="264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Vessels in operation</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635,000</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(111,554)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523,446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Vessel deposit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fixed assets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51,750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Debt</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(401,100)</w:t>
            </w: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liabilities - charter agreements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Negative Goodwill</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(120,650)</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120,650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allocable purchase price</w:t>
            </w:r>
          </w:p>
        </w:tc>
        <w:tc>
          <w:tcPr>
            <w:tcW w:w="2720" w:type="dxa"/>
            <w:vAlign w:val="bottom"/>
            <w:gridSpan w:val="2"/>
            <w:shd w:val="clear" w:color="auto" w:fill="CCEEFF"/>
          </w:tcPr>
          <w:p>
            <w:pPr>
              <w:ind w:left="264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249,175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the acquired assets and liabilities has been reduced by $120,650 which equals the estimated excess of the fair value of the net acquired assets over the purchase price. Accordingly, three asset classes were reduced pro rate: (i) identified intangible assets of $51,750 to $42,659, (ii) other fixed assets from $26 to $21 and (iii) the fair value of the vessels in operation from $635,000 to $523,446.</w:t>
      </w:r>
    </w:p>
    <w:p>
      <w:pPr>
        <w:spacing w:after="0" w:line="14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Derivative instruments were solely comprised of interest rate financial instruments that were recognized at their estimated fair value. Vessels in operation were written up to their estimated fair market value at the merger date. The intangible asset recognized in connection with CMA CGM contracted fleet purchase agreements was valued through a comparison of the acquisition prices as per the agreement and the vessel estimated fair market values. The intangible liability recognized in connection with charter agreements was valued using a method of the market approach wherein the Company’s actual charter agreements were compared to market-based agreements.</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Unaudited Supplemental Pro Forma Information under FAS 141</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pro forma unaudited information for the three and nine months ended September 30, 2008 and 2007 assume that the acquisition of the Company occurred at the beginning of each of the periods being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5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54,846</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9,466</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in $</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33,469,295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33,463,859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33,465,684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33,463,859</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41,968,943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44,808,229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43,517,487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43,935,037</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 average number of Class C common shares outstanding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12,375,000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12,375,000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12,375,000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12,375,000</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4. Significant Accounting Policies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value presentation of results for the interim periods presented. They do not include all disclosures required under United States Generally Accepted Accounting Principles (“GAAP”) for annual financial statements. These interim unaudited combined financial statements should be read in conjunction with the Company’s Predecessor financial statements as of December 31, 2007 filed with the Securities and Exchange Commission as part of the filing of the Registration Statement on Form F-1 by Global Ship Lease, Inc., dated September 23,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Intangible assets - purchase agreement</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connection with the merger (Note 1), the Company recognised an intangible asset arising from the comparison of the acquisition prices per the agreement to purchase vessels and the vessels estimated fair value. This intangible asset is not amortized and will be transferred to the appropriate vessel on delivery.</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Intangible assets are tested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 Intangible liabilities - charter agreements</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connection with the merger (Note 1), the Company recognised an intangible liability using the market approach wherein the Company’s actual charter agreements were compared to market-based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These intangible lease liabilities are amortized as an increase of time charter revenue over the remaining term of the charter.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Earnings per share</w:t>
      </w:r>
    </w:p>
    <w:p>
      <w:pPr>
        <w:spacing w:after="0" w:line="9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accordance with SFAS No 128 “Earnings Per Share”, basic earnings per common share is based on income available to common shareholders divided by the weighted-average number of common shares outstanding during the period excluding non-vested restricted stock units. Diluted earnings per common share is calculated by applying the treasury stock method. All outstanding warrants and non-vested restricted stock units that have a dilutive effect are included in the calculation. The basic and diluted Earnings Per Share for the Successor period is presented under the two-class method.</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Interest rate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and third quarters of 2008, the Company entered into certain hedging agreements in connection with its credit facility agreement (Note 12).</w:t>
      </w:r>
    </w:p>
    <w:p>
      <w:pPr>
        <w:spacing w:after="0" w:line="19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Derivatives are initially recognized at fair value on the date a derivative contract is entered into and are subsequently re-measured at their fair value. The method of recognizing the resulting gain or loss depends on whether the derivative is designated as a hedging instrument, and if so, the nature of the item being hedged.</w:t>
      </w:r>
    </w:p>
    <w:p>
      <w:pPr>
        <w:spacing w:after="0" w:line="6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Company’s interest rate derivative instruments do not qualify for hedge accounting. Changes in the fair value as well as cash settlements of these interest rate derivative instruments are recognized immediately in the statement of income within “Realized and unrealized gain on interest rate derivatives”.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5. Vessels in Operation, less Accumulated Depreciation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left w:val="single" w:sz="8" w:color="auto"/>
            </w:tcBorders>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440" w:type="dxa"/>
            <w:vAlign w:val="bottom"/>
          </w:tcPr>
          <w:p>
            <w:pPr>
              <w:spacing w:after="0"/>
              <w:rPr>
                <w:sz w:val="14"/>
                <w:szCs w:val="14"/>
                <w:color w:val="auto"/>
              </w:rPr>
            </w:pPr>
          </w:p>
        </w:tc>
        <w:tc>
          <w:tcPr>
            <w:tcW w:w="340" w:type="dxa"/>
            <w:vAlign w:val="bottom"/>
            <w:tcBorders>
              <w:left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523,307</w:t>
            </w:r>
          </w:p>
        </w:tc>
        <w:tc>
          <w:tcPr>
            <w:tcW w:w="440" w:type="dxa"/>
            <w:vAlign w:val="bottom"/>
            <w:shd w:val="clear" w:color="auto" w:fill="CCEEFF"/>
          </w:tcPr>
          <w:p>
            <w:pPr>
              <w:spacing w:after="0"/>
              <w:rPr>
                <w:sz w:val="18"/>
                <w:szCs w:val="18"/>
                <w:color w:val="auto"/>
              </w:rPr>
            </w:pPr>
          </w:p>
        </w:tc>
        <w:tc>
          <w:tcPr>
            <w:tcW w:w="500" w:type="dxa"/>
            <w:vAlign w:val="bottom"/>
            <w:tcBorders>
              <w:lef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539,350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(2,848)</w:t>
            </w:r>
          </w:p>
        </w:tc>
        <w:tc>
          <w:tcPr>
            <w:tcW w:w="3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520,459</w:t>
            </w:r>
          </w:p>
        </w:tc>
        <w:tc>
          <w:tcPr>
            <w:tcW w:w="440" w:type="dxa"/>
            <w:vAlign w:val="bottom"/>
            <w:shd w:val="clear" w:color="auto" w:fill="CCEEFF"/>
          </w:tcPr>
          <w:p>
            <w:pPr>
              <w:spacing w:after="0"/>
              <w:rPr>
                <w:sz w:val="18"/>
                <w:szCs w:val="18"/>
                <w:color w:val="auto"/>
              </w:rPr>
            </w:pPr>
          </w:p>
        </w:tc>
        <w:tc>
          <w:tcPr>
            <w:tcW w:w="500" w:type="dxa"/>
            <w:vAlign w:val="bottom"/>
            <w:tcBorders>
              <w:lef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38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7"/>
                <w:szCs w:val="17"/>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40" w:type="dxa"/>
            <w:vAlign w:val="bottom"/>
            <w:tcBorders>
              <w:left w:val="single" w:sz="8" w:color="auto"/>
            </w:tcBorders>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440" w:type="dxa"/>
            <w:vAlign w:val="bottom"/>
          </w:tcPr>
          <w:p>
            <w:pPr>
              <w:spacing w:after="0"/>
              <w:rPr>
                <w:sz w:val="14"/>
                <w:szCs w:val="14"/>
                <w:color w:val="auto"/>
              </w:rPr>
            </w:pPr>
          </w:p>
        </w:tc>
        <w:tc>
          <w:tcPr>
            <w:tcW w:w="340" w:type="dxa"/>
            <w:vAlign w:val="bottom"/>
            <w:tcBorders>
              <w:left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475,299</w:t>
            </w:r>
          </w:p>
        </w:tc>
        <w:tc>
          <w:tcPr>
            <w:tcW w:w="440" w:type="dxa"/>
            <w:vAlign w:val="bottom"/>
            <w:shd w:val="clear" w:color="auto" w:fill="CCEEFF"/>
          </w:tcPr>
          <w:p>
            <w:pPr>
              <w:spacing w:after="0"/>
              <w:rPr>
                <w:sz w:val="18"/>
                <w:szCs w:val="18"/>
                <w:color w:val="auto"/>
              </w:rPr>
            </w:pPr>
          </w:p>
        </w:tc>
        <w:tc>
          <w:tcPr>
            <w:tcW w:w="500" w:type="dxa"/>
            <w:vAlign w:val="bottom"/>
            <w:tcBorders>
              <w:lef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Depreciation expense (Predecessor)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(12,163)</w:t>
            </w:r>
          </w:p>
        </w:tc>
        <w:tc>
          <w:tcPr>
            <w:tcW w:w="3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in the period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440" w:type="dxa"/>
            <w:vAlign w:val="bottom"/>
            <w:shd w:val="clear" w:color="auto" w:fill="CCEEFF"/>
          </w:tcPr>
          <w:p>
            <w:pPr>
              <w:spacing w:after="0"/>
              <w:rPr>
                <w:sz w:val="18"/>
                <w:szCs w:val="18"/>
                <w:color w:val="auto"/>
              </w:rPr>
            </w:pPr>
          </w:p>
        </w:tc>
        <w:tc>
          <w:tcPr>
            <w:tcW w:w="3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Purchase price adjustment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58,712</w:t>
            </w:r>
          </w:p>
        </w:tc>
        <w:tc>
          <w:tcPr>
            <w:tcW w:w="44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expense (Successor)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(2,848)</w:t>
            </w:r>
          </w:p>
        </w:tc>
        <w:tc>
          <w:tcPr>
            <w:tcW w:w="3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520,459</w:t>
            </w:r>
          </w:p>
        </w:tc>
        <w:tc>
          <w:tcPr>
            <w:tcW w:w="440" w:type="dxa"/>
            <w:vAlign w:val="bottom"/>
            <w:shd w:val="clear" w:color="auto" w:fill="CCEEFF"/>
          </w:tcPr>
          <w:p>
            <w:pPr>
              <w:spacing w:after="0"/>
              <w:rPr>
                <w:sz w:val="18"/>
                <w:szCs w:val="18"/>
                <w:color w:val="auto"/>
              </w:rPr>
            </w:pPr>
          </w:p>
        </w:tc>
        <w:tc>
          <w:tcPr>
            <w:tcW w:w="500" w:type="dxa"/>
            <w:vAlign w:val="bottom"/>
            <w:tcBorders>
              <w:lef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2008 all 12 of the vessels of the initial fleet were pledged as securities under the credit facility agreement.</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At September 30, 2008 under the asset purchase agreement with CMA CGM the Company was committed to purchasing a further five vessels for an aggregate price of $437,000 estimated to be payable in December 2008 and in July 2009. In addition, the Company is committed to purchasing a further two vessels from German interests in the fourth quarter of 2010 for approximately $77,000 each (Note 6).</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Vessel Deposits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49"/>
        </w:trPr>
        <w:tc>
          <w:tcPr>
            <w:tcW w:w="8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2007</w:t>
            </w:r>
          </w:p>
        </w:tc>
      </w:tr>
      <w:tr>
        <w:trPr>
          <w:trHeight w:val="161"/>
        </w:trPr>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4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w w:val="85"/>
              </w:rPr>
              <w:t>Predecessor</w:t>
            </w: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the five contracted vessels from CMA CGM</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4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15,477</w:t>
            </w:r>
          </w:p>
        </w:tc>
        <w:tc>
          <w:tcPr>
            <w:tcW w:w="4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Capitalised interest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2"/>
        </w:trPr>
        <w:tc>
          <w:tcPr>
            <w:tcW w:w="89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115,079</w:t>
            </w:r>
          </w:p>
        </w:tc>
        <w:tc>
          <w:tcPr>
            <w:tcW w:w="4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0"/>
        </w:trPr>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deposit included in the purchase price relates to a prepayment for the five vessels contracted to be purchased from CMA CGM. If the vessels are not delivered, CMA CGM must refund the deposit.</w:t>
      </w:r>
    </w:p>
    <w:p>
      <w:pPr>
        <w:spacing w:after="0" w:line="132"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The additions during the period relate to deposits paid for two 4,250 TEU newbuildings the Company has agreed to acquire from German interests for approximately $77 million per vessel. The purchase is subject to the completion of customary additional documentation and closing conditions.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two vessels are scheduled to be delivered in the fourth quarter of 2010. Both vessels will be chartered to ZISS for a term of seven to eight years at a net rate of $28,000 per vessel per day.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 Related party transactions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CMA CGM is presented as a related party as it was, until the merger, the parent company of Global Ship Lease, Inc. and is currently a significant shareholder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CMA CGM Companies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49"/>
        </w:trPr>
        <w:tc>
          <w:tcPr>
            <w:tcW w:w="8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61"/>
        </w:trPr>
        <w:tc>
          <w:tcPr>
            <w:tcW w:w="8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Successor</w:t>
            </w:r>
          </w:p>
        </w:tc>
        <w:tc>
          <w:tcPr>
            <w:tcW w:w="4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Predecessor</w:t>
            </w:r>
          </w:p>
        </w:tc>
        <w:tc>
          <w:tcPr>
            <w:tcW w:w="2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Loan - 5.25% per annum ((a) below)</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176,875</w:t>
            </w:r>
          </w:p>
        </w:tc>
        <w:tc>
          <w:tcPr>
            <w:tcW w:w="2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related party expenses</w:t>
            </w: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 below)</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Amounts due to CMA CGM Companies presented within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tcPr>
          <w:p>
            <w:pPr>
              <w:spacing w:after="0"/>
              <w:rPr>
                <w:sz w:val="19"/>
                <w:szCs w:val="19"/>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179,455</w:t>
            </w:r>
          </w:p>
        </w:tc>
      </w:tr>
      <w:tr>
        <w:trPr>
          <w:trHeight w:val="20"/>
        </w:trPr>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8"/>
        <w:spacing w:after="0" w:line="332" w:lineRule="auto"/>
        <w:tabs>
          <w:tab w:leader="none" w:pos="2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 a shareholder’s loan agreement dated December 11, 2007, CMA CGM provided to the Predecessor a credit facility of $250,000. The amount of the loan outstanding on August 14, 2008 was cancelled upon completion of the merger. The loan was unsecured and bore interest at 5.25% per annum.</w:t>
      </w:r>
    </w:p>
    <w:p>
      <w:pPr>
        <w:spacing w:after="0" w:line="85" w:lineRule="exact"/>
        <w:rPr>
          <w:rFonts w:ascii="Arial" w:cs="Arial" w:eastAsia="Arial" w:hAnsi="Arial"/>
          <w:sz w:val="16"/>
          <w:szCs w:val="16"/>
          <w:color w:val="auto"/>
        </w:rPr>
      </w:pPr>
    </w:p>
    <w:p>
      <w:pPr>
        <w:ind w:right="180" w:firstLine="8"/>
        <w:spacing w:after="0" w:line="332"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CMA CGM Group provides Global Ship Lease, Inc. and subsidiaries with certain ship management services related to the operation of the Company’s fleet. The current account at December 31, 2007 related to amounts paid by CMA CGM, on behalf of the Company, to be reimbursed.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agreement</w:t>
      </w:r>
    </w:p>
    <w:p>
      <w:pPr>
        <w:spacing w:after="0" w:line="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reported in Note 2, the Company entered into an asset purchase agreement with CMA CGM on December 5, 2007. Pursuant to this agreement, during December 2007, the Company purchased 10 secondhand vessels for a total price of $385,000 and in January 2008, the Company purchased two newly built vessels for a total price of $188,000.</w:t>
      </w:r>
    </w:p>
    <w:p>
      <w:pPr>
        <w:spacing w:after="0" w:line="14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Under the asset purchase agreement, the Company is committed to purchasing a further five vessels from CMA CGM for an aggregate price of $437,000, of which $99,000 is prepaid by virtue of the 12,375,000 Class C common shares in the Company issued to CMA CGM in the merger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Time Charter Agreements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All twelve vessels operated during the period were time chartered to CMA CGM. Of the seven vessels due to be delivered during 2008 to 2010, five have been chartered to CMA CGM. Under the time charters (including the five vessels due for delivery later in 2008 through to 2010 from CMA CGM), hire is paid in advance and the daily rate</w:t>
      </w:r>
    </w:p>
    <w:p>
      <w:pPr>
        <w:sectPr>
          <w:pgSz w:w="11900" w:h="16838" w:orient="portrait"/>
          <w:cols w:equalWidth="0" w:num="1">
            <w:col w:w="11420"/>
          </w:cols>
          <w:pgMar w:left="240" w:top="280" w:right="239" w:bottom="1440" w:gutter="0" w:footer="0" w:header="0"/>
        </w:sectPr>
      </w:pPr>
    </w:p>
    <w:bookmarkStart w:id="27" w:name="page28"/>
    <w:bookmarkEnd w:id="27"/>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fixed for the duration of the charter. The charters are for periods of between five and seventeen years. Of the $1,843,748 maximum future charter hire receivable for the total fleet set out in Note 9, $1,700,667 relates to the 17 ships to be operated by CMA CGM (including the five vessels due for delivery).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Ship Management Agreement</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outsources day to day technical management of its vessels to a ship manager that is closely supervised by the Company’s own staff. The ship manager for the initial and contracted fleet (excluding the two vessels to be purchased from German interests) is CMA Ships, a wholly owned subsidiary of CMA CGM. CMA CGM guarantees the performance of all services and any payment due to the Company by the ship manager pursuant to the ship management agreements. The ship management agreements are for a period of three years from the date of delivery of the vessels to Global Ship Lease, Inc. and its subsidiaries, although they can be terminated by the Company in certain circumstances.</w:t>
      </w:r>
    </w:p>
    <w:p>
      <w:pPr>
        <w:spacing w:after="0" w:line="1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 pays CMA Ships an annual management fee of $114 per vessel and reimburses costs incurred on their behalf mainly being for the provision of crew and lubricating oils and routine maintenance. Such reimbursement is subject to a cap of between $5.4 and $8.8 per day depending on the vessel. Ship management fees expensed for the three and nine months ended September 30, 2008 amounted to $171 for the Successor and Predecessor periods and $171 for the Successor and $848 for the Predecessor periods, respectively (nil for both the three and nine months ended September 30,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Except for transactions with CMA CGM, the Company did not enter into any other related party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8. Long-term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49"/>
        </w:trPr>
        <w:tc>
          <w:tcPr>
            <w:tcW w:w="67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61"/>
        </w:trPr>
        <w:tc>
          <w:tcPr>
            <w:tcW w:w="6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Predecessor</w:t>
            </w:r>
          </w:p>
        </w:tc>
        <w:tc>
          <w:tcPr>
            <w:tcW w:w="60" w:type="dxa"/>
            <w:vAlign w:val="bottom"/>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Debt payable to banks, at Libor USD + 0.75% to 1.10% (below)</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286,100</w:t>
            </w:r>
          </w:p>
        </w:tc>
        <w:tc>
          <w:tcPr>
            <w:tcW w:w="40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401,100</w:t>
            </w:r>
          </w:p>
        </w:tc>
        <w:tc>
          <w:tcPr>
            <w:tcW w:w="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Less current installments of long-term debt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(401,100)</w:t>
            </w:r>
          </w:p>
        </w:tc>
      </w:tr>
      <w:tr>
        <w:trPr>
          <w:trHeight w:val="27"/>
        </w:trPr>
        <w:tc>
          <w:tcPr>
            <w:tcW w:w="6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286,100</w:t>
            </w:r>
          </w:p>
        </w:tc>
        <w:tc>
          <w:tcPr>
            <w:tcW w:w="40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credit facility is secured by, inter alia, first priority mortgages on each of the vessels in the security package, a pledge of shares of the vessel owning subsidiaries as well as assignments of earnings and insurances. In addition, CMA CGM provided a corporate guarantee on the amounts outstanding up until the merger. At the time of the merger, the guarantee was cancelled and the financial covenants within the Company’s credit facility became applicable. These are: a) a minimum cash balance of the lower of $15 million or six months net interest expense; b) net debt to total capitalization ratio shall not exceed 75%; c) EBITDA to debt service, on a trailing four-quarter basis, shall be no less than 1.10 to 1; and d) the Company maintains a minimum net worth of $200 million (with all terms as defined in the credit facility).</w:t>
      </w:r>
    </w:p>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second and third quarters of 2008, the Company entered into certain derivative interest rate agreements to fix the interest rate on debt drawn or anticipated to be drawn under its credit facility. A total of $530,000 of anticipated core debt has been swapped into fixed rate debt at an average rate of 3.62%, with details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Notional</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61"/>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Start Date</w:t>
            </w: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Amount</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12, 2008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17, 2013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May 19, 2008</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March 17, 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3.40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2008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17, 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68,000</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December 17, 2008</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March 17, 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3.40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December 17, 2016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December 17, 2008</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December 17, 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87"/>
              </w:rPr>
              <w:t>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17, 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December 17, 2008</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December 17, 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71,000</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87"/>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17, 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41,000</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October 29, 2010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October 29, 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4.25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 Weighted average rate: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530,000</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swap counterparty has a onetime option to cancel the swap as of March 17, 2013.</w:t>
      </w:r>
    </w:p>
    <w:p>
      <w:pPr>
        <w:sectPr>
          <w:pgSz w:w="11900" w:h="16838" w:orient="portrait"/>
          <w:cols w:equalWidth="0" w:num="1">
            <w:col w:w="11420"/>
          </w:cols>
          <w:pgMar w:left="240" w:top="280" w:right="239" w:bottom="1440" w:gutter="0" w:footer="0" w:header="0"/>
        </w:sectPr>
      </w:pPr>
    </w:p>
    <w:bookmarkStart w:id="28" w:name="page29"/>
    <w:bookmarkEnd w:id="28"/>
    <w:p>
      <w:pPr>
        <w:ind w:right="8900" w:firstLine="8"/>
        <w:spacing w:after="0" w:line="413" w:lineRule="auto"/>
        <w:tabs>
          <w:tab w:leader="none" w:pos="176" w:val="left"/>
        </w:tabs>
        <w:numPr>
          <w:ilvl w:val="0"/>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and Contingencies Contracted Vessel Purchases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reported in Note 2, the Company has contracted to purchase a further five vessels from CMA CGM with an aggregate cost of $437,000. Of this amount,</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$99,000 is prepaid by virtue of the issuance of the Class C Common shares to CMA CGM on the merger. In addition, the Company is committed to purchasing a further two vessels from German interests in the fourth quarter of 2010 for approximately $77,000 each. A deposit of 10% has been paid.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Charter Hire Receivable</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has entered into long term charters for its vessels owned at September 30, 2008. The charter hire (including those relating to vessels due for delivery later in 2008 through 2010), is paid in advance and the daily rate is fixed for the duration of the charter. The charters are for periods of between five and 17 years and the maximum annual charter hire receivable for the fleet of 12 vessels as at September 30, 2008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3"/>
              </w:rPr>
              <w:t>Fleet operated as at</w:t>
            </w:r>
          </w:p>
        </w:tc>
        <w:tc>
          <w:tcPr>
            <w:tcW w:w="5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Total fleet to</w:t>
            </w:r>
          </w:p>
        </w:tc>
        <w:tc>
          <w:tcPr>
            <w:tcW w:w="0" w:type="dxa"/>
            <w:vAlign w:val="bottom"/>
          </w:tcPr>
          <w:p>
            <w:pPr>
              <w:spacing w:after="0"/>
              <w:rPr>
                <w:sz w:val="1"/>
                <w:szCs w:val="1"/>
                <w:color w:val="auto"/>
              </w:rPr>
            </w:pPr>
          </w:p>
        </w:tc>
      </w:t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0"/>
              </w:rPr>
              <w:t>Year ending September 30</w:t>
            </w: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Sept 30, 2008</w:t>
            </w:r>
          </w:p>
        </w:tc>
        <w:tc>
          <w:tcPr>
            <w:tcW w:w="56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be operated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460" w:type="dxa"/>
            <w:vAlign w:val="bottom"/>
            <w:gridSpan w:val="2"/>
            <w:shd w:val="clear" w:color="auto" w:fill="CCEEFF"/>
          </w:tcPr>
          <w:p>
            <w:pPr>
              <w:ind w:left="7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2010</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99,360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2012</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2013 and thereafter</w:t>
            </w:r>
          </w:p>
        </w:tc>
        <w:tc>
          <w:tcPr>
            <w:tcW w:w="7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462,707</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1,197,621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60" w:type="dxa"/>
            <w:vAlign w:val="bottom"/>
            <w:gridSpan w:val="2"/>
          </w:tcPr>
          <w:p>
            <w:pPr>
              <w:ind w:left="7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860,420</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1,843,748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 Operating Segments</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Segment information reported below has been prepared on the same basis that it is reported internally to the Company’s chief operating decision maker. The Company operated under two business models from which it derives its revenues reported within these interim unaudited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“Adjustment” column in the table below includes (i) the elimination of the Containerized Transportation Containerized Transportation activity performed by the Predecessor up to August 14, 2008 and (ii) the IPO and merger costs expensed by the Predecessor.</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three and nine months ended September 30, 2008 and 2007 the activities can be analysed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2"/>
              </w:rPr>
              <w:t>Three months period ended September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center"/>
              <w:ind w:left="476"/>
              <w:spacing w:after="0" w:line="142" w:lineRule="exact"/>
              <w:rPr>
                <w:sz w:val="20"/>
                <w:szCs w:val="20"/>
                <w:color w:val="auto"/>
              </w:rPr>
            </w:pPr>
            <w:r>
              <w:rPr>
                <w:rFonts w:ascii="Arial" w:cs="Arial" w:eastAsia="Arial" w:hAnsi="Arial"/>
                <w:sz w:val="14"/>
                <w:szCs w:val="14"/>
                <w:b w:val="1"/>
                <w:bCs w:val="1"/>
                <w:color w:val="auto"/>
                <w:w w:val="83"/>
              </w:rPr>
              <w:t>2008</w:t>
            </w:r>
          </w:p>
        </w:tc>
        <w:tc>
          <w:tcPr>
            <w:tcW w:w="5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79"/>
              </w:rPr>
              <w:t>Successor</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0"/>
              </w:rPr>
              <w:t>Predecessor</w:t>
            </w:r>
          </w:p>
        </w:tc>
        <w:tc>
          <w:tcPr>
            <w:tcW w:w="380" w:type="dxa"/>
            <w:vAlign w:val="bottom"/>
          </w:tcPr>
          <w:p>
            <w:pPr>
              <w:spacing w:after="0"/>
              <w:rPr>
                <w:sz w:val="12"/>
                <w:szCs w:val="12"/>
                <w:color w:val="auto"/>
              </w:rPr>
            </w:pPr>
          </w:p>
        </w:tc>
        <w:tc>
          <w:tcPr>
            <w:tcW w:w="9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9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Time</w:t>
            </w:r>
          </w:p>
        </w:tc>
        <w:tc>
          <w:tcPr>
            <w:tcW w:w="9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Time</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Containerized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3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Transportation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12,790</w:t>
            </w:r>
          </w:p>
        </w:tc>
        <w:tc>
          <w:tcPr>
            <w:tcW w:w="3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11,122</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11,122</w:t>
            </w:r>
          </w:p>
        </w:tc>
        <w:tc>
          <w:tcPr>
            <w:tcW w:w="3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3,980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3,908</w:t>
            </w:r>
          </w:p>
        </w:tc>
        <w:tc>
          <w:tcPr>
            <w:tcW w:w="38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3,908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w:t>
            </w:r>
          </w:p>
        </w:tc>
        <w:tc>
          <w:tcPr>
            <w:tcW w:w="3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7,811</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6,687</w:t>
            </w:r>
          </w:p>
        </w:tc>
        <w:tc>
          <w:tcPr>
            <w:tcW w:w="3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560" w:type="dxa"/>
            <w:vAlign w:val="bottom"/>
          </w:tcPr>
          <w:p>
            <w:pPr>
              <w:jc w:val="right"/>
              <w:spacing w:after="0"/>
              <w:rPr>
                <w:sz w:val="20"/>
                <w:szCs w:val="20"/>
                <w:color w:val="auto"/>
              </w:rPr>
            </w:pPr>
            <w:r>
              <w:rPr>
                <w:rFonts w:ascii="Arial" w:cs="Arial" w:eastAsia="Arial" w:hAnsi="Arial"/>
                <w:sz w:val="18"/>
                <w:szCs w:val="18"/>
                <w:color w:val="auto"/>
              </w:rPr>
              <w:t>6,699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(3,022)</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323"/>
        </w:trPr>
        <w:tc>
          <w:tcPr>
            <w:tcW w:w="6600" w:type="dxa"/>
            <w:vAlign w:val="bottom"/>
            <w:gridSpan w:val="2"/>
          </w:tcPr>
          <w:p>
            <w:pPr>
              <w:spacing w:after="0"/>
              <w:rPr>
                <w:sz w:val="20"/>
                <w:szCs w:val="20"/>
                <w:color w:val="auto"/>
              </w:rPr>
            </w:pPr>
            <w:r>
              <w:rPr>
                <w:rFonts w:ascii="Arial" w:cs="Arial" w:eastAsia="Arial" w:hAnsi="Arial"/>
                <w:sz w:val="18"/>
                <w:szCs w:val="18"/>
                <w:color w:val="auto"/>
              </w:rPr>
              <w:t>Realised and unrealised gain on derivatives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(4,307)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(2,404)</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before income taxes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Taxes on Income</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period ended September 30,</w:t>
            </w: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center"/>
              <w:ind w:left="476"/>
              <w:spacing w:after="0" w:line="142" w:lineRule="exact"/>
              <w:rPr>
                <w:sz w:val="20"/>
                <w:szCs w:val="20"/>
                <w:color w:val="auto"/>
              </w:rPr>
            </w:pPr>
            <w:r>
              <w:rPr>
                <w:rFonts w:ascii="Arial" w:cs="Arial" w:eastAsia="Arial" w:hAnsi="Arial"/>
                <w:sz w:val="14"/>
                <w:szCs w:val="14"/>
                <w:b w:val="1"/>
                <w:bCs w:val="1"/>
                <w:color w:val="auto"/>
                <w:w w:val="83"/>
              </w:rPr>
              <w:t>2008</w:t>
            </w:r>
          </w:p>
        </w:tc>
        <w:tc>
          <w:tcPr>
            <w:tcW w:w="5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79"/>
              </w:rPr>
              <w:t>Successor</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0"/>
              </w:rPr>
              <w:t>Predecessor</w:t>
            </w:r>
          </w:p>
        </w:tc>
        <w:tc>
          <w:tcPr>
            <w:tcW w:w="380" w:type="dxa"/>
            <w:vAlign w:val="bottom"/>
          </w:tcPr>
          <w:p>
            <w:pPr>
              <w:spacing w:after="0"/>
              <w:rPr>
                <w:sz w:val="12"/>
                <w:szCs w:val="12"/>
                <w:color w:val="auto"/>
              </w:rPr>
            </w:pPr>
          </w:p>
        </w:tc>
        <w:tc>
          <w:tcPr>
            <w:tcW w:w="9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9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Time</w:t>
            </w:r>
          </w:p>
        </w:tc>
        <w:tc>
          <w:tcPr>
            <w:tcW w:w="9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Time</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Containerized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3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Transportation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12,790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55,883</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57,955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3,980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17,893</w:t>
            </w:r>
          </w:p>
        </w:tc>
        <w:tc>
          <w:tcPr>
            <w:tcW w:w="38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181</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18,074</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11,902</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12,163</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2,306</w:t>
            </w:r>
          </w:p>
        </w:tc>
        <w:tc>
          <w:tcPr>
            <w:tcW w:w="3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1,508</w:t>
            </w:r>
          </w:p>
        </w:tc>
        <w:tc>
          <w:tcPr>
            <w:tcW w:w="560" w:type="dxa"/>
            <w:vAlign w:val="bottom"/>
          </w:tcPr>
          <w:p>
            <w:pPr>
              <w:jc w:val="right"/>
              <w:spacing w:after="0"/>
              <w:rPr>
                <w:sz w:val="20"/>
                <w:szCs w:val="20"/>
                <w:color w:val="auto"/>
              </w:rPr>
            </w:pPr>
            <w:r>
              <w:rPr>
                <w:rFonts w:ascii="Arial" w:cs="Arial" w:eastAsia="Arial" w:hAnsi="Arial"/>
                <w:sz w:val="18"/>
                <w:szCs w:val="18"/>
                <w:color w:val="auto"/>
              </w:rPr>
              <w:t>3,814</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7,811</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31,914</w:t>
            </w:r>
          </w:p>
        </w:tc>
        <w:tc>
          <w:tcPr>
            <w:tcW w:w="3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4,174</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36,088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23,969</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21,867</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w:t>
            </w:r>
          </w:p>
        </w:tc>
        <w:tc>
          <w:tcPr>
            <w:tcW w:w="38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424</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(17,600)</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(17,600)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323"/>
        </w:trPr>
        <w:tc>
          <w:tcPr>
            <w:tcW w:w="6600" w:type="dxa"/>
            <w:vAlign w:val="bottom"/>
            <w:gridSpan w:val="2"/>
          </w:tcPr>
          <w:p>
            <w:pPr>
              <w:spacing w:after="0"/>
              <w:rPr>
                <w:sz w:val="20"/>
                <w:szCs w:val="20"/>
                <w:color w:val="auto"/>
              </w:rPr>
            </w:pPr>
            <w:r>
              <w:rPr>
                <w:rFonts w:ascii="Arial" w:cs="Arial" w:eastAsia="Arial" w:hAnsi="Arial"/>
                <w:sz w:val="18"/>
                <w:szCs w:val="18"/>
                <w:color w:val="auto"/>
              </w:rPr>
              <w:t>Realised and unrealised gain on derivatives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(4,307)</w:t>
            </w:r>
          </w:p>
        </w:tc>
        <w:tc>
          <w:tcPr>
            <w:tcW w:w="560" w:type="dxa"/>
            <w:vAlign w:val="bottom"/>
          </w:tcPr>
          <w:p>
            <w:pPr>
              <w:jc w:val="right"/>
              <w:spacing w:after="0"/>
              <w:rPr>
                <w:sz w:val="20"/>
                <w:szCs w:val="20"/>
                <w:color w:val="auto"/>
              </w:rPr>
            </w:pPr>
            <w:r>
              <w:rPr>
                <w:rFonts w:ascii="Arial" w:cs="Arial" w:eastAsia="Arial" w:hAnsi="Arial"/>
                <w:sz w:val="18"/>
                <w:szCs w:val="18"/>
                <w:color w:val="auto"/>
              </w:rPr>
              <w:t>2,749</w:t>
            </w:r>
          </w:p>
        </w:tc>
        <w:tc>
          <w:tcPr>
            <w:tcW w:w="380" w:type="dxa"/>
            <w:vAlign w:val="bottom"/>
          </w:tcPr>
          <w:p>
            <w:pPr>
              <w:spacing w:after="0"/>
              <w:rPr>
                <w:sz w:val="24"/>
                <w:szCs w:val="24"/>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2,749</w:t>
            </w:r>
          </w:p>
        </w:tc>
        <w:tc>
          <w:tcPr>
            <w:tcW w:w="3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before income taxes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Taxes on Income</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 Share Capital</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has 3 classes of common shares. The rights of holders of Class B common shares are identical to those of holders of Class A common shares, except that the holders of Class B common shares are not entitled to receive any dividends with respect to any quarter prior to the fourth quarter of 2008 and their dividend rights will be subordinated to those of holders of Class A common shares until at least the third quarter of 2011. The rights of holders of Class C common shares are identical to those of holders of Class A common shares, except that holders of Class C common shares are not entitled to receive any dividends and the Class C common shares will convert into Class A common shares on a one-for-one basis on January 1, 2009.</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Series A preferred shares rank senior to the common shares and are mandatorily redeemable on August 14, 2011 and are required to be redeemed earlier using the proceeds of the exercise of any warrants. Series A preferred shares are classified as a liability. The dividend that preferred shares holders are entitled to receive quarterly is presented as part of interest expense.</w:t>
      </w:r>
    </w:p>
    <w:p>
      <w:pPr>
        <w:spacing w:after="0" w:line="14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 addition to the Class A, B and C common shares and the Series A Preferred shares, there are 39,536 Public Warrants which have an expiry of August 14, 2010 and give the holder the right to purchase one Class A common share at a price of $6 per share and 5,500 Sponsor Warrants which have similar terms to the Public Warrants except that the exercise must be on a cashless basis. Further, there are 6,139 Class A Warrants which expire on September 1, 2011 and give the holders the right to purchase one Class A common share at a price of $9.25 per share.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2008 500,102 Public Warrants were exercised at a price of $6 each and Class A common shares issued.</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September 22, 2008 the Company’s Board declared a starting dividend of $0.23 per Class A common share. The dividend, accrued in the balance sheet as of September 30, 2008, was paid on October 14, 2008 to Class A common shareholders of record on October 2,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12. Interest Rate Derivatives and Fair Value Measurements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and details of existing interest rate derivatives are set out in Note 8.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 During the nine months ended September 30, 2008, initial payments on derivatives of $4,730 were made.</w:t>
      </w:r>
    </w:p>
    <w:p>
      <w:pPr>
        <w:spacing w:after="0" w:line="12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loss on interest rate derivatives for the three and nine months ended September 30, 2008 was $6,436 and $1,095 respectively.</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Effective January 1, 2008, the Company adopted SFAS No. 157, “Fair Value Measurements” (“SFAS No. 157”). The fair value hierarchy under SFAS No. 157 has three levels based on the reliability of the inputs used to determine fair value as follows: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Level 3. Unobservable inputs in which there is little or no market data, which require the reporting entity to develop its own assumptions.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determined that the only derivative instruments that are measured at fair value on a recurring basis and categorised using the fair value hierarchy are its interest rate swap agreements. These are all categorised as Level 2 and at June 30, 2008 were an asset of $3,634. The fair value of the Company’s derivative instruments is the estimated amount that the Company would receive or pay to terminate the agreements at the reporting date, taking into account interest rates at that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13. Share-based compensation</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August 2008, the Company’s Board adopted the 2008 Equity Incentive Plan (the “Plan”), which entitles employees, consultants and directors of the Company and its subsidiaries to receive options, stock appreciation rights, stock grants, stock units and dividend equivalents.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granted on August 14, 2008 a total of 780,000 restricted share units under the Plan to the Chief Executive Officer, Chief Financial Officer and Chief Commercial Officer. The shares vest over a period of three years; one third on the first anniversary of the merger, one third on the second anniversary and one third on the third anniversary. The fair value of the restricted share units is calculated by multiplying the number of share units by the share value at the grant date, which is discounted for dividends forfeited over the vesting period.</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other awards granted by the Company during this period. There were no share based compensation schemes in place in the predecessor periods, and therefore no comparatives are provided.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340" w:type="dxa"/>
            <w:vAlign w:val="bottom"/>
            <w:gridSpan w:val="5"/>
          </w:tcPr>
          <w:p>
            <w:pPr>
              <w:ind w:left="52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910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Number of</w:t>
            </w:r>
          </w:p>
        </w:tc>
        <w:tc>
          <w:tcPr>
            <w:tcW w:w="6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100" w:type="dxa"/>
            <w:vAlign w:val="bottom"/>
          </w:tcPr>
          <w:p>
            <w:pPr>
              <w:spacing w:after="0"/>
              <w:rPr>
                <w:sz w:val="14"/>
                <w:szCs w:val="14"/>
                <w:color w:val="auto"/>
              </w:rPr>
            </w:pPr>
          </w:p>
        </w:tc>
        <w:tc>
          <w:tcPr>
            <w:tcW w:w="640" w:type="dxa"/>
            <w:vAlign w:val="bottom"/>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2007</w:t>
            </w:r>
          </w:p>
        </w:tc>
        <w:tc>
          <w:tcPr>
            <w:tcW w:w="6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Granted - August 14, 2008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780,000</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516"/>
              <w:spacing w:after="0"/>
              <w:rPr>
                <w:sz w:val="20"/>
                <w:szCs w:val="20"/>
                <w:color w:val="auto"/>
              </w:rPr>
            </w:pPr>
            <w:r>
              <w:rPr>
                <w:rFonts w:ascii="Arial" w:cs="Arial" w:eastAsia="Arial" w:hAnsi="Arial"/>
                <w:sz w:val="18"/>
                <w:szCs w:val="18"/>
                <w:color w:val="auto"/>
                <w:w w:val="85"/>
              </w:rPr>
              <w:t>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As at September 30, 2008</w:t>
            </w: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780,000</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496"/>
              <w:spacing w:after="0"/>
              <w:rPr>
                <w:sz w:val="20"/>
                <w:szCs w:val="20"/>
                <w:color w:val="auto"/>
              </w:rPr>
            </w:pPr>
            <w:r>
              <w:rPr>
                <w:rFonts w:ascii="Arial" w:cs="Arial" w:eastAsia="Arial" w:hAnsi="Arial"/>
                <w:sz w:val="18"/>
                <w:szCs w:val="18"/>
                <w:color w:val="auto"/>
                <w:w w:val="85"/>
              </w:rPr>
              <w:t>7.37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The fair value at the grant date is $7.37, which is the average closing price for the common stock on and surrounding the merger close date of August 14, 2008. The share value is discounted by 10.75% (the same rate used to discount the Class C shares in the purchase price allocation) for the estimated $0.23 quarterly dividend over the vesting period. Using the graded vesting method of expensing the restricted stock unit grants, the weighted average fair value of the shares calculated thereon is recognized as compensation costs in the income statement over the vesting period. During the period August 14, 2008 to September 30, 2008, the Company recognized a total of $355 share based compensation costs (2007: Nil). As at September 30, 2008, there was a total of $3,937 unrecognized compensation costs relating to the above share based awards (2007: Nil). The remaining costs are expected to be recognized over a period of 34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14. Subsequent events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dividend declared by the Company’s Board on September 22, 2008 was paid on October 14, 2008 to Class A common shareholders of record on October 2, 2008.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2019-12-15T16:28:59Z</dcterms:created>
  <dcterms:modified xsi:type="dcterms:W3CDTF">2019-12-15T16:28:59Z</dcterms:modified>
</cp:coreProperties>
</file>