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August 17, 2011</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80"/>
        <w:spacing w:after="0" w:line="207" w:lineRule="exact"/>
        <w:tabs>
          <w:tab w:leader="none" w:pos="5240" w:val="left"/>
          <w:tab w:leader="none" w:pos="5980" w:val="left"/>
          <w:tab w:leader="none" w:pos="68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00"/>
        <w:spacing w:after="0" w:line="207" w:lineRule="exact"/>
        <w:tabs>
          <w:tab w:leader="none" w:pos="5260" w:val="left"/>
          <w:tab w:leader="none" w:pos="600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00"/>
        <w:spacing w:after="0" w:line="207" w:lineRule="exact"/>
        <w:tabs>
          <w:tab w:leader="none" w:pos="5260" w:val="left"/>
          <w:tab w:leader="none" w:pos="600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40"/>
        <w:spacing w:after="0" w:line="207" w:lineRule="exact"/>
        <w:tabs>
          <w:tab w:leader="none" w:pos="5320" w:val="left"/>
          <w:tab w:leader="none" w:pos="60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Attached hereto as Exhibit I is a press release dated August 15, 2011 of Global Ship Lease, Inc. (the “Company”) reporting the Company’s financial results for the second quarter of 2011. Attached hereto as Exhibit II are the Company’s interim unaudited consolidated financial statements for the three month period ended June 30, 2011.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gridSpan w:val="2"/>
          </w:tcPr>
          <w:p>
            <w:pPr>
              <w:ind w:left="2280"/>
              <w:spacing w:after="0"/>
              <w:rPr>
                <w:sz w:val="20"/>
                <w:szCs w:val="20"/>
                <w:color w:val="auto"/>
              </w:rPr>
            </w:pPr>
            <w:r>
              <w:rPr>
                <w:rFonts w:ascii="Arial" w:cs="Arial" w:eastAsia="Arial" w:hAnsi="Arial"/>
                <w:sz w:val="18"/>
                <w:szCs w:val="18"/>
                <w:color w:val="auto"/>
              </w:rPr>
              <w:t>GLOBAL SHIP LEASE, INC.</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 August 17, 2011</w:t>
            </w:r>
          </w:p>
        </w:tc>
        <w:tc>
          <w:tcPr>
            <w:tcW w:w="7780" w:type="dxa"/>
            <w:vAlign w:val="bottom"/>
            <w:gridSpan w:val="2"/>
          </w:tcPr>
          <w:p>
            <w:pPr>
              <w:ind w:left="2280"/>
              <w:spacing w:after="0"/>
              <w:rPr>
                <w:sz w:val="20"/>
                <w:szCs w:val="20"/>
                <w:color w:val="auto"/>
              </w:rPr>
            </w:pPr>
            <w:r>
              <w:rPr>
                <w:rFonts w:ascii="Arial" w:cs="Arial" w:eastAsia="Arial" w:hAnsi="Arial"/>
                <w:sz w:val="18"/>
                <w:szCs w:val="18"/>
                <w:color w:val="auto"/>
              </w:rPr>
              <w:t>By:  /s/   Ian J. Webber</w:t>
            </w:r>
          </w:p>
        </w:tc>
      </w:tr>
      <w:tr>
        <w:trPr>
          <w:trHeight w:val="202"/>
        </w:trPr>
        <w:tc>
          <w:tcPr>
            <w:tcW w:w="36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Ian J. Webber</w:t>
            </w:r>
          </w:p>
        </w:tc>
      </w:t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378"/>
        </w:trPr>
        <w:tc>
          <w:tcPr>
            <w:tcW w:w="3640" w:type="dxa"/>
            <w:vAlign w:val="bottom"/>
          </w:tcPr>
          <w:p>
            <w:pPr>
              <w:spacing w:after="0"/>
              <w:rPr>
                <w:sz w:val="24"/>
                <w:szCs w:val="24"/>
                <w:color w:val="auto"/>
              </w:rPr>
            </w:pPr>
          </w:p>
        </w:tc>
        <w:tc>
          <w:tcPr>
            <w:tcW w:w="254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2011</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LONDON, ENGLAND – August 15, 2011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and six months ended June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 Highlights</w:t>
      </w:r>
    </w:p>
    <w:p>
      <w:pPr>
        <w:spacing w:after="0" w:line="96" w:lineRule="exact"/>
        <w:rPr>
          <w:sz w:val="20"/>
          <w:szCs w:val="20"/>
          <w:color w:val="auto"/>
        </w:rPr>
      </w:pPr>
    </w:p>
    <w:p>
      <w:pPr>
        <w:jc w:val="both"/>
        <w:ind w:right="20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$38.8 million for the second quarter 2011, down slightly from $39.6 million for the second quarter 2010 due mainly to 27 days offhire in second quarter 2011 for planned drydockings. Revenue for the six months ended June 30, 2011 was $77.9 million compared to $78.8 million for the six months ended June 30, 2010 due to planned drydockings in 2011</w:t>
      </w:r>
    </w:p>
    <w:p>
      <w:pPr>
        <w:spacing w:after="0" w:line="140" w:lineRule="exact"/>
        <w:rPr>
          <w:rFonts w:ascii="Arial" w:cs="Arial" w:eastAsia="Arial" w:hAnsi="Arial"/>
          <w:sz w:val="18"/>
          <w:szCs w:val="18"/>
          <w:color w:val="auto"/>
        </w:rPr>
      </w:pPr>
    </w:p>
    <w:p>
      <w:pPr>
        <w:ind w:right="60" w:firstLine="8"/>
        <w:spacing w:after="0" w:line="256"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loss of $11.7 million for the second quarter 2011, after $13.6 million non-cash impairment charge relating to the fair value of purchase options and $3.8 million non-cash interest rate derivative mark-to-market loss. For the second quarter 2010 the reported net loss was $5.0 million, after $12.5 million non-cash mark-to-market loss. Excluding the impairment charge and mark-to-market items, normalized net income</w:t>
      </w:r>
      <w:r>
        <w:rPr>
          <w:rFonts w:ascii="Arial" w:cs="Arial" w:eastAsia="Arial" w:hAnsi="Arial"/>
          <w:sz w:val="11"/>
          <w:szCs w:val="11"/>
          <w:color w:val="auto"/>
        </w:rPr>
        <w:t>(1)</w:t>
      </w:r>
      <w:r>
        <w:rPr>
          <w:rFonts w:ascii="Arial" w:cs="Arial" w:eastAsia="Arial" w:hAnsi="Arial"/>
          <w:sz w:val="18"/>
          <w:szCs w:val="18"/>
          <w:color w:val="auto"/>
        </w:rPr>
        <w:t xml:space="preserve"> was $5.8 million for the second quarter 2011 compared to normalized net income of $7.5 million for the second quarter 2010</w:t>
      </w:r>
    </w:p>
    <w:p>
      <w:pPr>
        <w:spacing w:after="0" w:line="143" w:lineRule="exact"/>
        <w:rPr>
          <w:rFonts w:ascii="Arial" w:cs="Arial" w:eastAsia="Arial" w:hAnsi="Arial"/>
          <w:sz w:val="18"/>
          <w:szCs w:val="18"/>
          <w:color w:val="auto"/>
        </w:rPr>
      </w:pPr>
    </w:p>
    <w:p>
      <w:pPr>
        <w:ind w:right="20" w:firstLine="8"/>
        <w:spacing w:after="0" w:line="259" w:lineRule="auto"/>
        <w:tabs>
          <w:tab w:leader="none" w:pos="102"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six months ended June 30, 2011 the reported net loss was $0.9 million, after the impairment charge and $1.2 million mark-to-market gain. The reported net loss of $1.7 million for the six months ended June 30, 2010 was after a mark-to-market loss of $17.3 million. Normalized net income for the six months ended June 30, 2011 was $11.6 million compared to $15.7 million for the six months ended June 30, 2010</w:t>
      </w:r>
    </w:p>
    <w:p>
      <w:pPr>
        <w:spacing w:after="0" w:line="140" w:lineRule="exact"/>
        <w:rPr>
          <w:rFonts w:ascii="Arial" w:cs="Arial" w:eastAsia="Arial" w:hAnsi="Arial"/>
          <w:sz w:val="18"/>
          <w:szCs w:val="18"/>
          <w:color w:val="auto"/>
        </w:rPr>
      </w:pPr>
    </w:p>
    <w:p>
      <w:pPr>
        <w:ind w:right="360" w:firstLine="8"/>
        <w:spacing w:after="0" w:line="306" w:lineRule="auto"/>
        <w:tabs>
          <w:tab w:leader="none" w:pos="102"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$25.7 million EBITDA</w:t>
      </w:r>
      <w:r>
        <w:rPr>
          <w:rFonts w:ascii="Arial" w:cs="Arial" w:eastAsia="Arial" w:hAnsi="Arial"/>
          <w:sz w:val="10"/>
          <w:szCs w:val="10"/>
          <w:color w:val="auto"/>
        </w:rPr>
        <w:t>(1)</w:t>
      </w:r>
      <w:r>
        <w:rPr>
          <w:rFonts w:ascii="Arial" w:cs="Arial" w:eastAsia="Arial" w:hAnsi="Arial"/>
          <w:sz w:val="16"/>
          <w:szCs w:val="16"/>
          <w:color w:val="auto"/>
        </w:rPr>
        <w:t xml:space="preserve"> for the second quarter 2011, down on $27.4 million for the second quarter 2010 due mainly to reduced revenue and increased costs as a result of planned drydockings. EBITDA for the six months ended June 30, 2011 was $52.0 million, compared to $55.7 million for the six months ended June 30, 2010 due mainly to planned drydockings in first quarter 2011 and increased crew costs</w:t>
      </w:r>
    </w:p>
    <w:p>
      <w:pPr>
        <w:spacing w:after="0" w:line="106" w:lineRule="exact"/>
        <w:rPr>
          <w:rFonts w:ascii="Arial" w:cs="Arial" w:eastAsia="Arial" w:hAnsi="Arial"/>
          <w:sz w:val="16"/>
          <w:szCs w:val="16"/>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$10.0 million in debt during the second quarter of 2011; Repaid $23.9 million year-to-date and $90.1 million since August of 2009</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Ian Webber, Chief Executive Officer of Global Ship Lease, stated, “With an EBITDA of $25.7 million for the second quarter, our 17 long-term fixed rate time charters continue to generate consistent, stable and predictable cash flows. During the quarter, utilization levels once again remained high. Although we are currently seeing a slowdown in the recovery of containerized shipping, our business model insulates us from the direct impact of volatile freight markets. The average remaining term of our charters is more than 8.8 years on a weighted basis with no renewals until the end of 2012; our fleet represents a total contracted revenue stream of $1.3 billion. We continue to believe that the Company’s business model supports the delivery of dividends to shareholders over the long-term and the Board will continue to evaluate the dividend policy on a quarterly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80" w:right="239" w:bottom="1440" w:gutter="0" w:footer="0" w:header="0"/>
        </w:sectPr>
      </w:pPr>
    </w:p>
    <w:bookmarkStart w:id="3" w:name="page4"/>
    <w:bookmarkEnd w:id="3"/>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Webber continued, “We do not have any purchase obligations and have continued to use our cash flow to pay down debt. Since August 2009, we have paid down $90.1 million including $23.9 million year-to- date. We remain committed to maintaining a strong balance sheet for the benefit of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1"/>
              </w:rPr>
              <w:t>June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1"/>
              </w:rPr>
              <w:t>June 30,</w:t>
            </w:r>
          </w:p>
        </w:tc>
      </w:tr>
      <w:tr>
        <w:trPr>
          <w:trHeight w:val="161"/>
        </w:trPr>
        <w:tc>
          <w:tcPr>
            <w:tcW w:w="72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38,774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39,611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77,878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78,762</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2,102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17,438</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18,378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35,843</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(11,693)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(4,954)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EBITDA (1)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25,736</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27,422</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51,961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55,698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4"/>
              </w:rPr>
              <w:t>11,631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15,661</w:t>
            </w:r>
          </w:p>
        </w:tc>
      </w:tr>
    </w:tbl>
    <w:p>
      <w:pPr>
        <w:spacing w:after="0" w:line="194" w:lineRule="exact"/>
        <w:rPr>
          <w:sz w:val="20"/>
          <w:szCs w:val="20"/>
          <w:color w:val="auto"/>
        </w:rPr>
      </w:pPr>
    </w:p>
    <w:p>
      <w:pPr>
        <w:ind w:left="460" w:right="3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17 vessel fleet generated revenue from fixed rate long-term time charters of $38.8 million in the three months ended June 30, 2011, down $0.8 million on revenue of $39.6 million for the comparative period in 2010. The decrease in revenue is due mainly to 27 days offhire for planned dry-docking of three vessels. During the three months ended June 30, 2011, there were 1,547 ownership days, the same as the comparable period in 2010. The 27 days offhire for dry-dockings and five unplanned offhire days in the three months ended June 30, 2011, gives a utilization of 97.9%. In the comparable period of 2010, there was no off-hire, representing utilization of 100.0%.</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six months ended June 30, 2011, revenue was $77.9 million, down $0.9 million on revenue of $78.8 million in the comparative period, mainly due to the effect of the drydockings noted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fleet utilization for the three and six months ended June 30, 2011 and 2010 and for the year ended December 31,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159"/>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6"/>
          </w:tcPr>
          <w:p>
            <w:pPr>
              <w:jc w:val="right"/>
              <w:ind w:right="800"/>
              <w:spacing w:after="0" w:line="159" w:lineRule="exact"/>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gridSpan w:val="3"/>
          </w:tcPr>
          <w:p>
            <w:pPr>
              <w:spacing w:after="0" w:line="159" w:lineRule="exact"/>
              <w:rPr>
                <w:sz w:val="20"/>
                <w:szCs w:val="20"/>
                <w:color w:val="auto"/>
              </w:rPr>
            </w:pPr>
            <w:r>
              <w:rPr>
                <w:rFonts w:ascii="Arial" w:cs="Arial" w:eastAsia="Arial" w:hAnsi="Arial"/>
                <w:sz w:val="14"/>
                <w:szCs w:val="14"/>
                <w:color w:val="auto"/>
                <w:w w:val="89"/>
              </w:rPr>
              <w:t>Six months ended</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31"/>
        </w:trPr>
        <w:tc>
          <w:tcPr>
            <w:tcW w:w="6080" w:type="dxa"/>
            <w:vAlign w:val="bottom"/>
            <w:vMerge w:val="restart"/>
          </w:tcPr>
          <w:p>
            <w:pPr>
              <w:spacing w:after="0"/>
              <w:rPr>
                <w:sz w:val="20"/>
                <w:szCs w:val="20"/>
                <w:color w:val="auto"/>
              </w:rPr>
            </w:pPr>
            <w:r>
              <w:rPr>
                <w:rFonts w:ascii="Arial" w:cs="Arial" w:eastAsia="Arial" w:hAnsi="Arial"/>
                <w:sz w:val="14"/>
                <w:szCs w:val="14"/>
                <w:color w:val="auto"/>
              </w:rPr>
              <w:t>Days</w:t>
            </w:r>
          </w:p>
        </w:tc>
        <w:tc>
          <w:tcPr>
            <w:tcW w:w="200" w:type="dxa"/>
            <w:vAlign w:val="bottom"/>
            <w:vMerge w:val="restart"/>
          </w:tcPr>
          <w:p>
            <w:pPr>
              <w:spacing w:after="0"/>
              <w:rPr>
                <w:sz w:val="11"/>
                <w:szCs w:val="11"/>
                <w:color w:val="auto"/>
              </w:rPr>
            </w:pPr>
          </w:p>
        </w:tc>
        <w:tc>
          <w:tcPr>
            <w:tcW w:w="740" w:type="dxa"/>
            <w:vAlign w:val="bottom"/>
            <w:tcBorders>
              <w:top w:val="single" w:sz="8" w:color="auto"/>
            </w:tcBorders>
            <w:gridSpan w:val="2"/>
          </w:tcPr>
          <w:p>
            <w:pPr>
              <w:jc w:val="right"/>
              <w:ind w:right="300"/>
              <w:spacing w:after="0" w:line="131" w:lineRule="exact"/>
              <w:rPr>
                <w:sz w:val="20"/>
                <w:szCs w:val="20"/>
                <w:color w:val="auto"/>
              </w:rPr>
            </w:pPr>
            <w:r>
              <w:rPr>
                <w:rFonts w:ascii="Arial" w:cs="Arial" w:eastAsia="Arial" w:hAnsi="Arial"/>
                <w:sz w:val="14"/>
                <w:szCs w:val="14"/>
                <w:color w:val="auto"/>
                <w:w w:val="78"/>
              </w:rPr>
              <w:t>June 30,</w:t>
            </w:r>
          </w:p>
        </w:tc>
        <w:tc>
          <w:tcPr>
            <w:tcW w:w="74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1"/>
              </w:rPr>
              <w:t>June 30,</w:t>
            </w: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20"/>
              <w:spacing w:after="0" w:line="131" w:lineRule="exact"/>
              <w:rPr>
                <w:sz w:val="20"/>
                <w:szCs w:val="20"/>
                <w:color w:val="auto"/>
              </w:rPr>
            </w:pPr>
            <w:r>
              <w:rPr>
                <w:rFonts w:ascii="Arial" w:cs="Arial" w:eastAsia="Arial" w:hAnsi="Arial"/>
                <w:sz w:val="14"/>
                <w:szCs w:val="14"/>
                <w:color w:val="auto"/>
                <w:w w:val="78"/>
              </w:rPr>
              <w:t>June 30,</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00"/>
              <w:spacing w:after="0" w:line="131" w:lineRule="exact"/>
              <w:rPr>
                <w:sz w:val="20"/>
                <w:szCs w:val="20"/>
                <w:color w:val="auto"/>
              </w:rPr>
            </w:pPr>
            <w:r>
              <w:rPr>
                <w:rFonts w:ascii="Arial" w:cs="Arial" w:eastAsia="Arial" w:hAnsi="Arial"/>
                <w:sz w:val="14"/>
                <w:szCs w:val="14"/>
                <w:color w:val="auto"/>
                <w:w w:val="78"/>
              </w:rPr>
              <w:t>June 30,</w:t>
            </w: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gridSpan w:val="2"/>
          </w:tcPr>
          <w:p>
            <w:pPr>
              <w:jc w:val="center"/>
              <w:ind w:right="100"/>
              <w:spacing w:after="0" w:line="131"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60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46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4"/>
                <w:szCs w:val="14"/>
                <w:color w:val="auto"/>
              </w:rPr>
              <w:t>2011</w:t>
            </w:r>
          </w:p>
        </w:tc>
        <w:tc>
          <w:tcPr>
            <w:tcW w:w="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2010</w:t>
            </w:r>
          </w:p>
        </w:tc>
        <w:tc>
          <w:tcPr>
            <w:tcW w:w="2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1"/>
              </w:rPr>
              <w:t>Change</w:t>
            </w:r>
          </w:p>
        </w:tc>
        <w:tc>
          <w:tcPr>
            <w:tcW w:w="4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2010</w:t>
            </w:r>
          </w:p>
        </w:tc>
        <w:tc>
          <w:tcPr>
            <w:tcW w:w="2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1"/>
              </w:rPr>
              <w:t>Change</w:t>
            </w:r>
          </w:p>
        </w:tc>
        <w:tc>
          <w:tcPr>
            <w:tcW w:w="3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3,077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Operating days</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1,515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1,547</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   3,042</w:t>
            </w:r>
          </w:p>
        </w:tc>
        <w:tc>
          <w:tcPr>
            <w:tcW w:w="2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3,092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   6,202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drydocking of two vessels had been completed by June 30, 2011 with a further five vessels due to be drydocked in the second half of 2011 and six in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will lead to increased planned offhire compared to 2010 when no vessels were drydocked.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Vessel operating expenses, which include costs of crew, lubricating oil, spares and insurance, were $11.3 million for the three months ended June 30, 2011. The average cost per ownership day was $7,275, up $261 or 3.7% on $7,014 for the rolling four quarters ended March 31, 2011. The increase is due to increased crew costs, from the third quarter 2010, as a result of inflation and adverse exchange rate movements as a portion of crew costs are denominated in euros, together with costs expensed in the three months ended June 30, 2011 relating to the drydockings such as for bunker fuel consumed in steaming to and from the drydock facilities. The second quarter 2011 average daily cost was up 11% from the average daily cost of $6,565 for the comparative period in 2010 due to increased crew costs and costs incurred in connection with drydocking.</w:t>
      </w:r>
    </w:p>
    <w:p>
      <w:pPr>
        <w:spacing w:after="0" w:line="12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For the six months ended June 30, 2011 vessel operating expenses were $22.3 million or an average of $7,247 per day compared to $19.7 million in the comparative period or $6,418 per day.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Depreciation of $10.0 million for the three months ended June 30, 2011 was the same as in the comparative period in 2010 as there were no changes to the fleet.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six months ended June 30, 2011 was $19.9 million, the same as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General and administrative costs incurred were $1.9 million in the three months ended June 30, 2011, compared to $2.1 million for the comparable period in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2011, general and administrative costs were $3.8 million compared to $3.9 million for the comparable period in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90"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On November 8, 2010, the Company signed agreements with the sellers of two 4,250 TEU new buildings to (i) terminate the Company’s obligations under contracts entered into in September 2008 to purchase the vessels on their delivery to the sellers by the builder, which was anticipated to be at the end of 2010 and</w:t>
      </w:r>
    </w:p>
    <w:p>
      <w:pPr>
        <w:ind w:right="540" w:firstLine="8"/>
        <w:spacing w:after="0" w:line="323"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grant the Company options to purchase the vessels on the first anniversary of their delivery by the builder to the sellers. Intangible assets totaling $13.6 million relating to these purchase options were recognized at the fair value of the purchase options on the date of the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purchase options are to be declared by September 16, 2011 for one vessel and October 4, 2011 for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other, with the purchases to be completed approximately 90 days later. The purchase of these vessels was always predicated on achieving a strong return for shareholders by acquiring the vessels, which had time charters attached, at an attractive price and securing financing on favorable terms. Whilst the Company continues to discuss the financing of these vessels with various providers of capital, obtaining committed finance on terms that will deliver the required returns will be challenging. Accordingly, the Company has decided to write off the intangible assets relating to these purchase options. The underlying agreements providing the purchase options are not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June 30, 2011 was $0.1 million, the same as the comparative period.</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six months ended June 30, 2011, other operating income was $0.2 million compared to $0.6 million in the comparative period which included $0.5 million tax refund relating to Marathon Acquisition Corp. prior to August 14,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a result of the above, EBITDA was $25.7 million for the three months ended June 30, 2011 down from $27.4 million for the three months ended June 30,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six months to June 30, 2011 was $52.0 million compared to $55.7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June 30, 2011 was $5.1 million. The Company’s borrowings under its credit facility averaged $519.0 million during the three months ended June 30, 2011. There were $48.0 million preferred shares throughout the period giving total average borrowings through the three months ended June 30, 2011 of $567.0 million. Interest expense in the comparative period in 2010 was $6.0 million on average borrowings, including the preferred shares, of $632.1 million.</w:t>
      </w:r>
    </w:p>
    <w:p>
      <w:pPr>
        <w:spacing w:after="0" w:line="1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the six months ended June 30, 2011, interest expense, excluding the effect of interest rate derivatives which do not qualify for hedge accounting, was $10.7 million. The Company’s borrowings under its credit facility averaged $525.8 million during first half 2011. There were $48.0 million preferred shares throughout the period. Interest expense in first half 2010 was $11.9 million based on average borrowings, including the preferred shares, of $633.2 million in the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six months ended June 30, 2011 and 2010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an $8.7 million loss in the three months ended June 30, 2011, reflecting current LIBOR rates and movements in the forward curve for interest rates. Of this amount, $4.9 million was a realized loss for settlements of swaps in the period and $3.8 million was an unrealized loss for revaluation of the balance sheet position. This compares to a $16.4 million loss in the three months ended June 30, 2010 of which $3.9 million was a realized loss and $12.5 million was an unrealized loss.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60"/>
          </w:cols>
          <w:pgMar w:left="240" w:top="280" w:right="299" w:bottom="1440" w:gutter="0" w:footer="0" w:header="0"/>
        </w:sectPr>
      </w:pPr>
    </w:p>
    <w:bookmarkStart w:id="6" w:name="page7"/>
    <w:bookmarkEnd w:id="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six months ended June 30, 2011 the total loss from derivative hedging instruments was $8.5 million of which $9.7 million was realized and $1.2 million was an unrealized gain compared to a total loss in the six months ended June 30, 2010 of $25.7 million of which $8.3 million was a realized loss and $17.3 million was an unrealized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the total mark-to-market unrealized loss recognized as a liability on the balance sheet was $43.3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and six months ended June 30, 2011 and 2010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Net loss for the three months ended June 30, 2011 was $11.7 million after $13.6 million non-cash impairment charge relating to the fair value of purchase options and $3.8 million non-cash interest rate derivative mark-to-market loss. For the three months ended June 30, 2010 net loss was $5.0 million, after $12.5 million non-cash interest rate derivative mark-to-market loss. Normalized net income, excluding the effect of the non-cash impairment charge and non-cash interest rate derivative mark-to-market and losses, was $5.8 million for the three months ended June 30, 2011 and $7.5 million for the three months ended June 30, 2010.</w:t>
      </w:r>
    </w:p>
    <w:p>
      <w:pPr>
        <w:spacing w:after="0" w:line="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Net loss was $0.9 million for the six months ended June 30, 2011 after the non-cash impairment charge and $1.2 million non-cash interest rate derivative mark-to-market gain. For the six months ended June 30, 2010 net loss was $1.7 million including $17.3 million non-cash interest rate derivative mark-to-market loss. Normalized net income was $11.6 million for the six months ended June 30, 2011 and $15.7 million for the six months ended June 30,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leverage ratio under the loan-to-value test as at April 30, 2011 was less than 75% and greater than 65%. Accordingly, the interest margin applied on amounts borrowed under the credit facility decreased by 50 basis points to 3.00% with effect from May 1, 2011. Further, the full cash sweep to prepay borrowings no longer applies and prepayments are fixed at $10 million per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Finally, Global Ship Lease may resume the payment of dividends to common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next loan-to-value test including updated market values of the Company’s vessels will be as at November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2011 a total of $10.0 million of debt was prepaid leaving a balance outstanding of $509.0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paying a dividend on common shares.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order to achieve the objective of distributing sustainable dividends to shareholders over the long-term and grow the Company accretively, the Board of Directors reviews the Company’s dividend policy on a quarterly basis, taking into consideration capital structure, growth opportunities, industry fundamentals, asset value trends and future financial performance including cash flow, among others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Purchase Date</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Charter</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5"/>
              </w:rPr>
              <w:t>Capacity</w:t>
            </w:r>
          </w:p>
        </w:tc>
        <w:tc>
          <w:tcPr>
            <w:tcW w:w="7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Year</w:t>
            </w:r>
          </w:p>
        </w:tc>
        <w:tc>
          <w:tcPr>
            <w:tcW w:w="1340" w:type="dxa"/>
            <w:vAlign w:val="bottom"/>
            <w:gridSpan w:val="2"/>
            <w:vMerge w:val="continue"/>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Term</w:t>
            </w:r>
          </w:p>
        </w:tc>
        <w:tc>
          <w:tcPr>
            <w:tcW w:w="14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6060" w:type="dxa"/>
            <w:vAlign w:val="bottom"/>
          </w:tcPr>
          <w:p>
            <w:pPr>
              <w:spacing w:after="0"/>
              <w:rPr>
                <w:sz w:val="15"/>
                <w:szCs w:val="15"/>
                <w:color w:val="auto"/>
              </w:rPr>
            </w:pPr>
          </w:p>
        </w:tc>
        <w:tc>
          <w:tcPr>
            <w:tcW w:w="940" w:type="dxa"/>
            <w:vAlign w:val="bottom"/>
            <w:gridSpan w:val="2"/>
          </w:tcPr>
          <w:p>
            <w:pPr>
              <w:jc w:val="right"/>
              <w:ind w:right="300"/>
              <w:spacing w:after="0" w:line="162" w:lineRule="exact"/>
              <w:rPr>
                <w:sz w:val="20"/>
                <w:szCs w:val="20"/>
                <w:color w:val="auto"/>
              </w:rPr>
            </w:pPr>
            <w:r>
              <w:rPr>
                <w:rFonts w:ascii="Arial" w:cs="Arial" w:eastAsia="Arial" w:hAnsi="Arial"/>
                <w:sz w:val="12"/>
                <w:szCs w:val="12"/>
                <w:b w:val="1"/>
                <w:bCs w:val="1"/>
                <w:color w:val="auto"/>
                <w:w w:val="98"/>
              </w:rPr>
              <w:t xml:space="preserve">in TEUs </w:t>
            </w:r>
            <w:r>
              <w:rPr>
                <w:rFonts w:ascii="Arial" w:cs="Arial" w:eastAsia="Arial" w:hAnsi="Arial"/>
                <w:sz w:val="18"/>
                <w:szCs w:val="18"/>
                <w:b w:val="1"/>
                <w:bCs w:val="1"/>
                <w:color w:val="auto"/>
                <w:w w:val="98"/>
                <w:vertAlign w:val="superscript"/>
              </w:rPr>
              <w:t>(1)</w:t>
            </w: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by GSL</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(years)</w:t>
            </w:r>
          </w:p>
        </w:tc>
        <w:tc>
          <w:tcPr>
            <w:tcW w:w="14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December 2007</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4,113</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1996</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2,262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1999</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2,272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5,089</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5,089</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2007</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4,298</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4,045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2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December 2008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August 2009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Twenty-foot Equivalent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2011 today, Monday, August 15, 2011 at 10:30 a.m. Eastern Time. There are two ways to access the conference call:</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Dial-in: (866) 966-9439 or (631) 510-7498; Passcode: 87071587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Monday, August 29, 2011 at (866) 247-4222 or (631) 510-7499.</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87071587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 xml:space="preserve">Global Ship Lease, Inc has filed its Annual Report for 2010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Shareholders may request a hard copy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audited financial statements free of charge by contacting the Company at </w:t>
      </w:r>
      <w:r>
        <w:rPr>
          <w:rFonts w:ascii="Arial" w:cs="Arial" w:eastAsia="Arial" w:hAnsi="Arial"/>
          <w:sz w:val="18"/>
          <w:szCs w:val="18"/>
          <w:u w:val="single" w:color="auto"/>
          <w:color w:val="auto"/>
        </w:rPr>
        <w:t>info@globalshiplease.com</w:t>
      </w:r>
      <w:r>
        <w:rPr>
          <w:rFonts w:ascii="Arial" w:cs="Arial" w:eastAsia="Arial" w:hAnsi="Arial"/>
          <w:sz w:val="18"/>
          <w:szCs w:val="18"/>
          <w:color w:val="auto"/>
        </w:rPr>
        <w:t xml:space="preserve"> or by writing to Global Ship Lease, Inc, care of Global Ship Lease Services Limited, Portland House, Stag Place, London SW1E 5RS or by telephoning +44 (0) 207 869 8806.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June 30, 2011 of 7.3 years. All of the current vessels are fixed on long-term charters to CMA CGM with an average remaining term of 7.6 years, or 8.8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 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Jun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Jun 30,</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Jun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Jun 30,</w:t>
            </w:r>
          </w:p>
        </w:tc>
        <w:tc>
          <w:tcPr>
            <w:tcW w:w="0" w:type="dxa"/>
            <w:vAlign w:val="bottom"/>
          </w:tcPr>
          <w:p>
            <w:pPr>
              <w:spacing w:after="0"/>
              <w:rPr>
                <w:sz w:val="1"/>
                <w:szCs w:val="1"/>
                <w:color w:val="auto"/>
              </w:rPr>
            </w:pPr>
          </w:p>
        </w:tc>
      </w:tr>
      <w:tr>
        <w:trPr>
          <w:trHeight w:val="159"/>
        </w:trPr>
        <w:tc>
          <w:tcPr>
            <w:tcW w:w="800" w:type="dxa"/>
            <w:vAlign w:val="bottom"/>
            <w:tcBorders>
              <w:bottom w:val="single" w:sz="8" w:color="CCEEFF"/>
            </w:tcBorders>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(11,693)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(4,954)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00" w:type="dxa"/>
            <w:vAlign w:val="bottom"/>
          </w:tcPr>
          <w:p>
            <w:pPr>
              <w:spacing w:after="0"/>
              <w:rPr>
                <w:sz w:val="20"/>
                <w:szCs w:val="20"/>
                <w:color w:val="auto"/>
              </w:rPr>
            </w:pPr>
            <w:r>
              <w:rPr>
                <w:rFonts w:ascii="Arial" w:cs="Arial" w:eastAsia="Arial" w:hAnsi="Arial"/>
                <w:sz w:val="18"/>
                <w:szCs w:val="18"/>
                <w:color w:val="auto"/>
              </w:rPr>
              <w:t>Adjust:</w:t>
            </w:r>
          </w:p>
        </w:tc>
        <w:tc>
          <w:tcPr>
            <w:tcW w:w="644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600" w:type="dxa"/>
            <w:vAlign w:val="bottom"/>
          </w:tcPr>
          <w:p>
            <w:pPr>
              <w:jc w:val="right"/>
              <w:spacing w:after="0"/>
              <w:rPr>
                <w:sz w:val="20"/>
                <w:szCs w:val="20"/>
                <w:color w:val="auto"/>
              </w:rPr>
            </w:pPr>
            <w:r>
              <w:rPr>
                <w:rFonts w:ascii="Arial" w:cs="Arial" w:eastAsia="Arial" w:hAnsi="Arial"/>
                <w:sz w:val="18"/>
                <w:szCs w:val="18"/>
                <w:color w:val="auto"/>
              </w:rPr>
              <w:t>9,989</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9,984</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19,938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19,855</w:t>
            </w:r>
          </w:p>
        </w:tc>
        <w:tc>
          <w:tcPr>
            <w:tcW w:w="0" w:type="dxa"/>
            <w:vAlign w:val="bottom"/>
          </w:tcPr>
          <w:p>
            <w:pPr>
              <w:spacing w:after="0"/>
              <w:rPr>
                <w:sz w:val="1"/>
                <w:szCs w:val="1"/>
                <w:color w:val="auto"/>
              </w:rPr>
            </w:pPr>
          </w:p>
        </w:tc>
      </w:tr>
      <w:tr>
        <w:trPr>
          <w:trHeight w:val="217"/>
        </w:trPr>
        <w:tc>
          <w:tcPr>
            <w:tcW w:w="800" w:type="dxa"/>
            <w:vAlign w:val="bottom"/>
            <w:shd w:val="clear" w:color="auto" w:fill="CCEEFF"/>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charge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13,645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10,668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11,904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Realized and unrealized loss (gain) on interest rate derivatives</w:t>
            </w:r>
          </w:p>
        </w:tc>
        <w:tc>
          <w:tcPr>
            <w:tcW w:w="600" w:type="dxa"/>
            <w:vAlign w:val="bottom"/>
          </w:tcPr>
          <w:p>
            <w:pPr>
              <w:jc w:val="right"/>
              <w:spacing w:after="0"/>
              <w:rPr>
                <w:sz w:val="20"/>
                <w:szCs w:val="20"/>
                <w:color w:val="auto"/>
              </w:rPr>
            </w:pPr>
            <w:r>
              <w:rPr>
                <w:rFonts w:ascii="Arial" w:cs="Arial" w:eastAsia="Arial" w:hAnsi="Arial"/>
                <w:sz w:val="18"/>
                <w:szCs w:val="18"/>
                <w:color w:val="auto"/>
              </w:rPr>
              <w:t>8,671</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16,389</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8,492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25,663</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6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vMerge w:val="continue"/>
          </w:tcPr>
          <w:p>
            <w:pPr>
              <w:spacing w:after="0"/>
              <w:rPr>
                <w:sz w:val="19"/>
                <w:szCs w:val="19"/>
                <w:color w:val="auto"/>
              </w:rPr>
            </w:pPr>
          </w:p>
        </w:tc>
        <w:tc>
          <w:tcPr>
            <w:tcW w:w="6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25,736</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27,422</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51,961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55,698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80"/>
          </w:cols>
          <w:pgMar w:left="240" w:top="28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Six</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Jun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Jun 30,</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Jun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Jun 30,</w:t>
            </w:r>
          </w:p>
        </w:tc>
        <w:tc>
          <w:tcPr>
            <w:tcW w:w="0" w:type="dxa"/>
            <w:vAlign w:val="bottom"/>
          </w:tcPr>
          <w:p>
            <w:pPr>
              <w:spacing w:after="0"/>
              <w:rPr>
                <w:sz w:val="1"/>
                <w:szCs w:val="1"/>
                <w:color w:val="auto"/>
              </w:rPr>
            </w:pPr>
          </w:p>
        </w:tc>
      </w:tr>
      <w:tr>
        <w:trPr>
          <w:trHeight w:val="159"/>
        </w:trPr>
        <w:tc>
          <w:tcPr>
            <w:tcW w:w="72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(11,693)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(4,954)</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Adjust:   Change in value of derivatives</w:t>
            </w:r>
          </w:p>
        </w:tc>
        <w:tc>
          <w:tcPr>
            <w:tcW w:w="600" w:type="dxa"/>
            <w:vAlign w:val="bottom"/>
          </w:tcPr>
          <w:p>
            <w:pPr>
              <w:jc w:val="right"/>
              <w:spacing w:after="0"/>
              <w:rPr>
                <w:sz w:val="20"/>
                <w:szCs w:val="20"/>
                <w:color w:val="auto"/>
              </w:rPr>
            </w:pPr>
            <w:r>
              <w:rPr>
                <w:rFonts w:ascii="Arial" w:cs="Arial" w:eastAsia="Arial" w:hAnsi="Arial"/>
                <w:sz w:val="18"/>
                <w:szCs w:val="18"/>
                <w:color w:val="auto"/>
              </w:rPr>
              <w:t>3,802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12,454</w:t>
            </w:r>
          </w:p>
        </w:tc>
        <w:tc>
          <w:tcPr>
            <w:tcW w:w="3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(1,160)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17,333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charge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13,645</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Normalized net income</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5,754</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11,631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15,661</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the future growth of the container shipping industry, including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80" w:right="279" w:bottom="1440" w:gutter="0" w:footer="0" w:header="0"/>
        </w:sectPr>
      </w:pPr>
    </w:p>
    <w:bookmarkStart w:id="10" w:name="page11"/>
    <w:bookmarkEnd w:id="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rates of annual demand and supply growth;</w:t>
      </w:r>
    </w:p>
    <w:p>
      <w:pPr>
        <w:spacing w:after="0" w:line="90" w:lineRule="exact"/>
        <w:rPr>
          <w:sz w:val="20"/>
          <w:szCs w:val="20"/>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Time charter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38,774</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39,611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77,878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78,762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10,156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22,297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19,938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17,438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18,378</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(3,935)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interest rate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(11,617)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(11,693)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(4,954)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47,188,978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46,830,467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47,187,685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47,188,978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46,830,467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47,187,685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 $ per Class A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32,311</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905,974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922,498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909,453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954,498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67,413</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468,953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563,064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630,477</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Common stock – authorized 214,000,000 shares with a $0.01 par value; 47,188,978 shares issued and outstanding (2010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47,130,467)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0"/>
              </w:rPr>
              <w:t>Class B Common stock – authorized 20,000,000 shares with a $0.01 par value; 7,405,956 shares issued and outstanding (2010 –</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ind w:left="220"/>
              <w:spacing w:after="0"/>
              <w:rPr>
                <w:sz w:val="20"/>
                <w:szCs w:val="20"/>
                <w:color w:val="auto"/>
              </w:rPr>
            </w:pPr>
            <w:r>
              <w:rPr>
                <w:rFonts w:ascii="Arial" w:cs="Arial" w:eastAsia="Arial" w:hAnsi="Arial"/>
                <w:sz w:val="18"/>
                <w:szCs w:val="18"/>
                <w:color w:val="auto"/>
              </w:rPr>
              <w:t>7,405,956)</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351,605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(28,130)</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324,021</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954,498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Adjustments to Reconcile Net Loss to Net Cash Provided by Operating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13,645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12,454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receivable and other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Increase in accounts payable and other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 (gain)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19,194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25,687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intangible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drydockings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Repayment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(10,000)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(30,959)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(23,816)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(30,959)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(35,051)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(10,027)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28,539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41,356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32,311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31,329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32,311</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2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11,866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10,568</w:t>
            </w:r>
          </w:p>
        </w:tc>
        <w:tc>
          <w:tcPr>
            <w:tcW w:w="0" w:type="dxa"/>
            <w:vAlign w:val="bottom"/>
          </w:tcPr>
          <w:p>
            <w:pPr>
              <w:spacing w:after="0"/>
              <w:rPr>
                <w:sz w:val="1"/>
                <w:szCs w:val="1"/>
                <w:color w:val="auto"/>
              </w:rPr>
            </w:pPr>
          </w:p>
        </w:tc>
      </w:tr>
      <w:tr>
        <w:trPr>
          <w:trHeight w:val="322"/>
        </w:trPr>
        <w:tc>
          <w:tcPr>
            <w:tcW w:w="692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420"/>
              <w:spacing w:after="0"/>
              <w:rPr>
                <w:sz w:val="20"/>
                <w:szCs w:val="20"/>
                <w:color w:val="auto"/>
              </w:rPr>
            </w:pPr>
            <w:r>
              <w:rPr>
                <w:rFonts w:ascii="Arial" w:cs="Arial" w:eastAsia="Arial" w:hAnsi="Arial"/>
                <w:sz w:val="18"/>
                <w:szCs w:val="18"/>
                <w:color w:val="auto"/>
              </w:rPr>
              <w:t>Page 12</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AND SIX MONTH PERIODS ENDED JUNE 30, 2011</w:t>
      </w:r>
    </w:p>
    <w:p>
      <w:pPr>
        <w:sectPr>
          <w:pgSz w:w="11900" w:h="16838" w:orient="portrait"/>
          <w:cols w:equalWidth="0" w:num="1">
            <w:col w:w="10220"/>
          </w:cols>
          <w:pgMar w:left="14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340" w:type="dxa"/>
            <w:vAlign w:val="bottom"/>
            <w:vMerge w:val="restart"/>
          </w:tcPr>
          <w:p>
            <w:pPr>
              <w:jc w:val="right"/>
              <w:ind w:right="114"/>
              <w:spacing w:after="0"/>
              <w:rPr>
                <w:sz w:val="20"/>
                <w:szCs w:val="20"/>
                <w:color w:val="auto"/>
              </w:rPr>
            </w:pPr>
            <w:r>
              <w:rPr>
                <w:rFonts w:ascii="Arial" w:cs="Arial" w:eastAsia="Arial" w:hAnsi="Arial"/>
                <w:sz w:val="14"/>
                <w:szCs w:val="14"/>
                <w:color w:val="auto"/>
              </w:rPr>
              <w:t>Note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3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32,311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Accounts receivable</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receivables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Vessels in operation</w:t>
            </w:r>
          </w:p>
        </w:tc>
        <w:tc>
          <w:tcPr>
            <w:tcW w:w="3340" w:type="dxa"/>
            <w:vAlign w:val="bottom"/>
            <w:vMerge w:val="restart"/>
          </w:tcPr>
          <w:p>
            <w:pPr>
              <w:jc w:val="right"/>
              <w:ind w:right="11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80" w:type="dxa"/>
            <w:vAlign w:val="bottom"/>
            <w:gridSpan w:val="2"/>
            <w:vMerge w:val="continue"/>
          </w:tcPr>
          <w:p>
            <w:pPr>
              <w:spacing w:after="0"/>
              <w:rPr>
                <w:sz w:val="19"/>
                <w:szCs w:val="19"/>
                <w:color w:val="auto"/>
              </w:rPr>
            </w:pPr>
          </w:p>
        </w:tc>
        <w:tc>
          <w:tcPr>
            <w:tcW w:w="33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905,974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334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909,453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954,498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expenses</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67,413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468,953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Preferred shares</w:t>
            </w:r>
          </w:p>
        </w:tc>
        <w:tc>
          <w:tcPr>
            <w:tcW w:w="3340" w:type="dxa"/>
            <w:vAlign w:val="bottom"/>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34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25,001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563,064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80" w:type="dxa"/>
            <w:vAlign w:val="bottom"/>
            <w:gridSpan w:val="2"/>
            <w:vMerge w:val="continue"/>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630,477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w w:val="92"/>
              </w:rPr>
              <w:t>Class A Common stock – authorized 214,000,000 shares with a $0.01 par value; 47,188,978 shares issued and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outstanding (2010 – 47,130,467)</w:t>
            </w:r>
          </w:p>
        </w:tc>
        <w:tc>
          <w:tcPr>
            <w:tcW w:w="960" w:type="dxa"/>
            <w:vAlign w:val="bottom"/>
          </w:tcPr>
          <w:p>
            <w:pPr>
              <w:jc w:val="right"/>
              <w:ind w:right="139"/>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 authorized 20,000,000 shares with a $0.01 par value; 7,405,956 shares issued and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(2010 – 7,405,956)</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351,605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(28,130)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324,021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324,564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954,498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0" w:type="dxa"/>
            <w:vAlign w:val="bottom"/>
            <w:vMerge w:val="restart"/>
          </w:tcPr>
          <w:p>
            <w:pPr>
              <w:jc w:val="right"/>
              <w:ind w:right="134"/>
              <w:spacing w:after="0"/>
              <w:rPr>
                <w:sz w:val="20"/>
                <w:szCs w:val="20"/>
                <w:color w:val="auto"/>
              </w:rPr>
            </w:pPr>
            <w:r>
              <w:rPr>
                <w:rFonts w:ascii="Arial" w:cs="Arial" w:eastAsia="Arial" w:hAnsi="Arial"/>
                <w:sz w:val="14"/>
                <w:szCs w:val="14"/>
                <w:color w:val="auto"/>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Time charter revenue</w:t>
            </w:r>
          </w:p>
        </w:tc>
        <w:tc>
          <w:tcPr>
            <w:tcW w:w="10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38,774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39,611</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77,878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78,762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22,297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36,672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18,378</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35,843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interest rate derivatives</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(11,617)</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(4,939)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(11,693)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(4,954)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(854)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47,188,978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46,830,467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47,187,685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47,188,978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46,830,467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47,187,685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in $ per Class A common share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B common share</w:t>
            </w: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nil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6"/>
              </w:rPr>
              <w:t>Three months ended June 30,</w:t>
            </w:r>
          </w:p>
        </w:tc>
        <w:tc>
          <w:tcPr>
            <w:tcW w:w="100" w:type="dxa"/>
            <w:vAlign w:val="bottom"/>
          </w:tcPr>
          <w:p>
            <w:pPr>
              <w:spacing w:after="0"/>
              <w:rPr>
                <w:sz w:val="14"/>
                <w:szCs w:val="14"/>
                <w:color w:val="auto"/>
              </w:rPr>
            </w:pPr>
          </w:p>
        </w:tc>
        <w:tc>
          <w:tcPr>
            <w:tcW w:w="18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Note</w:t>
            </w: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(11,693)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w w:val="90"/>
              </w:rPr>
              <w:t>Adjustments to Reconcile Net Loss to Net Cash Provided by Operating Activities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19,938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Impairment charge</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13,645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13,645</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12,454</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9,652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(Increase) decrease in accounts receivable and other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38,835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45,192</w:t>
            </w:r>
          </w:p>
        </w:tc>
        <w:tc>
          <w:tcPr>
            <w:tcW w:w="0" w:type="dxa"/>
            <w:vAlign w:val="bottom"/>
          </w:tcPr>
          <w:p>
            <w:pPr>
              <w:spacing w:after="0"/>
              <w:rPr>
                <w:sz w:val="1"/>
                <w:szCs w:val="1"/>
                <w:color w:val="auto"/>
              </w:rPr>
            </w:pPr>
          </w:p>
        </w:tc>
      </w:tr>
      <w:tr>
        <w:trPr>
          <w:trHeight w:val="22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(11,068)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2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(30,959)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(23,816)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(35,051)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(30,959)</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(23,816)</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(35,051)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(10,027)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28,539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41,356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28,360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32,311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32,311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interest paid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6,492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4,776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11,866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8"/>
              </w:rPr>
              <w:t>Number of Common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7"/>
              </w:rPr>
              <w:t>Stock at $0.01</w:t>
            </w:r>
          </w:p>
        </w:tc>
        <w:tc>
          <w:tcPr>
            <w:tcW w:w="4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Par value</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gridSpan w:val="2"/>
          </w:tcPr>
          <w:p>
            <w:pPr>
              <w:spacing w:after="0" w:line="159" w:lineRule="exact"/>
              <w:rPr>
                <w:sz w:val="20"/>
                <w:szCs w:val="20"/>
                <w:color w:val="auto"/>
              </w:rPr>
            </w:pPr>
            <w:r>
              <w:rPr>
                <w:rFonts w:ascii="Arial" w:cs="Arial" w:eastAsia="Arial" w:hAnsi="Arial"/>
                <w:sz w:val="14"/>
                <w:szCs w:val="14"/>
                <w:color w:val="auto"/>
              </w:rPr>
              <w:t>Stock</w:t>
            </w:r>
          </w:p>
        </w:tc>
        <w:tc>
          <w:tcPr>
            <w:tcW w:w="1080" w:type="dxa"/>
            <w:vAlign w:val="bottom"/>
            <w:tcBorders>
              <w:bottom w:val="single" w:sz="8" w:color="CCEEFF"/>
            </w:tcBorders>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gridSpan w:val="2"/>
          </w:tcPr>
          <w:p>
            <w:pPr>
              <w:jc w:val="right"/>
              <w:ind w:right="40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54,086,150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54,536,423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Restricted Stock Units (note 11)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54,594,934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351,605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(28,130)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The Company owns and charters out containerships under long term time charters. All vessels in operation are time chartered to CMA CGM S.A. (“CMA CGM”) for remaining terms as at June 30, 2011 ranging from 1.50 to 14.50 years (see note 7). The following table provides information about the 17 vessels chartered to CMA CGM and which are reflected in these interim unaudited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Capacity</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Purchase Date by</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9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in TEUs</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54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400" w:type="dxa"/>
            <w:vAlign w:val="bottom"/>
          </w:tcPr>
          <w:p>
            <w:pPr>
              <w:spacing w:after="0"/>
              <w:rPr>
                <w:sz w:val="15"/>
                <w:szCs w:val="15"/>
                <w:color w:val="auto"/>
              </w:rPr>
            </w:pPr>
          </w:p>
        </w:tc>
        <w:tc>
          <w:tcPr>
            <w:tcW w:w="1000" w:type="dxa"/>
            <w:vAlign w:val="bottom"/>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w w:val="88"/>
              </w:rPr>
              <w:t>Year Built</w:t>
            </w:r>
          </w:p>
        </w:tc>
        <w:tc>
          <w:tcPr>
            <w:tcW w:w="158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w w:val="90"/>
              </w:rPr>
              <w:t>GSL</w:t>
            </w:r>
          </w:p>
        </w:tc>
        <w:tc>
          <w:tcPr>
            <w:tcW w:w="840" w:type="dxa"/>
            <w:vAlign w:val="bottom"/>
            <w:gridSpan w:val="2"/>
          </w:tcPr>
          <w:p>
            <w:pPr>
              <w:jc w:val="center"/>
              <w:ind w:right="200"/>
              <w:spacing w:after="0" w:line="154" w:lineRule="exact"/>
              <w:rPr>
                <w:sz w:val="20"/>
                <w:szCs w:val="20"/>
                <w:color w:val="auto"/>
              </w:rPr>
            </w:pPr>
            <w:r>
              <w:rPr>
                <w:rFonts w:ascii="Arial" w:cs="Arial" w:eastAsia="Arial" w:hAnsi="Arial"/>
                <w:sz w:val="11"/>
                <w:szCs w:val="11"/>
                <w:b w:val="1"/>
                <w:bCs w:val="1"/>
                <w:color w:val="auto"/>
              </w:rPr>
              <w:t xml:space="preserve">(years) </w:t>
            </w:r>
            <w:r>
              <w:rPr>
                <w:rFonts w:ascii="Arial" w:cs="Arial" w:eastAsia="Arial" w:hAnsi="Arial"/>
                <w:sz w:val="17"/>
                <w:szCs w:val="17"/>
                <w:b w:val="1"/>
                <w:bCs w:val="1"/>
                <w:color w:val="auto"/>
                <w:vertAlign w:val="superscript"/>
              </w:rPr>
              <w:t>(2)</w:t>
            </w:r>
          </w:p>
        </w:tc>
        <w:tc>
          <w:tcPr>
            <w:tcW w:w="200" w:type="dxa"/>
            <w:vAlign w:val="bottom"/>
          </w:tcPr>
          <w:p>
            <w:pPr>
              <w:spacing w:after="0"/>
              <w:rPr>
                <w:sz w:val="15"/>
                <w:szCs w:val="15"/>
                <w:color w:val="auto"/>
              </w:rPr>
            </w:pPr>
          </w:p>
        </w:tc>
        <w:tc>
          <w:tcPr>
            <w:tcW w:w="6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1997</w:t>
            </w:r>
          </w:p>
        </w:tc>
        <w:tc>
          <w:tcPr>
            <w:tcW w:w="4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December 2007</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4,113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2,262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1999</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2003</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2,272</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5,089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2007</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January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11,040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2008</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4,298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December 2008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2001</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2009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Twenty-foot Equivalent Units.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at June 30, 2011</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Basis of Preparation</w:t>
      </w:r>
    </w:p>
    <w:p>
      <w:pPr>
        <w:spacing w:after="0" w:line="96"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vessel deliveries.</w:t>
      </w:r>
    </w:p>
    <w:p>
      <w:pPr>
        <w:spacing w:after="0" w:line="59"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On January 28, 2011 CMA CGM further announced that, in accordance with agreements signed on November 25, 2010 between it and Yildirim Group of Turkey, it had issued $500,000 in Redeemable Bonds, all of which were subscribed by the Yildirim Group. CMA CGM reported that this investment enabled it to sustainably strengthen its balance sheet and secure its investment plan, while providing additional funds to support expansion. Further, in April 2011 CMA CGM placed $475,000 of dollar-denominated senior notes that mature in 2017 with a coupon of 8.500%, and €325,000 of 8.875% euro-denominated senior notes that mature in 2019. The Company has not been involved in any of these matters.</w:t>
      </w:r>
    </w:p>
    <w:p>
      <w:pPr>
        <w:spacing w:after="0" w:line="35"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CMA CGM has represented to the Company that with the recent bond issue, it has substantially completed its financial restructuring and consequently these financial statements have been prepared on a going concern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 Basis of Preparation (continued)</w:t>
      </w:r>
    </w:p>
    <w:p>
      <w:pPr>
        <w:spacing w:after="0" w:line="9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during 2011. Under the charter contracts charterhire is due to be paid every 15 days in advance on the 1st and 16th of each month.</w:t>
      </w:r>
    </w:p>
    <w:p>
      <w:pPr>
        <w:spacing w:after="0" w:line="4"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As at June 30, 2011, one period of charterhire, due on June 16, 2011, was outstanding amounting to $6,442. This was received in July 2011. As at close of business on August 12, 2011, the latest practicable date prior to the issuance of these interim unaudited consolidated financial statements, there was no charterhire outstanding.</w:t>
      </w:r>
    </w:p>
    <w:p>
      <w:pPr>
        <w:spacing w:after="0" w:line="17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60" w:right="2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60"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2010 filed with the Securities and Exchange Commission on May 19, 2011 in the Company’s Annual Report on Form 20-F.</w:t>
      </w:r>
    </w:p>
    <w:p>
      <w:pPr>
        <w:spacing w:after="0" w:line="1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May 2011, the Financial Accounting Standards Board (“FASB”) issued an accounting pronouncement, that amended fair value measurement and disclosure requirements (Topic 820). This amendment does not affect valuation practices used by the Company. The amendment is effective for interim and annual periods beginning after December 15, 2011. The adoption of this pronouncement is not expected to have an effect on the interim unaudited consolidated financial statements of the Company other than minor disclosure amendments.</w:t>
      </w:r>
    </w:p>
    <w:p>
      <w:pPr>
        <w:spacing w:after="0" w:line="3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2011, FASB issued an amendment on the presentation and disclosure of comprehensive income (Topic 220). An entity will have the option to present the total of comprehensive income, the components of net income, and the components of other comprehensive income either in a continuous statement of comprehensive income or in two separate but consecutive statements. The pronouncement eliminates the option to present the components of other comprehensive income as part of the statement of changes in stockholders’ equity. The amendment is effective for annual periods, and interim periods beginning after December 15, 2011. The adoption of this pronouncement is not expected to have an effect on the interim unaudited consolidated financial statements of the Company.</w:t>
      </w:r>
    </w:p>
    <w:p>
      <w:pPr>
        <w:spacing w:after="0" w:line="63"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interim unaudited consolidated financial statements of the Company.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r>
      <w:tr>
        <w:trPr>
          <w:trHeight w:val="175"/>
        </w:trPr>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1,009,066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1,008,330</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w w:val="95"/>
              </w:rPr>
              <w:t>(104,284)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(85,832)</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905,974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922,498</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June 30,</w:t>
            </w: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w w:val="95"/>
              </w:rPr>
              <w:t>December 31,</w:t>
            </w:r>
          </w:p>
        </w:tc>
      </w:tr>
      <w:tr>
        <w:trPr>
          <w:trHeight w:val="175"/>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5"/>
                <w:szCs w:val="15"/>
                <w:color w:val="auto"/>
              </w:rPr>
            </w:pPr>
          </w:p>
        </w:tc>
        <w:tc>
          <w:tcPr>
            <w:tcW w:w="1120" w:type="dxa"/>
            <w:vAlign w:val="bottom"/>
            <w:gridSpan w:val="2"/>
          </w:tcPr>
          <w:p>
            <w:pPr>
              <w:jc w:val="right"/>
              <w:ind w:right="15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Vessel purchase options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13,645</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Impairment of vessel purchase options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(13,645)</w:t>
            </w:r>
          </w:p>
        </w:tc>
        <w:tc>
          <w:tcPr>
            <w:tcW w:w="3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13,671</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On November 8, 2010, the Company signed agreements with the sellers of two 4,250 TEU newbuildings to (i) terminate the Company’s obligations under contracts entered into in September 2008 to purchase the vessels on their delivery to the sellers by the builder, which was anticipated to be at the end of 2010 and (ii) grant the Company options to purchase the vessels one year later. Intangible assets relating to these purchase options were recognised at the fair value of the purchase options on the date of the agreement.</w:t>
      </w:r>
    </w:p>
    <w:p>
      <w:pPr>
        <w:spacing w:after="0" w:line="6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purchase options are to be declared by September 16, 2011 for one vessel and October 4, 2011 for the other, with the purchases to be completed approximately 90 days later. The Company does not have committed financing in place to be able to purchase the vessels. Whilst the Company continues to discuss the financing of these vessels with various providers of capital, due to the downturn in the US capital markets generally and softness in the container sector in particular, obtaining finance on acceptable terms may not be possible before the options expire. As the Company will not declare the options unless it has sufficient committed finance, the intangible assets relating to these purchase options have been fully impaired. The underlying agreements providing the purchase options are not affected (see note 8).</w:t>
      </w:r>
    </w:p>
    <w:p>
      <w:pPr>
        <w:spacing w:after="0" w:line="23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August 20, 2009, the Company amended the terms of the credit facility. Under the revised terms, the loan to value covenant (being the ratio of the balance outstanding on the credit facility to the aggregate charter free market value of the secured vessels) was waived up to and including November 30, 2010 with the next loan to value test being scheduled for April 30, 2011 and all undrawn commitments were cancelled.</w:t>
      </w:r>
    </w:p>
    <w:p>
      <w:pPr>
        <w:spacing w:after="0" w:line="25"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Amounts borrowed under the amended credit facility during the waiver period bore interest at U.S. dollar Libor plus a margin of 3.50%. Thereafter, the margin will be between 2.50% and 3.50% depending on the loan to value, to be determined at the end of April, May, August and November each year with updated valuations to be obtained for the tests at the end of April and November.</w:t>
      </w:r>
    </w:p>
    <w:p>
      <w:pPr>
        <w:spacing w:after="0" w:line="59" w:lineRule="exact"/>
        <w:rPr>
          <w:rFonts w:ascii="Arial" w:cs="Arial" w:eastAsia="Arial" w:hAnsi="Arial"/>
          <w:sz w:val="18"/>
          <w:szCs w:val="18"/>
          <w:b w:val="1"/>
          <w:bCs w:val="1"/>
          <w:color w:val="auto"/>
        </w:rPr>
      </w:pPr>
    </w:p>
    <w:p>
      <w:pPr>
        <w:ind w:left="460" w:right="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Commencing June 30, 2010 the balance of borrowings under the credit facility was repaid quarterly in an amount equal to free cash in excess of $20,000 determined as at the previous month end subject to a minimum of $40,000 repayment a year on a rolling 12 month trailing basis. On this basis, repayments of the credit facility were made in the year ended December 31, 2010 amounting to $51,330. A further repayment of $13,816 was made on March 31, 2011.</w:t>
      </w:r>
    </w:p>
    <w:p>
      <w:pPr>
        <w:spacing w:after="0" w:line="7" w:lineRule="exact"/>
        <w:rPr>
          <w:rFonts w:ascii="Arial" w:cs="Arial" w:eastAsia="Arial" w:hAnsi="Arial"/>
          <w:sz w:val="18"/>
          <w:szCs w:val="18"/>
          <w:b w:val="1"/>
          <w:bCs w:val="1"/>
          <w:color w:val="auto"/>
        </w:rPr>
      </w:pPr>
    </w:p>
    <w:p>
      <w:pPr>
        <w:ind w:left="46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At April 30, 2011 loan to value was less than 75% and greater than 65%. Under the terms of the credit facility, when loan to value is less than 75% and greater than 65% (i) interest margin paid on borrowings is 3.00% (ii) prepayments of borrowings are fixed at $10,000 per quarter and (iii) the Company is able to make dividend payments to common shareholders. On this basis, a further repayment of $10,000 was made on June 30, 2011.</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96"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11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4"/>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8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+ 3.00% to 3.50%</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$508,953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468,953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w w:val="88"/>
              </w:rPr>
              <w:t>Based on loan to value being less than 75%, the estimated repayments in each of the relevant periods are as follows:</w:t>
            </w: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508,953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160"/>
        <w:spacing w:after="0" w:line="353"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June 30, 2011 is a significant shareholder of the Company, owning Class A and Class B common shares representing a 45% voting interest in the Company. Amounts due to and from CMA CGM companies are summarized as follows:</w:t>
      </w:r>
    </w:p>
    <w:p>
      <w:pPr>
        <w:spacing w:after="0" w:line="8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75"/>
        </w:trPr>
        <w:tc>
          <w:tcPr>
            <w:tcW w:w="856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5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3,845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5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7,555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7,555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60"/>
        <w:spacing w:after="0" w:line="332" w:lineRule="auto"/>
        <w:rPr>
          <w:sz w:val="20"/>
          <w:szCs w:val="20"/>
          <w:color w:val="auto"/>
        </w:rPr>
      </w:pPr>
      <w:r>
        <w:rPr>
          <w:rFonts w:ascii="Arial" w:cs="Arial" w:eastAsia="Arial" w:hAnsi="Arial"/>
          <w:sz w:val="16"/>
          <w:szCs w:val="16"/>
          <w:color w:val="auto"/>
        </w:rPr>
        <w:t>CMA CGM charters all of the Company’s operating vessels and one of its subsidiaries provides the Company with ship management services. The current account balances at June 30, 2011 and December 31, 2010 relate to amounts payable to or recoverable from CMA CGM group companies.</w:t>
      </w:r>
    </w:p>
    <w:p>
      <w:pPr>
        <w:spacing w:after="0" w:line="85" w:lineRule="exact"/>
        <w:rPr>
          <w:sz w:val="20"/>
          <w:szCs w:val="20"/>
          <w:color w:val="auto"/>
        </w:rPr>
      </w:pPr>
    </w:p>
    <w:p>
      <w:pPr>
        <w:ind w:left="452" w:right="20"/>
        <w:spacing w:after="0" w:line="332" w:lineRule="auto"/>
        <w:rPr>
          <w:sz w:val="20"/>
          <w:szCs w:val="20"/>
          <w:color w:val="auto"/>
        </w:rPr>
      </w:pPr>
      <w:r>
        <w:rPr>
          <w:rFonts w:ascii="Arial" w:cs="Arial" w:eastAsia="Arial" w:hAnsi="Arial"/>
          <w:sz w:val="16"/>
          <w:szCs w:val="16"/>
          <w:color w:val="auto"/>
        </w:rPr>
        <w:t>CMA CGM holds all of the Series A preferred shares of the Company. During the three months to June 30, 2011, the Company paid CMA CGM dividends of $277 (2010: $286) and during the six months to June 30, 2011, the Company paid CMA CGM dividends of $553 (2010: $557).</w:t>
      </w:r>
    </w:p>
    <w:p>
      <w:pPr>
        <w:spacing w:after="0" w:line="7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4" w:name="page25"/>
    <w:bookmarkEnd w:id="2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right="8020" w:hanging="452"/>
        <w:spacing w:after="0" w:line="391" w:lineRule="auto"/>
        <w:tabs>
          <w:tab w:leader="none" w:pos="44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(continued) Time Charter Agreements</w:t>
      </w:r>
    </w:p>
    <w:p>
      <w:pPr>
        <w:jc w:val="both"/>
        <w:ind w:left="452" w:right="24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June 30, 2011 of between 1.50 and 14.50 years. All the $1,282,120 future charter hire receivable for the fleet set out in note 8 relates to the 17 ships currently chartered to CMA CGM.</w:t>
      </w:r>
    </w:p>
    <w:p>
      <w:pPr>
        <w:spacing w:after="0" w:line="181"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Ship Management Agreements</w:t>
      </w:r>
    </w:p>
    <w:p>
      <w:pPr>
        <w:spacing w:after="0" w:line="96" w:lineRule="exact"/>
        <w:rPr>
          <w:rFonts w:ascii="Arial" w:cs="Arial" w:eastAsia="Arial" w:hAnsi="Arial"/>
          <w:sz w:val="16"/>
          <w:szCs w:val="16"/>
          <w:b w:val="1"/>
          <w:bCs w:val="1"/>
          <w:color w:val="auto"/>
        </w:rPr>
      </w:pPr>
    </w:p>
    <w:p>
      <w:pPr>
        <w:ind w:left="452" w:right="60"/>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The Company outsources day to day technical management of its 17 vessels in operation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three months and six months ended June 30, 2011 amounted to $484 (2010: $484) and $969 (2010: $969) respectively.</w:t>
      </w:r>
    </w:p>
    <w:p>
      <w:pPr>
        <w:spacing w:after="0" w:line="115"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286" w:lineRule="exact"/>
        <w:rPr>
          <w:rFonts w:ascii="Arial" w:cs="Arial" w:eastAsia="Arial" w:hAnsi="Arial"/>
          <w:sz w:val="16"/>
          <w:szCs w:val="16"/>
          <w:b w:val="1"/>
          <w:bCs w:val="1"/>
          <w:color w:val="auto"/>
        </w:rPr>
      </w:pPr>
    </w:p>
    <w:p>
      <w:pPr>
        <w:ind w:left="452" w:right="8480" w:hanging="452"/>
        <w:spacing w:after="0" w:line="417" w:lineRule="auto"/>
        <w:tabs>
          <w:tab w:leader="none" w:pos="441"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Vessel Purchase Options</w:t>
      </w:r>
    </w:p>
    <w:p>
      <w:pPr>
        <w:ind w:left="452" w:right="40"/>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On November 8, 2010 the Company acquired purchase options giving it the right, but not the obligation, to purchase two vessels from German interests, on the first anniversary of their delivery by the builders to the sellers, for a payment of $61,250 per vessel. The purchase options are to be exercised no later than September 16, 2011 for one vessel and October 4, 2011 for the other, being 270 days after the respective delivery dates of the vessels to the seller by the builder. If the Company does not exercise a purchase option, the Company has no further liability. The vessels are on charter to ZIM and, subject to charterers consent to change of ownership of the vessels (not to be unreasonably withheld), will be for a remaining period of six years which could be extended by up to a further year at ZIM’s option.</w:t>
      </w:r>
    </w:p>
    <w:p>
      <w:pPr>
        <w:spacing w:after="0" w:line="195"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ind w:left="452"/>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long term time charters for its vessels in operation at June 30, 2011. The charter hire is fixed for the duration of the charter. The charters for the vessels in operation were originally for periods of between five and 17 years and the maximum future annual charter hire receivable for the fleet of 17 vessels as at June 30, 2011 is as follows:</w:t>
      </w:r>
    </w:p>
    <w:p>
      <w:pPr>
        <w:spacing w:after="0" w:line="16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Fleet operated as</w:t>
            </w:r>
          </w:p>
        </w:tc>
      </w:tr>
      <w:tr>
        <w:trPr>
          <w:trHeight w:val="161"/>
        </w:trPr>
        <w:tc>
          <w:tcPr>
            <w:tcW w:w="94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at June 30, 2011</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157,186</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145,756</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570,950</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1,282,120</w:t>
            </w:r>
          </w:p>
        </w:tc>
        <w:tc>
          <w:tcPr>
            <w:tcW w:w="10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12"/>
          </w:cols>
          <w:pgMar w:left="248" w:top="274" w:right="239" w:bottom="1440" w:gutter="0" w:footer="0" w:header="0"/>
        </w:sectPr>
      </w:pPr>
    </w:p>
    <w:bookmarkStart w:id="25" w:name="page26"/>
    <w:bookmarkEnd w:id="2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At June 30, 2011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w:t>
      </w:r>
    </w:p>
    <w:p>
      <w:pPr>
        <w:spacing w:after="0" w:line="62" w:lineRule="exact"/>
        <w:rPr>
          <w:rFonts w:ascii="Arial" w:cs="Arial" w:eastAsia="Arial" w:hAnsi="Arial"/>
          <w:sz w:val="18"/>
          <w:szCs w:val="18"/>
          <w:b w:val="1"/>
          <w:bCs w:val="1"/>
          <w:color w:val="auto"/>
        </w:rPr>
      </w:pPr>
    </w:p>
    <w:p>
      <w:pPr>
        <w:ind w:left="4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right="12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shares holders are entitled to be paid is presented as part of interest expense.</w:t>
      </w: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to the outstanding Class A and B common shares and the Series A Preferred shares, there were 39,531,348 Public Warrants which gave the holder the right to purchase one Class A common share at a price of $6, and which expired on August 24, 2010. There were 5,500,000 Sponsor Warrants which had similar terms to the Public Warrants except that the exercise had to be on a cashless basis, and these also expired on August 24, 2010. Further, there are 6,188,088 Class A Warrants outstanding which expire on September 1, 2013 and give the holders the right to purchase one Class A common share at a price of $9.25.</w:t>
      </w:r>
    </w:p>
    <w:p>
      <w:pPr>
        <w:spacing w:after="0" w:line="61" w:lineRule="exact"/>
        <w:rPr>
          <w:rFonts w:ascii="Arial" w:cs="Arial" w:eastAsia="Arial" w:hAnsi="Arial"/>
          <w:sz w:val="18"/>
          <w:szCs w:val="18"/>
          <w:b w:val="1"/>
          <w:bCs w:val="1"/>
          <w:color w:val="auto"/>
        </w:rPr>
      </w:pPr>
    </w:p>
    <w:p>
      <w:pPr>
        <w:ind w:left="452" w:right="18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As at June 30, 2011, total proceeds received in 2008 from the exercise of Public Warrants prior to the warrant expiry on 24 August 2010, were $3,027 (December 31, 2010: $3,027). Such funds are to be used to redeem the Series A preferred shares, with a minimum redemption amount of $5,000. As this threshold has not been reached, none of the preferred shares have been redeemed and the funds remain classified as restricted cash in the balance sheet.</w:t>
      </w:r>
    </w:p>
    <w:p>
      <w:pPr>
        <w:spacing w:after="0" w:line="203"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June 30, 2011 a total of $580,000 of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together with cash settlements. In addition, the interest rate derivatives are “marked to market” each reporting period to determine the fair values which generate unrealized gains or losses. The unrealized loss on interest rate derivatives for the three months ended June 30, 2011 was $3,802 (2010: $12,454 loss). The unrealized gain on interest rate derivatives for the six months ended June 30, 2011 was $1,160 (2010: $17,333 loss).</w:t>
      </w:r>
    </w:p>
    <w:p>
      <w:pPr>
        <w:spacing w:after="0" w:line="62" w:lineRule="exact"/>
        <w:rPr>
          <w:rFonts w:ascii="Arial" w:cs="Arial" w:eastAsia="Arial" w:hAnsi="Arial"/>
          <w:sz w:val="18"/>
          <w:szCs w:val="18"/>
          <w:b w:val="1"/>
          <w:bCs w:val="1"/>
          <w:color w:val="auto"/>
        </w:rPr>
      </w:pPr>
    </w:p>
    <w:p>
      <w:pPr>
        <w:ind w:left="452"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June 30, 2011, these derivatives represented a liability of $43,275 (December 31, 2010: $44,435).</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w w:val="85"/>
              </w:rPr>
              <w:t>Restricted Stock Units</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20" w:type="dxa"/>
            <w:vAlign w:val="bottom"/>
            <w:gridSpan w:val="4"/>
          </w:tcPr>
          <w:p>
            <w:pPr>
              <w:ind w:left="460"/>
              <w:spacing w:after="0"/>
              <w:rPr>
                <w:sz w:val="20"/>
                <w:szCs w:val="20"/>
                <w:color w:val="auto"/>
              </w:rPr>
            </w:pPr>
            <w:r>
              <w:rPr>
                <w:rFonts w:ascii="Arial" w:cs="Arial" w:eastAsia="Arial" w:hAnsi="Arial"/>
                <w:sz w:val="14"/>
                <w:szCs w:val="14"/>
                <w:color w:val="auto"/>
              </w:rPr>
              <w:t>Number of Units</w:t>
            </w:r>
          </w:p>
        </w:tc>
        <w:tc>
          <w:tcPr>
            <w:tcW w:w="520" w:type="dxa"/>
            <w:vAlign w:val="bottom"/>
            <w:gridSpan w:val="2"/>
            <w:vMerge w:val="restart"/>
          </w:tcPr>
          <w:p>
            <w:pPr>
              <w:spacing w:after="0"/>
              <w:rPr>
                <w:sz w:val="20"/>
                <w:szCs w:val="20"/>
                <w:color w:val="auto"/>
              </w:rPr>
            </w:pPr>
            <w:r>
              <w:rPr>
                <w:rFonts w:ascii="Arial" w:cs="Arial" w:eastAsia="Arial" w:hAnsi="Arial"/>
                <w:sz w:val="14"/>
                <w:szCs w:val="14"/>
                <w:color w:val="auto"/>
                <w:w w:val="84"/>
              </w:rPr>
              <w:t>Weighted</w:t>
            </w:r>
          </w:p>
        </w:tc>
        <w:tc>
          <w:tcPr>
            <w:tcW w:w="400" w:type="dxa"/>
            <w:vAlign w:val="bottom"/>
          </w:tcPr>
          <w:p>
            <w:pPr>
              <w:spacing w:after="0"/>
              <w:rPr>
                <w:sz w:val="14"/>
                <w:szCs w:val="14"/>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4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6"/>
              </w:rPr>
              <w:t>Value on</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1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Management</w:t>
            </w:r>
          </w:p>
        </w:tc>
        <w:tc>
          <w:tcPr>
            <w:tcW w:w="11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Directors</w:t>
            </w:r>
          </w:p>
        </w:tc>
        <w:tc>
          <w:tcPr>
            <w:tcW w:w="100" w:type="dxa"/>
            <w:vAlign w:val="bottom"/>
          </w:tcPr>
          <w:p>
            <w:pPr>
              <w:spacing w:after="0"/>
              <w:rPr>
                <w:sz w:val="13"/>
                <w:szCs w:val="13"/>
                <w:color w:val="auto"/>
              </w:rPr>
            </w:pP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0"/>
              </w:rPr>
              <w:t>date</w:t>
            </w:r>
          </w:p>
        </w:tc>
        <w:tc>
          <w:tcPr>
            <w:tcW w:w="400" w:type="dxa"/>
            <w:vAlign w:val="bottom"/>
          </w:tcPr>
          <w:p>
            <w:pPr>
              <w:spacing w:after="0"/>
              <w:rPr>
                <w:sz w:val="13"/>
                <w:szCs w:val="13"/>
                <w:color w:val="auto"/>
              </w:rPr>
            </w:pPr>
          </w:p>
        </w:tc>
        <w:tc>
          <w:tcPr>
            <w:tcW w:w="5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150,273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(150,273)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(90,000)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260,000</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58,511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4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2011</w:t>
            </w: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Granted on March 17, 2011</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June 30,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275,000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costs in the consolidated statement of income over the vesting period. During the three months and six months ended June 30, 2011, the Company recognized a total of $175 (2010: $315) and $311 (2010: $626) share based compensation costs respectively. As at June 30, 2011, there was a total of $147 unrecognized compensation costs relating to the above share based awards (December 31, 2010: $255). The remaining costs are expected to be recognized over a period of six months.</w:t>
      </w:r>
    </w:p>
    <w:p>
      <w:pPr>
        <w:spacing w:after="0" w:line="62"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restricted stock units granted to management on August 14, 2008 were to vest over a period of three years; one third on the first anniversary of the merger, one third on the second anniversary and one third on the third anniversary. The vesting date of the first and second tranches was amended and a total of 260,000 vested in September and October 2009 and a further 260,000 vested in September and October 2010. The vesting date of the third tranche has been amended and these will vest in September and October 2011.</w:t>
      </w:r>
    </w:p>
    <w:p>
      <w:pPr>
        <w:spacing w:after="0" w:line="3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restricted stock units granted to management on November 12, 2008 were to vest over a period of two years; half on the first anniversary of the merger and half on the second anniversary. The vesting date of the first and second tranches was amended and a total of 40,000 vested in September and October 2009 and the remaining 40,000 vested in September and October 2010.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management on March 17, 2011 will vest in September and October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restricted stock units granted to Directors on May 18, 2009 and March 1, 2010 vested in January 2010 and January 2011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March 17, 2011 will vest in January 2012.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applied by the Company, net income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six months ended June 30, 2011, no dividend was declared (2010: nil dividends).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39"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59"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at $6.00, expired. At June 30, 2011, there were 6,188,088 Class A Warrants to purchase Class A common shares at an exercise price of $9.25 outstanding which are due to expire on September 1, 2013. In addition, there were 292,886 restricted stock units granted and unvested as part of management’s equity incentive plan and as part of the Directors’ compensation for 2011. As of June 30, 2011 only Class A and B common shares are participating securities.</w:t>
      </w:r>
    </w:p>
    <w:p>
      <w:pPr>
        <w:spacing w:after="0" w:line="61" w:lineRule="exact"/>
        <w:rPr>
          <w:rFonts w:ascii="Arial" w:cs="Arial" w:eastAsia="Arial" w:hAnsi="Arial"/>
          <w:sz w:val="18"/>
          <w:szCs w:val="18"/>
          <w:b w:val="1"/>
          <w:bCs w:val="1"/>
          <w:color w:val="auto"/>
        </w:rPr>
      </w:pPr>
    </w:p>
    <w:p>
      <w:pPr>
        <w:jc w:val="both"/>
        <w:ind w:left="460" w:righ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For the three and six months ended June 30, 2011 and the three and six months ended June 30, 2010,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472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6"/>
                <w:szCs w:val="16"/>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spacing w:after="0"/>
              <w:rPr>
                <w:sz w:val="20"/>
                <w:szCs w:val="20"/>
                <w:color w:val="auto"/>
              </w:rPr>
            </w:pPr>
            <w:r>
              <w:rPr>
                <w:rFonts w:ascii="Arial" w:cs="Arial" w:eastAsia="Arial" w:hAnsi="Arial"/>
                <w:sz w:val="18"/>
                <w:szCs w:val="18"/>
                <w:color w:val="auto"/>
              </w:rPr>
              <w:t>outstanding (B)</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47,188,978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46,830,467</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47,187,685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47,188,978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46,830,467</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47,187,685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7,405,956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available to shareholders</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Net loss available for Class A (A)</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available to shareholders</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Net loss available for Class A (E)</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(11,693)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15</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lowerRoman"/>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3"/>
    </w:lvl>
  </w:abstractNum>
  <w:abstractNum w:abstractNumId="10">
    <w:nsid w:val="DED7263"/>
    <w:multiLevelType w:val="hybridMultilevel"/>
    <w:lvl w:ilvl="0">
      <w:lvlJc w:val="left"/>
      <w:lvlText w:val="%1."/>
      <w:numFmt w:val="decimal"/>
      <w:start w:val="6"/>
    </w:lvl>
  </w:abstractNum>
  <w:abstractNum w:abstractNumId="11">
    <w:nsid w:val="7FDCC233"/>
    <w:multiLevelType w:val="hybridMultilevel"/>
    <w:lvl w:ilvl="0">
      <w:lvlJc w:val="left"/>
      <w:lvlText w:val="%1."/>
      <w:numFmt w:val="decimal"/>
      <w:start w:val="6"/>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1."/>
      <w:numFmt w:val="decimal"/>
      <w:start w:val="7"/>
    </w:lvl>
  </w:abstractNum>
  <w:abstractNum w:abstractNumId="14">
    <w:nsid w:val="6B68079A"/>
    <w:multiLevelType w:val="hybridMultilevel"/>
    <w:lvl w:ilvl="0">
      <w:lvlJc w:val="left"/>
      <w:lvlText w:val="%1."/>
      <w:numFmt w:val="decimal"/>
      <w:start w:val="9"/>
    </w:lvl>
  </w:abstractNum>
  <w:abstractNum w:abstractNumId="15">
    <w:nsid w:val="4E6AFB66"/>
    <w:multiLevelType w:val="hybridMultilevel"/>
    <w:lvl w:ilvl="0">
      <w:lvlJc w:val="left"/>
      <w:lvlText w:val="%1."/>
      <w:numFmt w:val="decimal"/>
      <w:start w:val="12"/>
    </w:lvl>
  </w:abstractNum>
  <w:abstractNum w:abstractNumId="16">
    <w:nsid w:val="25E45D3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2019-12-11T05:56:26Z</dcterms:created>
  <dcterms:modified xsi:type="dcterms:W3CDTF">2019-12-11T05:56:26Z</dcterms:modified>
</cp:coreProperties>
</file>