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Giouroukos Georgios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 IRODOU ATTIKOU STREET</w:t>
            </w: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KIFISIA,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J3</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14561</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ATHENS</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20"/>
          <w:szCs w:val="20"/>
          <w:color w:val="0000FF"/>
        </w:rPr>
        <w:t>Executive Chairman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5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Pr>
          <w:p>
            <w:pPr>
              <w:jc w:val="center"/>
              <w:ind w:left="75"/>
              <w:spacing w:after="0"/>
              <w:rPr>
                <w:sz w:val="20"/>
                <w:szCs w:val="20"/>
                <w:color w:val="auto"/>
              </w:rPr>
            </w:pPr>
            <w:r>
              <w:rPr>
                <w:rFonts w:ascii="Times New Roman" w:cs="Times New Roman" w:eastAsia="Times New Roman" w:hAnsi="Times New Roman"/>
                <w:sz w:val="20"/>
                <w:szCs w:val="20"/>
                <w:color w:val="0000FF"/>
                <w:w w:val="97"/>
              </w:rPr>
              <w:t>2,802,824</w:t>
            </w:r>
          </w:p>
        </w:tc>
        <w:tc>
          <w:tcPr>
            <w:tcW w:w="86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3360" w:type="dxa"/>
            <w:vAlign w:val="bottom"/>
            <w:gridSpan w:val="4"/>
          </w:tcPr>
          <w:p>
            <w:pPr>
              <w:ind w:left="580"/>
              <w:spacing w:after="0"/>
              <w:rPr>
                <w:sz w:val="20"/>
                <w:szCs w:val="20"/>
                <w:color w:val="auto"/>
              </w:rPr>
            </w:pPr>
            <w:r>
              <w:rPr>
                <w:rFonts w:ascii="Times New Roman" w:cs="Times New Roman" w:eastAsia="Times New Roman" w:hAnsi="Times New Roman"/>
                <w:sz w:val="20"/>
                <w:szCs w:val="20"/>
                <w:color w:val="0000FF"/>
              </w:rPr>
              <w:t>By Shipping Participations Inc.</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2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20"/>
                <w:szCs w:val="20"/>
                <w:color w:val="0000FF"/>
                <w:w w:val="91"/>
              </w:rPr>
              <w:t>45,576</w:t>
            </w:r>
            <w:r>
              <w:rPr>
                <w:rFonts w:ascii="Times New Roman" w:cs="Times New Roman" w:eastAsia="Times New Roman" w:hAnsi="Times New Roman"/>
                <w:sz w:val="25"/>
                <w:szCs w:val="25"/>
                <w:color w:val="008000"/>
                <w:w w:val="91"/>
                <w:vertAlign w:val="superscript"/>
              </w:rPr>
              <w:t>(1)</w:t>
            </w:r>
          </w:p>
        </w:tc>
        <w:tc>
          <w:tcPr>
            <w:tcW w:w="8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20"/>
                <w:szCs w:val="20"/>
                <w:color w:val="0000FF"/>
                <w:w w:val="92"/>
              </w:rPr>
              <w:t>843,174</w:t>
            </w:r>
            <w:r>
              <w:rPr>
                <w:rFonts w:ascii="Times New Roman" w:cs="Times New Roman" w:eastAsia="Times New Roman" w:hAnsi="Times New Roman"/>
                <w:sz w:val="25"/>
                <w:szCs w:val="25"/>
                <w:color w:val="008000"/>
                <w:w w:val="92"/>
                <w:vertAlign w:val="superscript"/>
              </w:rPr>
              <w:t>(2)</w:t>
            </w:r>
          </w:p>
        </w:tc>
        <w:tc>
          <w:tcPr>
            <w:tcW w:w="8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3"/>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45,576 Class A Common Shares of Global Ship Lease, Inc. (the "Issuer") granted to the reporting person pursuant to the Issuer's 2019 Omnibus Incentive Plan, as amended and restated (the "Plan"), of which 22,788 shares vested on December 31, 2025 and have not yet been issued, and 22,788 shares are scheduled to vest on March 31, 2026.</w:t>
      </w:r>
    </w:p>
    <w:p>
      <w:pPr>
        <w:spacing w:after="0" w:line="17"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250,674 shares which vest quarterly, pro rata, commencing from the quarter ended June 30, 2026, conditioned on the reporting person's continued service, (ii) 296,250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296,250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Georgios Giouroukos</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590"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2026-03-16T18:35:04Z</dcterms:created>
  <dcterms:modified xsi:type="dcterms:W3CDTF">2026-03-16T18:35:04Z</dcterms:modified>
</cp:coreProperties>
</file>