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3137_6k.htm"/>
      <w:bookmarkStart w:id="1" w:name="ksef20073137_6k"/>
      <w:bookmarkStart w:id="2" w:name="ef20073137_6k.htm"/>
      <w:bookmarkStart w:id="3" w:name="ksef20073137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 PURSUANT TO RULE 13a-16 OR 15d-16 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 the month of May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001-34153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GLOBAL SHIP LEASE,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 GSL Enterprises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 Irodou Attikou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Kifisia, Athens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Greece, 14561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20-F ☒ Form 40-F ☐</w:t>
      </w:r>
    </w:p>
    <w:p>
      <w:pPr>
        <w:pStyle w:val="TextBody"/>
        <w:bidi w:val="0"/>
        <w:spacing w:before="0" w:after="0"/>
        <w:jc w:val="center"/>
        <w:rPr>
          <w:b/>
          <w:color w:val="000000"/>
        </w:rPr>
      </w:pPr>
      <w:r>
        <w:rPr>
          <w:b/>
          <w:color w:val="00000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Quarterly Dividend on Class A Common Shares</w:t>
      </w:r>
    </w:p>
    <w:p>
      <w:pPr>
        <w:pStyle w:val="TextBody"/>
        <w:bidi w:val="0"/>
        <w:spacing w:before="0" w:after="0"/>
        <w:jc w:val="left"/>
        <w:rPr>
          <w:color w:val="000000"/>
        </w:rPr>
      </w:pPr>
      <w:r>
        <w:rPr>
          <w:color w:val="000000"/>
        </w:rPr>
        <w:t> </w:t>
      </w:r>
    </w:p>
    <w:p>
      <w:pPr>
        <w:pStyle w:val="TextBody"/>
        <w:bidi w:val="0"/>
        <w:spacing w:before="0" w:after="0"/>
        <w:jc w:val="both"/>
        <w:rPr/>
      </w:pPr>
      <w:r>
        <w:rPr>
          <w:rFonts w:ascii="Times New Roman" w:hAnsi="Times New Roman"/>
          <w:color w:val="000000"/>
          <w:sz w:val="20"/>
        </w:rPr>
        <w:t xml:space="preserve">Attached to this Report on Form 6-K (this “Report”) as </w:t>
      </w:r>
      <w:hyperlink w:anchor="ef20073137_ex99-1.htm">
        <w:r>
          <w:rPr>
            <w:rStyle w:val="InternetLink"/>
            <w:rFonts w:ascii="Times New Roman" w:hAnsi="Times New Roman"/>
            <w:color w:val="000000"/>
            <w:sz w:val="20"/>
            <w:u w:val="single"/>
          </w:rPr>
          <w:t>Exhibit 99.1</w:t>
        </w:r>
      </w:hyperlink>
      <w:r>
        <w:rPr>
          <w:rFonts w:ascii="Times New Roman" w:hAnsi="Times New Roman"/>
          <w:color w:val="000000"/>
          <w:sz w:val="20"/>
        </w:rPr>
        <w:t xml:space="preserve"> is a copy of the press release of Global Ship Lease, Inc. (the “Company”), dated May 11, 2026, announcing that the Company’s Board of Directors has declared a quarterly dividend on the Company’s Class A common shares for the first quarter of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this Report is hereby incorporated by reference into the Company’s registration statements on Form F-3 (File Nos. 333-231509 and 333-290461) and on Form S-8 (File Nos. 333-258992, 333-264113 and 333-294357).</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0d850719da7843d6922a17093daac3bb"/>
      <w:bookmarkStart w:id="5" w:name="z0d850719da7843d6922a17093daac3bb"/>
      <w:bookmarkEnd w:id="5"/>
    </w:p>
    <w:tbl>
      <w:tblPr>
        <w:tblW w:w="5214" w:type="dxa"/>
        <w:jc w:val="left"/>
        <w:tblInd w:w="0" w:type="dxa"/>
        <w:tblLayout w:type="fixed"/>
        <w:tblCellMar>
          <w:top w:w="0" w:type="dxa"/>
          <w:left w:w="0" w:type="dxa"/>
          <w:bottom w:w="0" w:type="dxa"/>
          <w:right w:w="0" w:type="dxa"/>
        </w:tblCellMar>
      </w:tblPr>
      <w:tblGrid>
        <w:gridCol w:w="2045"/>
        <w:gridCol w:w="436"/>
        <w:gridCol w:w="2733"/>
      </w:tblGrid>
      <w:tr>
        <w:trPr/>
        <w:tc>
          <w:tcPr>
            <w:tcW w:w="2045" w:type="dxa"/>
            <w:tcBorders/>
            <w:vAlign w:val="center"/>
          </w:tcPr>
          <w:p>
            <w:pPr>
              <w:pStyle w:val="TableContents"/>
              <w:bidi w:val="0"/>
              <w:spacing w:before="0" w:after="0"/>
              <w:jc w:val="left"/>
              <w:rPr>
                <w:color w:val="000000"/>
              </w:rPr>
            </w:pPr>
            <w:r>
              <w:rPr>
                <w:color w:val="000000"/>
              </w:rPr>
              <w:t> </w:t>
            </w:r>
          </w:p>
        </w:tc>
        <w:tc>
          <w:tcPr>
            <w:tcW w:w="3169" w:type="dxa"/>
            <w:gridSpan w:val="2"/>
            <w:tcBorders/>
            <w:vAlign w:val="center"/>
          </w:tcPr>
          <w:p>
            <w:pPr>
              <w:pStyle w:val="TableContents"/>
              <w:bidi w:val="0"/>
              <w:spacing w:before="0" w:after="0"/>
              <w:jc w:val="both"/>
              <w:rPr>
                <w:b/>
                <w:color w:val="000000"/>
              </w:rPr>
            </w:pPr>
            <w:r>
              <w:rPr>
                <w:b/>
                <w:color w:val="000000"/>
              </w:rPr>
              <w:t>GLOBAL SHIP LEASE, INC.</w:t>
            </w:r>
          </w:p>
        </w:tc>
      </w:tr>
      <w:tr>
        <w:trPr/>
        <w:tc>
          <w:tcPr>
            <w:tcW w:w="2045" w:type="dxa"/>
            <w:tcBorders/>
            <w:vAlign w:val="center"/>
          </w:tcPr>
          <w:p>
            <w:pPr>
              <w:pStyle w:val="TableContents"/>
              <w:bidi w:val="0"/>
              <w:spacing w:before="0" w:after="0"/>
              <w:jc w:val="left"/>
              <w:rPr>
                <w:color w:val="000000"/>
              </w:rPr>
            </w:pPr>
            <w:r>
              <w:rPr>
                <w:color w:val="000000"/>
              </w:rPr>
              <w:t> </w:t>
            </w:r>
          </w:p>
        </w:tc>
        <w:tc>
          <w:tcPr>
            <w:tcW w:w="3169" w:type="dxa"/>
            <w:gridSpan w:val="2"/>
            <w:tcBorders/>
            <w:vAlign w:val="center"/>
          </w:tcPr>
          <w:p>
            <w:pPr>
              <w:pStyle w:val="TableContents"/>
              <w:bidi w:val="0"/>
              <w:spacing w:before="0" w:after="0"/>
              <w:jc w:val="both"/>
              <w:rPr>
                <w:color w:val="000000"/>
              </w:rPr>
            </w:pPr>
            <w:r>
              <w:rPr>
                <w:color w:val="000000"/>
              </w:rPr>
              <w:t>(Registrant)</w:t>
            </w:r>
          </w:p>
        </w:tc>
      </w:tr>
      <w:tr>
        <w:trPr/>
        <w:tc>
          <w:tcPr>
            <w:tcW w:w="2045" w:type="dxa"/>
            <w:tcBorders/>
            <w:vAlign w:val="center"/>
          </w:tcPr>
          <w:p>
            <w:pPr>
              <w:pStyle w:val="TableContents"/>
              <w:bidi w:val="0"/>
              <w:spacing w:before="0" w:after="0"/>
              <w:jc w:val="left"/>
              <w:rPr>
                <w:color w:val="000000"/>
              </w:rPr>
            </w:pPr>
            <w:r>
              <w:rPr>
                <w:color w:val="000000"/>
              </w:rPr>
              <w:t> </w:t>
            </w:r>
          </w:p>
        </w:tc>
        <w:tc>
          <w:tcPr>
            <w:tcW w:w="3169" w:type="dxa"/>
            <w:gridSpan w:val="2"/>
            <w:tcBorders/>
            <w:vAlign w:val="center"/>
          </w:tcPr>
          <w:p>
            <w:pPr>
              <w:pStyle w:val="TableContents"/>
              <w:bidi w:val="0"/>
              <w:spacing w:before="0" w:after="0"/>
              <w:jc w:val="left"/>
              <w:rPr>
                <w:color w:val="000000"/>
              </w:rPr>
            </w:pPr>
            <w:r>
              <w:rPr>
                <w:color w:val="000000"/>
              </w:rPr>
              <w:t> </w:t>
            </w:r>
          </w:p>
        </w:tc>
      </w:tr>
      <w:tr>
        <w:trPr/>
        <w:tc>
          <w:tcPr>
            <w:tcW w:w="2045" w:type="dxa"/>
            <w:tcBorders/>
            <w:vAlign w:val="center"/>
          </w:tcPr>
          <w:p>
            <w:pPr>
              <w:pStyle w:val="TableContents"/>
              <w:bidi w:val="0"/>
              <w:spacing w:before="0" w:after="0"/>
              <w:jc w:val="both"/>
              <w:rPr>
                <w:color w:val="000000"/>
              </w:rPr>
            </w:pPr>
            <w:r>
              <w:rPr>
                <w:color w:val="000000"/>
              </w:rPr>
              <w:t>Dated: May 12, 2026</w:t>
            </w:r>
          </w:p>
        </w:tc>
        <w:tc>
          <w:tcPr>
            <w:tcW w:w="436" w:type="dxa"/>
            <w:tcBorders/>
            <w:vAlign w:val="center"/>
          </w:tcPr>
          <w:p>
            <w:pPr>
              <w:pStyle w:val="TableContents"/>
              <w:bidi w:val="0"/>
              <w:spacing w:before="0" w:after="0"/>
              <w:jc w:val="both"/>
              <w:rPr>
                <w:color w:val="000000"/>
              </w:rPr>
            </w:pPr>
            <w:r>
              <w:rPr>
                <w:color w:val="000000"/>
              </w:rPr>
              <w:t>By:</w:t>
            </w:r>
          </w:p>
        </w:tc>
        <w:tc>
          <w:tcPr>
            <w:tcW w:w="2733"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Thomas Lister</w:t>
            </w:r>
          </w:p>
        </w:tc>
      </w:tr>
      <w:tr>
        <w:trPr/>
        <w:tc>
          <w:tcPr>
            <w:tcW w:w="2045" w:type="dxa"/>
            <w:tcBorders/>
            <w:vAlign w:val="center"/>
          </w:tcPr>
          <w:p>
            <w:pPr>
              <w:pStyle w:val="TableContents"/>
              <w:bidi w:val="0"/>
              <w:spacing w:before="0" w:after="0"/>
              <w:jc w:val="left"/>
              <w:rPr>
                <w:color w:val="000000"/>
              </w:rPr>
            </w:pPr>
            <w:r>
              <w:rPr>
                <w:color w:val="000000"/>
              </w:rPr>
              <w:t> </w:t>
            </w:r>
          </w:p>
        </w:tc>
        <w:tc>
          <w:tcPr>
            <w:tcW w:w="436" w:type="dxa"/>
            <w:tcBorders/>
            <w:vAlign w:val="center"/>
          </w:tcPr>
          <w:p>
            <w:pPr>
              <w:pStyle w:val="TableContents"/>
              <w:bidi w:val="0"/>
              <w:spacing w:before="0" w:after="0"/>
              <w:jc w:val="left"/>
              <w:rPr>
                <w:color w:val="000000"/>
              </w:rPr>
            </w:pPr>
            <w:r>
              <w:rPr>
                <w:color w:val="000000"/>
              </w:rPr>
              <w:t> </w:t>
            </w:r>
          </w:p>
        </w:tc>
        <w:tc>
          <w:tcPr>
            <w:tcW w:w="2733" w:type="dxa"/>
            <w:tcBorders/>
            <w:vAlign w:val="center"/>
          </w:tcPr>
          <w:p>
            <w:pPr>
              <w:pStyle w:val="TableContents"/>
              <w:bidi w:val="0"/>
              <w:spacing w:before="0" w:after="0"/>
              <w:jc w:val="both"/>
              <w:rPr>
                <w:color w:val="000000"/>
              </w:rPr>
            </w:pPr>
            <w:r>
              <w:rPr>
                <w:color w:val="000000"/>
              </w:rPr>
              <w:t>Thomas Lister</w:t>
            </w:r>
          </w:p>
        </w:tc>
      </w:tr>
      <w:tr>
        <w:trPr/>
        <w:tc>
          <w:tcPr>
            <w:tcW w:w="2045" w:type="dxa"/>
            <w:tcBorders/>
            <w:vAlign w:val="center"/>
          </w:tcPr>
          <w:p>
            <w:pPr>
              <w:pStyle w:val="TableContents"/>
              <w:bidi w:val="0"/>
              <w:spacing w:before="0" w:after="0"/>
              <w:jc w:val="left"/>
              <w:rPr>
                <w:color w:val="000000"/>
              </w:rPr>
            </w:pPr>
            <w:r>
              <w:rPr>
                <w:color w:val="000000"/>
              </w:rPr>
              <w:t> </w:t>
            </w:r>
          </w:p>
        </w:tc>
        <w:tc>
          <w:tcPr>
            <w:tcW w:w="436" w:type="dxa"/>
            <w:tcBorders/>
            <w:vAlign w:val="center"/>
          </w:tcPr>
          <w:p>
            <w:pPr>
              <w:pStyle w:val="TableContents"/>
              <w:bidi w:val="0"/>
              <w:spacing w:before="0" w:after="0"/>
              <w:jc w:val="left"/>
              <w:rPr>
                <w:color w:val="000000"/>
              </w:rPr>
            </w:pPr>
            <w:r>
              <w:rPr>
                <w:color w:val="000000"/>
              </w:rPr>
              <w:t> </w:t>
            </w:r>
          </w:p>
        </w:tc>
        <w:tc>
          <w:tcPr>
            <w:tcW w:w="2733" w:type="dxa"/>
            <w:tcBorders/>
            <w:vAlign w:val="center"/>
          </w:tcPr>
          <w:p>
            <w:pPr>
              <w:pStyle w:val="TableContents"/>
              <w:bidi w:val="0"/>
              <w:spacing w:before="0" w:after="0"/>
              <w:jc w:val="both"/>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73137_ex99-1.htm"/>
      <w:bookmarkStart w:id="7" w:name="ksef20073137_ex991"/>
      <w:bookmarkStart w:id="8" w:name="ef20073137_ex99-1.htm"/>
      <w:bookmarkStart w:id="9" w:name="ksef20073137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rPr>
      </w:pPr>
      <w:r>
        <w:rPr>
          <w:b/>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br/>
      </w:r>
      <w:r>
        <w:rPr>
          <w:rFonts w:ascii="Times New Roman" w:hAnsi="Times New Roman"/>
          <w:color w:val="000000"/>
          <w:sz w:val="20"/>
        </w:rPr>
        <w:drawing>
          <wp:inline distT="0" distB="0" distL="0" distR="0">
            <wp:extent cx="13716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04850"/>
                    </a:xfrm>
                    <a:prstGeom prst="rect">
                      <a:avLst/>
                    </a:prstGeom>
                  </pic:spPr>
                </pic:pic>
              </a:graphicData>
            </a:graphic>
          </wp:inline>
        </w:drawing>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 xml:space="preserve">Investor and Media Contact: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IGB Group</w:t>
      </w:r>
    </w:p>
    <w:p>
      <w:pPr>
        <w:pStyle w:val="TextBody"/>
        <w:bidi w:val="0"/>
        <w:spacing w:before="0" w:after="0"/>
        <w:ind w:left="0" w:right="0" w:firstLine="720"/>
        <w:jc w:val="right"/>
        <w:rPr>
          <w:rFonts w:ascii="Times New Roman" w:hAnsi="Times New Roman"/>
          <w:color w:val="000000"/>
          <w:sz w:val="20"/>
        </w:rPr>
      </w:pPr>
      <w:r>
        <w:rPr>
          <w:rFonts w:ascii="Times New Roman" w:hAnsi="Times New Roman"/>
          <w:color w:val="000000"/>
          <w:sz w:val="20"/>
        </w:rPr>
        <w:t>Bryan Degnan</w:t>
      </w:r>
    </w:p>
    <w:p>
      <w:pPr>
        <w:pStyle w:val="TextBody"/>
        <w:bidi w:val="0"/>
        <w:spacing w:before="0" w:after="0"/>
        <w:ind w:left="0" w:right="0" w:firstLine="720"/>
        <w:jc w:val="right"/>
        <w:rPr>
          <w:rFonts w:ascii="Times New Roman" w:hAnsi="Times New Roman"/>
          <w:color w:val="000000"/>
          <w:sz w:val="20"/>
        </w:rPr>
      </w:pPr>
      <w:r>
        <w:rPr>
          <w:rFonts w:ascii="Times New Roman" w:hAnsi="Times New Roman"/>
          <w:color w:val="000000"/>
          <w:sz w:val="20"/>
        </w:rPr>
        <w:t>646-673-9701</w:t>
      </w:r>
    </w:p>
    <w:p>
      <w:pPr>
        <w:pStyle w:val="TextBody"/>
        <w:bidi w:val="0"/>
        <w:spacing w:before="0" w:after="0"/>
        <w:ind w:left="0" w:right="0" w:firstLine="720"/>
        <w:jc w:val="right"/>
        <w:rPr>
          <w:rFonts w:ascii="Times New Roman" w:hAnsi="Times New Roman"/>
          <w:color w:val="000000"/>
          <w:sz w:val="20"/>
        </w:rPr>
      </w:pPr>
      <w:r>
        <w:rPr>
          <w:rFonts w:ascii="Times New Roman" w:hAnsi="Times New Roman"/>
          <w:color w:val="000000"/>
          <w:sz w:val="20"/>
        </w:rPr>
        <w:t>or</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Leon Berman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212-477-8438</w:t>
      </w:r>
    </w:p>
    <w:p>
      <w:pPr>
        <w:pStyle w:val="TextBody"/>
        <w:bidi w:val="0"/>
        <w:spacing w:before="0" w:after="0"/>
        <w:jc w:val="righ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Declares Quarterly Dividend per Common Share for First Quarter of 2026</w:t>
      </w:r>
    </w:p>
    <w:p>
      <w:pPr>
        <w:pStyle w:val="TextBody"/>
        <w:bidi w:val="0"/>
        <w:spacing w:before="0" w:after="0"/>
        <w:jc w:val="righ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ATHENS, Greece, May 11, 2026 – Global Ship Lease, Inc. (NYSE:GSL) (the “Company”), a containership owner and lessor, announced today that the Company’s Board of Directors has declared a dividend of $0.625 per Class A common share for the first quarter of 2026, to be paid on June 3, 2026 to shareholders of record as of May 22, 2026.</w:t>
      </w:r>
    </w:p>
    <w:p>
      <w:pPr>
        <w:pStyle w:val="TextBody"/>
        <w:bidi w:val="0"/>
        <w:spacing w:before="0" w:after="0"/>
        <w:jc w:val="both"/>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Global Ship Lease</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fleet of 71 vessels as of December 31, 2025, including the last newly acquired vessel, Cypress, which was delivered in January 2026, had an average age weighted by TEU capacity of 17.9 years. 41 ships are wide-beam Post-Panamax.</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December 31, 2025, including the last newly acquired vessel, Cypress, which was delivered in January 2026, and all charters agreed during 2025 and through February 28, 2026, the average remaining term of the Company’s charters, to the mid-point of redelivery, including options under the Company’s control and other than if a redelivery notice has been received, was 2.7 years on a TEU-weighted basis. Contracted revenue on the same basis was $2.24 billion. Contracted revenue was $2.77 billion, including options under charterers’ control and with latest redelivery date, representing a weighted average remaining term of 3.6 years.</w:t>
      </w:r>
    </w:p>
    <w:p>
      <w:pPr>
        <w:pStyle w:val="TextBody"/>
        <w:bidi w:val="0"/>
        <w:spacing w:before="0" w:after="0"/>
        <w:jc w:val="righ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righ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769</Words>
  <Characters>4283</Characters>
  <CharactersWithSpaces>5031</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