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001-34153</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GLOBAL SHIP LEASE,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GSL Enterprises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 Irodou Attikou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Kifisia, Athens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Greece, 14561</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Form 40-F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p>
      <w:pPr>
        <w:ind w:left="30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2026 Annual Meeting of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17, 2026, Global Ship Lease,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2026 Annual Meeting of Shareholders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At the Meeting, the following proposals, which are set forth in more detail in the Company’s Notice of Annual Meeting of Shareholders and Proxy Statement furnished to shareholders on or about April 27, 2026, were approved and adopted:</w:t>
      </w:r>
    </w:p>
    <w:p>
      <w:pPr>
        <w:spacing w:after="0" w:line="176" w:lineRule="exact"/>
        <w:rPr>
          <w:sz w:val="20"/>
          <w:szCs w:val="20"/>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of Michael S. Gross, Menno van Lacum and Alain Wils, to serve as Term III Directors until the Company’s 2029 Annual Meeting of Shareholders and until such time as such director’s successor has been duly elected and qualified;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S.A. as the Company’s independent registered public accounting firm for the fiscal year ending December 31, 2026;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Second Amended and Restated Articles of Incorporation and to authorize the Board of Directors to effect such amendment and restatement by filing the same with the Registrar of Corporations of the Republic of the Marshall Islands.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Attached to this report on Form 6-K (this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xml:space="preserve">”) as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 xml:space="preserve"> is a copy of the press release of the Company, dated June 17, 2026, reporting the results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Affirmed Credit Ratings and Upgraded Outlook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Report as </w:t>
      </w:r>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color w:val="auto"/>
        </w:rPr>
        <w:t xml:space="preserve"> is a copy of the press release of the Company, dated June 16, 2026, announcing the Company’s affirmed credit ratings and upgraded outlook.</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(excluding, with respect to Exhibit 99.2, the information contained in any website referenced therein, and the statements attributed to the Company’s Chief Executive Officer) is hereby incorporated by reference into the Company’s registration statements on Form F-3 (File Nos. 333-231509 and 333-290461) and on Form S-8 (File Nos. 333-258992, 333-264113 and 333-294357).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140" w:val="left"/>
        </w:tabs>
        <w:rPr>
          <w:sz w:val="20"/>
          <w:szCs w:val="20"/>
          <w:color w:val="auto"/>
        </w:rPr>
      </w:pPr>
      <w:r>
        <w:rPr>
          <w:rFonts w:ascii="Times New Roman" w:cs="Times New Roman" w:eastAsia="Times New Roman" w:hAnsi="Times New Roman"/>
          <w:sz w:val="18"/>
          <w:szCs w:val="18"/>
          <w:color w:val="auto"/>
        </w:rPr>
        <w:t>Dated: June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23260"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Thomas Lister</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120840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84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 and Media Contact: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Bryan Degnan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646-673-9701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Leon Berman</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auto"/>
        </w:rPr>
        <w:t>212-477-8438</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Announces Results of 2026 Annual Meeting of Shareholders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ATHENS, Greece, June 17, 2026 </w:t>
      </w:r>
      <w:r>
        <w:rPr>
          <w:rFonts w:ascii="Times New Roman" w:cs="Times New Roman" w:eastAsia="Times New Roman" w:hAnsi="Times New Roman"/>
          <w:sz w:val="18"/>
          <w:szCs w:val="18"/>
          <w:color w:val="auto"/>
        </w:rPr>
        <w:t>– Global Ship Lease, Inc. (NYSE: GSL) (the “Company” or “GSL”) today announced that its 2026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was duly held on June 17, 2026 in Athens, Greece (the “Annual Meeting”). At the Annual Meeting, the shareholders of the Company (i) elected each of three directors, Michael S. Gross, Menno van Lacum and Alain Wils, to serve until the Company’s 2029 Annual Meeting of Shareholders and until such time as his respective successor has been duly elected and qualified, (ii) ratified the appointment of PricewaterhouseCoopers S.A. as the Company’s independent public accounting firm for the fiscal year ending December 31, 2026, and (iii) approved the Company’s Second Amended and Restated Articles of Incorporation and authorized the Board of Directors to effect such amendment and restatement by filing the same with the Registrar of Corporations of the Republic of the Marshall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Global Ship 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fleet of 71 vessels as of March 31, 2026, had an average age weighted by TEU capacity of 18.2 years. 41 ships are wide-beam Post-Panamax.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average remaining term of the Company’s charters, to the mid-point of redelivery, including options under the Company’s control and other than if a redelivery notice has been received, was 2.6 years on a TEU-weighted basis. Contracted revenue on the same basis was $2.05 billion. Contracted revenue was $2.58 billion, including options under charterers’ control and with latest redelivery date, representing a weighted average remaining term of 3.3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provide the Company’s current expectations or forecasts of future events. Forward-looking statements include statements about the Company’s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the Company cannot assure you that the events or expectations included in these forward-looking statements will come to pass. Actual results could differ materially from those expressed or implied by the forward-looking statements as a result of various factors, including the factors described in “Risk Factors” in the Company’s Annual Report on Form 20-F and the factors and risks the Company describes in subsequent reports filed from time to time with the U.S. Securities and Exchange Commission. Accordingly, you should not unduly rely on these forward-looking statements, which speak only as of the date of this press release. The Company undertakes no obligation to publicly revise any forward-looking statement to reflect circumstances or events after the date of this press release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120840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84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 and Media Contact: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IGB Group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Bryan Degnan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646-673-9701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Leon Berman</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auto"/>
        </w:rPr>
        <w:t>212-477-8438</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Announces Affirmed Credit Ratings and Upgraded Outlook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Moody’s Maintains Corporate Family Rating and Upgrades Outlook to Positive;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KBRA Maintains Issuer Rating and Outlook, Affirms Investment Grade Rating of Senior Secured Notes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ATHENS, Greece, June 16, 2026 – Global Ship Lease, Inc. (NYSE: GSL) (the “Company” or “GSL”), a containership owner and lessor, announced today recent updates by two leading credit rating agencies. Moody’s Investor Service (“Moody’s”) has maintained its Ba2 Corporate Family Rating, and upgraded to a positive outlook from a stable outlook. Kroll Bond Rating Agency (“KBRA”) has maintained the Company’s corporate rating at BB+, with a stable outlook, while also affirming the BBB/stable investment grade rating and outlook for GSL’s 5.69% Senior Secured Notes due 2027.</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affirming the ratings and outlook, the agencies emphasized the Company’s strong credit metrics, low leverage, and solid market position in the containership leasing space, focusing on midsized and smaller ships for which supply side fundamentals are supportive. The agencies also cited the Company’s strong historical performance and resilience during industry disruptions, and its contracted revenue. In upgrading their outlook, Moody’s highlighted the positive impact of the Company ordering newbuild vessels, with long-term charters attached, while monetizing older assets and maintaining a strong financial position. Additional key considerations included an experienced management team, a versatile fleet, high utilization rates, and a conservative growth strategy.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Thomas Lister, Chief Executive Officer of Global Ship Lease, commented: “We are pleased to see our credit ratings affirmed and outlook upgraded by leading credit agencies. We believe these ratings reflect the significant strength of our fortress balance sheet and charter coverage while also acknowledging the benefits of our decision to order newbuildings with long-term charters attached and to divest some of our older, non-core assets on attractive terms. Moving forward, we intend to continue to execute on our dynamic capital allocation strategy, pursuing selective and disciplined fleet renewal, returning capital to shareholders, and creating shareholder value throughout the cycle.”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Global Ship Lease’s credit ratings can be found in the press release dated June 16, 2026 on Moody’s website at moodys.com, and the press release dated June 5, 2026 on KBRA’s website at kbra.com.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Global Ship Lease</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fleet of 71 vessels as of March 31, 2026, had an average age weighted by TEU capacity of 18.2 years. 41 ships are wide-beam Post-Panamax.</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March 31, 2026, the average remaining term of the Company’s charters, to the mid-point of redelivery, including options under the Company’s control and other than if a redelivery notice has been received, was 2.6 years on a TEU-weighted basis. Contracted revenue on the same basis was $2.05 billion. Contracted revenue was $2.58 billion, including options under charterers’ control and with latest redelivery date, representing a weighted average remaining term of 3.3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provide the Company’s current expectations or forecasts of future events. Forward-looking statements include statements about the Company’s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the Company cannot assure you that the events or expectations included in these forward-looking statements will come to pass. Actual results could differ materially from those expressed or implied by the forward-looking statements as a result of various factors, including the factors described in “Risk Factors” in the Company’s Annual Report on Form 20-F and the factors and risks the Company describes in subsequent reports filed from time to time with the U.S. Securities and Exchange Commission. Accordingly, you should not unduly rely on these forward-looking statements, which speak only as of the date of this press release. The Company undertakes no obligation to publicly revise or update any forward-looking statement to reflect circumstances or events after the date of this press release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2026-06-18T07:42:52Z</dcterms:created>
  <dcterms:modified xsi:type="dcterms:W3CDTF">2026-06-18T07:42:52Z</dcterms:modified>
</cp:coreProperties>
</file>