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U.S. Securities and Exchange Commission on March 16, 2026</w:t>
      </w:r>
    </w:p>
    <w:p>
      <w:pPr>
        <w:spacing w:after="0" w:line="4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Global Ship Lease,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25" w:right="339" w:bottom="1440" w:gutter="0" w:footer="0" w:header="0"/>
        </w:sectPr>
      </w:pPr>
    </w:p>
    <w:p>
      <w:pPr>
        <w:spacing w:after="0" w:line="20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Republic of the Marshall Islands</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460" w:space="720"/>
            <w:col w:w="4060"/>
          </w:cols>
          <w:pgMar w:left="320" w:top="225"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GSL Enterprises Ltd.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 Irodou Attikou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Kifisia, Athens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Greece, 14561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Inc. 2019 Omnibus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Watson Farley &amp; Williams LLP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Attention: Filana R. Silberberg,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120 West 45th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10036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922-2225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including area code, of agent for service)</w:t>
      </w:r>
    </w:p>
    <w:p>
      <w:pPr>
        <w:spacing w:after="0" w:line="207" w:lineRule="exact"/>
        <w:rPr>
          <w:sz w:val="24"/>
          <w:szCs w:val="24"/>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9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900" w:type="dxa"/>
            <w:vAlign w:val="bottom"/>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4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0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4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financing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Global Ship Lease, Inc., a Marshall Islands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filing this registration statement on Form S-8 (this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in accordance with the requirements of Form S-8 under the U.S.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to register an additional 2,430,000 shares of Class A common stock, par value $0.01 per share (“</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in aggregate that are issuable pursuant to the Company’s 2019 Omnibus Incentive Plan (as amended and restated,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The Common Shares being registered are in addition to the 432,988 Common Shares that were registered on the Company’s Registration Statement on Form S-8 that was filed on August 20, 2021 (Registration Statement No. 333-258992), and the 1,600,000 Common Shares that were registered on the Company’s Registration Statement on Form S-8 that was filed on April 4, 2022 and amended on October 9, 2024 (Registration Statement No. 333-264113) (such registration statements together, the “</w:t>
      </w:r>
      <w:r>
        <w:rPr>
          <w:rFonts w:ascii="Times New Roman" w:cs="Times New Roman" w:eastAsia="Times New Roman" w:hAnsi="Times New Roman"/>
          <w:sz w:val="18"/>
          <w:szCs w:val="18"/>
          <w:u w:val="single" w:color="auto"/>
          <w:color w:val="auto"/>
        </w:rPr>
        <w:t>Initial Registration Statements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additional Common Shares being registered in this Registration Statement are of the same class as securities covered by the Initial Registration Statements, the contents of which are incorporated herein by reference in accordance with General Instruction E to Form S-8, to the extent not otherwise amended or superseded by the content of this Registration Statement.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Rule 429 promulgated under the Securities Act, a prospectus relating to this Registration Statement is a combined prospectus relating also to the Initial Registration Statements. In addition, this Registration Statement, which is a new registration statement, also constitutes a post-effective amendment to the Initial Registration Statements.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combined Section 10(a) prospectus for the Plan updates, among other things, certain information regarding the Plan, including the increase in the number of Common Shares available for grant under the Plan by 2,430,000 Common Shares.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cover of this Registration Statement is a combined reoffer prospectus prepared in accordance with Part I of Form F-3 under the Securities Act (in accordance with Section C of the General Instructions to Form S-8). The reoffer prospectus may be used for reoffers and resales of up to an aggregate of 3,683,005 Common Shares on a continuous or delayed basis that may be deemed to be “control securities” or “restricted securities” under the Securities Act, and the rules and regulations promulgated thereunder, that were issued, or are issuable, pursuant to the Plan to certain employees, directors and/or officers of the Company identified in this Registration Statement, as may be supplemented, who are, or may be deemed to be, “affiliates” of the Company within the meaning set forth in Rule 405 under the Securities Act. The combined reoffer prospectus updates, among other things, certain information regarding the ownership of Common Shares by the selling securityholders and the number of Common Shares available for resale by each selling securityholder. Such selling securityholders may reoffer or resell all, a portion, or none of the Common Shares which have been or will be acquired pursuant to the Plan.</w:t>
      </w:r>
    </w:p>
    <w:p>
      <w:pPr>
        <w:spacing w:after="0" w:line="18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inclusion of such Common Shares herein does not necessarily represent a present intention to sell any or all of such Common Shares by the selling securityholders.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specified in this Part I of this Registration Statement is omitted from this filing in accordance with the instructions to Part I of the Form S-8. The documents containing the information specified in Part I will be delivered to employees of the Company as required by Rule 428(b)(1).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Reoffer 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3,683,005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156845</wp:posOffset>
            </wp:positionV>
            <wp:extent cx="1285875" cy="685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587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reoffer prospectus (this “Reoffer Prospectus”) relates to the offer and sale from time to time by the selling shareholders named in this Reoffer Prospectus (the “selling securityholders”), or their permitted transferees, of up to 3,683,005 shares (the “Shares”) of Class A common stock, par value $0.01 per share (“Common Stock”), of Global Ship Lease, Inc. This Reoffer Prospectus covers the Shares acquired by or issuable to the selling securityholders pursuant to, or in settlement of, awards granted to the selling securityholders under the Global Ship Lease, Inc. 2019 Omnibus Incentive Plan (as amended and restated from time to time, the “Plan”). We are not offering any of the Shares and will not receive any proceeds from the sale of the Shares by the selling securityholders made hereunder. The selling securityholders are certain of our employees, officers, and directors who may be deemed to be an “affiliate” of our company (as defined in Rule 405 under the U.S. Securities Act of 1933, as amended (the “Securities Act”)).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to the satisfaction of any conditions to vesting of the Shares offered hereby pursuant to the terms of the relevant award agreements, the selling securityholders may sell the Shares described in this Reoffer Prospectus in a number of different ways and at varying prices, including sales in the open market, sales in negotiated transactions, and sales by a combination of these methods. The selling securityholders may sell any, all, or none of the Shares and we do not know when or in what amount the selling securityholders may sell their Shares hereunder. The price at which any of the Shares may be sold, and the commissions, if any, paid in connection with any such sale, are unknown and may vary from transaction to transaction. The Shares may be sold at the market price of the Common Stock at the time of a sale, at prices relating to the market price over a period of time, or at prices negotiated with the buyers of Shares. The Shares may be sold through underwriters or dealers which the selling securityholders may select. If underwriters or dealers are used to sell the Shares, we will name them and describe their compensation in a prospectus supplement. We provide more information about how the selling securityholders may sell their Shares in the section 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The selling securityholders will bear all sales commissions and similar expenses. Any other expenses incurred by us in connection with the registration and offering that are not borne by the selling securityholders will be borne by us.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New York Stock Exchange (the “NYSE”) under the symbol “GSL.” On March 12, 2026, the last quoted sale price for our Common Stock as reported on the NYSE was $37.42.</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U.S. Securities and Exchange Commission (the “SEC”) may take the view that, under certain circumstances, the selling securityholders and any broker-dealers or agents that participate with the selling securityholders in the distribution of the Shares may be deemed to be “underwriters” within the meaning of the Securities Act. Commissions, discounts or concessions received by any such broker-dealer or agent may be deemed to be underwriting commissions under the Securities Act. See the section 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Before buying any securities, you should carefully read the discussion of the risks of investing in our securities in the section titled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5 of this Reoffer Prospectus.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Neither the SEC nor any state securities commission has approved or disapproved of these securities or determined if this Reoffer Prospectus is truthful or complete. Any representation to the contrary is a criminal offense.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Reoffer Prospectus is March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98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4"/>
        </w:trPr>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8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29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34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1940" w:type="dxa"/>
            <w:vAlign w:val="bottom"/>
            <w:tcBorders>
              <w:top w:val="single" w:sz="8" w:color="CCEEFF"/>
            </w:tcBorders>
          </w:tcPr>
          <w:p>
            <w:pPr>
              <w:spacing w:after="0"/>
              <w:rPr>
                <w:sz w:val="15"/>
                <w:szCs w:val="15"/>
                <w:color w:val="auto"/>
              </w:rPr>
            </w:pPr>
          </w:p>
        </w:tc>
        <w:tc>
          <w:tcPr>
            <w:tcW w:w="29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7020" w:type="dxa"/>
            <w:vAlign w:val="bottom"/>
            <w:tcBorders>
              <w:bottom w:val="single" w:sz="8" w:color="CCEEFF"/>
            </w:tcBorders>
            <w:gridSpan w:val="8"/>
            <w:shd w:val="clear" w:color="auto" w:fill="CCEEFF"/>
          </w:tcPr>
          <w:p>
            <w:pPr>
              <w:spacing w:after="0"/>
              <w:rPr>
                <w:sz w:val="17"/>
                <w:szCs w:val="17"/>
                <w:color w:val="auto"/>
              </w:rPr>
            </w:pPr>
          </w:p>
        </w:tc>
        <w:tc>
          <w:tcPr>
            <w:tcW w:w="29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28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9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5760" w:type="dxa"/>
            <w:vAlign w:val="bottom"/>
            <w:tcBorders>
              <w:bottom w:val="single" w:sz="8" w:color="CCEEFF"/>
            </w:tcBorders>
            <w:gridSpan w:val="3"/>
            <w:shd w:val="clear" w:color="auto" w:fill="CCEEFF"/>
          </w:tcPr>
          <w:p>
            <w:pPr>
              <w:spacing w:after="0"/>
              <w:rPr>
                <w:sz w:val="17"/>
                <w:szCs w:val="17"/>
                <w:color w:val="auto"/>
              </w:rPr>
            </w:pPr>
          </w:p>
        </w:tc>
        <w:tc>
          <w:tcPr>
            <w:tcW w:w="29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28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9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9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46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6820" w:type="dxa"/>
            <w:vAlign w:val="bottom"/>
            <w:tcBorders>
              <w:top w:val="single" w:sz="8" w:color="CCEEFF"/>
            </w:tcBorders>
            <w:gridSpan w:val="7"/>
          </w:tcPr>
          <w:p>
            <w:pPr>
              <w:spacing w:after="0"/>
              <w:rPr>
                <w:sz w:val="15"/>
                <w:szCs w:val="15"/>
                <w:color w:val="auto"/>
              </w:rPr>
            </w:pPr>
          </w:p>
        </w:tc>
        <w:tc>
          <w:tcPr>
            <w:tcW w:w="29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8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29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900" w:type="dxa"/>
            <w:vAlign w:val="bottom"/>
            <w:tcBorders>
              <w:top w:val="single" w:sz="8" w:color="0000EE"/>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Reoffer Prospectus. We have not authorized any other person to provide you with information that is different from that contained in this Reoffer Prospectus. If anyone provides you with different or inconsistent information, you should not rely on it. We take no responsibility for, and can provide no assurance as to the reliability of, any other information that others may give you. The selling securityholders are offering to sell and seeking offers to buy these securities only in jurisdictions where offers and sales are permitted. You should assume that the information contained in this Reoffer Prospectus is accurate only as of the date of this Reoffer Prospectus, regardless of the time of delivery of this Reoffer Prospectus or of any sale of our Shares. Our business, financial condition, results of operations and prospects may have changed since that date. We are not making an offer of any Shares in any jurisdiction where the offer is not permitted.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Reoffer Prospectus and the information and documents we file with the SEC that are incorporated by reference herein contain “forward-looking statements” within the meaning of the safe harbor provisions of the Private Securities Litigation Reform Act of 1995, Section 27A of the Securities Act, and Section 21E of the U.S. Securities Exchange Act of 1934, as amended (the “Exchange Act”). Unless the context otherwise requires, references to the “Company,” “we,” “us,” “our,” or “Global Ship Lease” refer to Global Ship Lease, Inc.</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Forward-looking statements provide our current expectations or forecasts of future events. Forward-looking statements include statements about our expectations, beliefs, plans, objectives, intentions, assumptions and other statements that are not historical facts. Words or phrases such as “anticipate,” “believe,” “continue,” “estimate,” “expect,” “intend,” “may,” “ongoing,” “plan,” “potential,” “predict,” “project,” “will,” “scheduled” or similar words or phrases, or the negatives of those words or phrases, may identify forward-looking statements, but the absence of these words does not necessarily mean that a statement is not forward-looking. Examples of forward-looking statements in this prospectus include, but are not limited to, statements regarding our disclosure concerning our operations, cash flows, financial position, dividend policy, and the likelihood of success in acquiring additional vessels to expand our business.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Forward-looking statements appear in a number of places in this Reoffer Prospectus and in our Annual Report on Form 20-F for the fiscal year ended December 31, 2025, filed with the SEC on March 16, 2026, which is incorporated herein by reference (our “2025 Annual Report”), as updated by annual, quarterly and other reports and documents we file with the SEC after the date of this Reoffer Prospectus and that are incorporated by reference herein.</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Forward-looking statements are subject to known and unknown risks and uncertainties and are based on potentially inaccurate assumptions that could cause actual results to differ materially from those expected or implied by the forward-looking statements. Our actual results could differ materially from those anticipated in forward-looking statements for many reasons, including the factors described in “Risk Factors” in this Reoffer Prospectus. The risks described under “Risk Factors” are not exhaustive. Other sections of this prospectus describe additional factors that could adversely affect our results of operations, financial condition, liquidity and the development of the industries in which we operate. New risks can emerge from time to time, and it is not possible for us to predict all such risks, nor can we assess the impact of all such risks on our business or the extent to which any risks, or combination of risks and other factors, may cause actual results to differ materially from those contained in any forward-looking statements. Accordingly, you should not unduly rely on these forward-looking statements, which speak only as of the date of this Reoffer Prospectus, as predictions of future events and conditions. Except as required by law, we undertake no obligation to publicly update or revise any forward-looking statement to reflect circumstances or events after the date of this Reoffer Prospectus or to reflect the occurrence of unanticipated events. You should, however, review the factors and risks we describe in the reports we will file from time to time with the SEC after the date of this Reoffer Prospectus.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cautionary statement made in this Reoffer Prospectus are intended to be applicable to all related forward-looking statements wherever they may appear in this Reoffer Prospectus and the information and documents incorporated by reference herein. In addition, statements that “we believe” and similar statements reflect our beliefs and opinions on the relevant subject. These statements are based upon information available to us as of the date of this Reoffer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You should read this Reoffer Prospectus and the information and documents incorporated by reference herein with the understanding that our actual future results, levels of activity, performance and achievements may be materially different than what we expect. We qualify all of the forward-looking statements in the foregoing documents by these cautionary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Certain market data and industry statistics and forecasts are based on independent industry publications and other publicly available information and are incorporated by reference herein. Although we believe that these sources are reliable, we do not guarantee the accuracy or completeness of this information and we have not independently verified this information. Although we are not aware of any misstatements regarding the market and industry data incorporated by reference in this Reoffer Prospectus, these estimates involve risks and uncertainties and are subject to change based on various factors, including those discussed in the section titled “Risk Factors” in this Reoffer Prospectus. Accordingly, investors should not place undue reliance on this information.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121285</wp:posOffset>
            </wp:positionV>
            <wp:extent cx="7179310" cy="78136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9310" cy="781367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ind w:left="100" w:right="10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This section summarizes some of the key information that is contained or incorporated by reference in this Reoffer Prospectus. This summary may not contain all of the information that may be important to you, and is qualified in its entirety by the more detailed information and financial statements included or incorporated by reference in this Reoffer Prospectus. As an investor or prospective investor, you should review carefully the risk factors and the more detailed information that appears later in this Reoffer Prospectus or is contained in the documents that we incorporate by reference into this Reoffer Prospectus.</w:t>
      </w:r>
    </w:p>
    <w:p>
      <w:pPr>
        <w:spacing w:after="0" w:line="18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jc w:val="both"/>
        <w:ind w:left="100" w:right="100" w:firstLine="648"/>
        <w:spacing w:after="0" w:line="282" w:lineRule="auto"/>
        <w:rPr>
          <w:sz w:val="20"/>
          <w:szCs w:val="20"/>
          <w:color w:val="auto"/>
        </w:rPr>
      </w:pPr>
      <w:r>
        <w:rPr>
          <w:rFonts w:ascii="Times New Roman" w:cs="Times New Roman" w:eastAsia="Times New Roman" w:hAnsi="Times New Roman"/>
          <w:sz w:val="18"/>
          <w:szCs w:val="18"/>
          <w:color w:val="auto"/>
        </w:rPr>
        <w:t>Global Ship Lease, Inc. is a leading independent owner of containerships with a diversified fleet of mid-sized and smaller containerships, which we charter out under fixed-rate charters to reputable container shipping companies.</w:t>
      </w:r>
    </w:p>
    <w:p>
      <w:pPr>
        <w:spacing w:after="0" w:line="162" w:lineRule="exact"/>
        <w:rPr>
          <w:sz w:val="20"/>
          <w:szCs w:val="20"/>
          <w:color w:val="auto"/>
        </w:rPr>
      </w:pPr>
    </w:p>
    <w:p>
      <w:pPr>
        <w:ind w:left="100" w:right="100" w:firstLine="648"/>
        <w:spacing w:after="0" w:line="282" w:lineRule="auto"/>
        <w:rPr>
          <w:sz w:val="20"/>
          <w:szCs w:val="20"/>
          <w:color w:val="auto"/>
        </w:rPr>
      </w:pPr>
      <w:r>
        <w:rPr>
          <w:rFonts w:ascii="Times New Roman" w:cs="Times New Roman" w:eastAsia="Times New Roman" w:hAnsi="Times New Roman"/>
          <w:sz w:val="18"/>
          <w:szCs w:val="18"/>
          <w:color w:val="auto"/>
        </w:rPr>
        <w:t>As of March 12, 2026, we owned 71 mid-sized and smaller containerships, ranging from 2,207 to 11,040 TEU, with an aggregate capacity of 423,003 TEU. 41 ships are wide-beam Post-Panamax.</w:t>
      </w:r>
    </w:p>
    <w:p>
      <w:pPr>
        <w:spacing w:after="0" w:line="162" w:lineRule="exact"/>
        <w:rPr>
          <w:sz w:val="20"/>
          <w:szCs w:val="20"/>
          <w:color w:val="auto"/>
        </w:rPr>
      </w:pPr>
    </w:p>
    <w:p>
      <w:pPr>
        <w:jc w:val="both"/>
        <w:ind w:left="100"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As of December 31, 2025, including the three 8,586 TEU, Korean-built containerships delivered on various dates in December 2025 and the third one, </w:t>
      </w:r>
      <w:r>
        <w:rPr>
          <w:rFonts w:ascii="Times New Roman" w:cs="Times New Roman" w:eastAsia="Times New Roman" w:hAnsi="Times New Roman"/>
          <w:sz w:val="18"/>
          <w:szCs w:val="18"/>
          <w:i w:val="1"/>
          <w:iCs w:val="1"/>
          <w:color w:val="auto"/>
        </w:rPr>
        <w:t>Cypress</w:t>
      </w:r>
      <w:r>
        <w:rPr>
          <w:rFonts w:ascii="Times New Roman" w:cs="Times New Roman" w:eastAsia="Times New Roman" w:hAnsi="Times New Roman"/>
          <w:sz w:val="18"/>
          <w:szCs w:val="18"/>
          <w:color w:val="auto"/>
        </w:rPr>
        <w:t>, on January 9, 2026, and all charters agreed during 2025 and through February 28, 2026, the average remaining term of our charters, to the mid-point of redelivery, including options under our control and other than if a redelivery notice has been received, was 2.7 years on a TEU-weighted basis. Contracted revenue on the same basis was $2.24 billion. Contracted revenue was $2.77 billion, including options under charterers’ control and with latest redelivery date, representing a weighted average remaining term of 3.6 years. For additional information on our fleet, please see “Our Fleet” below.</w:t>
      </w:r>
    </w:p>
    <w:p>
      <w:pPr>
        <w:spacing w:after="0" w:line="1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Our Fleet</w:t>
      </w:r>
    </w:p>
    <w:p>
      <w:pPr>
        <w:spacing w:after="0" w:line="229" w:lineRule="exact"/>
        <w:rPr>
          <w:sz w:val="20"/>
          <w:szCs w:val="20"/>
          <w:color w:val="auto"/>
        </w:rPr>
      </w:pPr>
    </w:p>
    <w:p>
      <w:pPr>
        <w:jc w:val="both"/>
        <w:ind w:left="100" w:right="10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there were 70 containerships in the fleet, and 71 containerships total as of February 28, 2026, including the third Newly Acquired Vessel (</w:t>
      </w:r>
      <w:r>
        <w:rPr>
          <w:rFonts w:ascii="Times New Roman" w:cs="Times New Roman" w:eastAsia="Times New Roman" w:hAnsi="Times New Roman"/>
          <w:sz w:val="18"/>
          <w:szCs w:val="18"/>
          <w:i w:val="1"/>
          <w:iCs w:val="1"/>
          <w:color w:val="auto"/>
        </w:rPr>
        <w:t>Cypress</w:t>
      </w:r>
      <w:r>
        <w:rPr>
          <w:rFonts w:ascii="Times New Roman" w:cs="Times New Roman" w:eastAsia="Times New Roman" w:hAnsi="Times New Roman"/>
          <w:sz w:val="18"/>
          <w:szCs w:val="18"/>
          <w:color w:val="auto"/>
        </w:rPr>
        <w:t>) which was delivered to us in January 2026.</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vMerge w:val="restart"/>
          </w:tcPr>
          <w:p>
            <w:pPr>
              <w:ind w:left="960"/>
              <w:spacing w:after="0"/>
              <w:rPr>
                <w:sz w:val="20"/>
                <w:szCs w:val="20"/>
                <w:color w:val="auto"/>
              </w:rPr>
            </w:pPr>
            <w:r>
              <w:rPr>
                <w:rFonts w:ascii="Times New Roman" w:cs="Times New Roman" w:eastAsia="Times New Roman" w:hAnsi="Times New Roman"/>
                <w:sz w:val="18"/>
                <w:szCs w:val="18"/>
                <w:b w:val="1"/>
                <w:bCs w:val="1"/>
                <w:color w:val="auto"/>
              </w:rPr>
              <w:t>Vessel Name</w:t>
            </w:r>
          </w:p>
        </w:tc>
        <w:tc>
          <w:tcPr>
            <w:tcW w:w="136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Capacity</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Lightweight</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360" w:type="dxa"/>
            <w:vAlign w:val="bottom"/>
            <w:vMerge w:val="restart"/>
          </w:tcPr>
          <w:p>
            <w:pPr>
              <w:jc w:val="center"/>
              <w:ind w:left="54"/>
              <w:spacing w:after="0"/>
              <w:rPr>
                <w:sz w:val="20"/>
                <w:szCs w:val="20"/>
                <w:color w:val="auto"/>
              </w:rPr>
            </w:pPr>
            <w:r>
              <w:rPr>
                <w:rFonts w:ascii="Times New Roman" w:cs="Times New Roman" w:eastAsia="Times New Roman" w:hAnsi="Times New Roman"/>
                <w:sz w:val="18"/>
                <w:szCs w:val="18"/>
                <w:b w:val="1"/>
                <w:bCs w:val="1"/>
                <w:color w:val="auto"/>
                <w:w w:val="99"/>
              </w:rPr>
              <w:t>Charterer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Earliest Charter</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Latest Charter</w:t>
            </w:r>
          </w:p>
        </w:tc>
        <w:tc>
          <w:tcPr>
            <w:tcW w:w="15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Daily Charter</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vMerge w:val="continue"/>
          </w:tcPr>
          <w:p>
            <w:pPr>
              <w:spacing w:after="0"/>
              <w:rPr>
                <w:sz w:val="11"/>
                <w:szCs w:val="11"/>
                <w:color w:val="auto"/>
              </w:rPr>
            </w:pPr>
          </w:p>
        </w:tc>
        <w:tc>
          <w:tcPr>
            <w:tcW w:w="1360" w:type="dxa"/>
            <w:vAlign w:val="bottom"/>
            <w:vMerge w:val="restart"/>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in TEUs</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(tons)</w:t>
            </w: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w w:val="99"/>
              </w:rPr>
              <w:t>Built</w:t>
            </w:r>
          </w:p>
        </w:tc>
        <w:tc>
          <w:tcPr>
            <w:tcW w:w="1360" w:type="dxa"/>
            <w:vAlign w:val="bottom"/>
            <w:vMerge w:val="continue"/>
          </w:tcPr>
          <w:p>
            <w:pPr>
              <w:spacing w:after="0"/>
              <w:rPr>
                <w:sz w:val="11"/>
                <w:szCs w:val="11"/>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Expiry Date</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 xml:space="preserve">Expiry Date </w:t>
            </w:r>
            <w:r>
              <w:rPr>
                <w:rFonts w:ascii="Times New Roman" w:cs="Times New Roman" w:eastAsia="Times New Roman" w:hAnsi="Times New Roman"/>
                <w:sz w:val="29"/>
                <w:szCs w:val="29"/>
                <w:color w:val="auto"/>
                <w:w w:val="96"/>
                <w:vertAlign w:val="superscript"/>
              </w:rPr>
              <w:t>(2)</w:t>
            </w:r>
          </w:p>
        </w:tc>
        <w:tc>
          <w:tcPr>
            <w:tcW w:w="15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Rate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15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CMA CGM Thalassa</w:t>
            </w:r>
          </w:p>
        </w:tc>
        <w:tc>
          <w:tcPr>
            <w:tcW w:w="1360" w:type="dxa"/>
            <w:vAlign w:val="bottom"/>
            <w:tcBorders>
              <w:top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6"/>
              </w:rPr>
              <w:t>11,040</w:t>
            </w: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38,577</w:t>
            </w:r>
          </w:p>
        </w:tc>
        <w:tc>
          <w:tcPr>
            <w:tcW w:w="5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2008</w:t>
            </w:r>
          </w:p>
        </w:tc>
        <w:tc>
          <w:tcPr>
            <w:tcW w:w="1360" w:type="dxa"/>
            <w:vAlign w:val="bottom"/>
            <w:tcBorders>
              <w:top w:val="single" w:sz="8" w:color="auto"/>
            </w:tcBorders>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w w:val="99"/>
              </w:rPr>
              <w:t>CMA CGM</w:t>
            </w: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3Q28</w:t>
            </w: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1Q29</w:t>
            </w: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47,200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ZIM Norfolk </w:t>
            </w:r>
            <w:r>
              <w:rPr>
                <w:rFonts w:ascii="Times New Roman" w:cs="Times New Roman" w:eastAsia="Times New Roman" w:hAnsi="Times New Roman"/>
                <w:sz w:val="25"/>
                <w:szCs w:val="25"/>
                <w:color w:val="auto"/>
                <w:vertAlign w:val="superscript"/>
              </w:rPr>
              <w:t>(1)</w:t>
            </w:r>
          </w:p>
        </w:tc>
        <w:tc>
          <w:tcPr>
            <w:tcW w:w="13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9,115</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31,764</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2015</w:t>
            </w:r>
          </w:p>
        </w:tc>
        <w:tc>
          <w:tcPr>
            <w:tcW w:w="1360" w:type="dxa"/>
            <w:vAlign w:val="bottom"/>
          </w:tcPr>
          <w:p>
            <w:pPr>
              <w:jc w:val="center"/>
              <w:ind w:left="54"/>
              <w:spacing w:after="0"/>
              <w:rPr>
                <w:sz w:val="20"/>
                <w:szCs w:val="20"/>
                <w:color w:val="auto"/>
              </w:rPr>
            </w:pPr>
            <w:r>
              <w:rPr>
                <w:rFonts w:ascii="Times New Roman" w:cs="Times New Roman" w:eastAsia="Times New Roman" w:hAnsi="Times New Roman"/>
                <w:sz w:val="18"/>
                <w:szCs w:val="18"/>
                <w:color w:val="auto"/>
              </w:rPr>
              <w:t>ZIM</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2Q32</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4Q32</w:t>
            </w:r>
          </w:p>
        </w:tc>
        <w:tc>
          <w:tcPr>
            <w:tcW w:w="14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65,000 </w:t>
            </w:r>
            <w:r>
              <w:rPr>
                <w:rFonts w:ascii="Times New Roman" w:cs="Times New Roman" w:eastAsia="Times New Roman" w:hAnsi="Times New Roman"/>
                <w:sz w:val="25"/>
                <w:szCs w:val="25"/>
                <w:color w:val="auto"/>
                <w:vertAlign w:val="superscript"/>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Anthea Y </w:t>
            </w:r>
            <w:r>
              <w:rPr>
                <w:rFonts w:ascii="Times New Roman" w:cs="Times New Roman" w:eastAsia="Times New Roman" w:hAnsi="Times New Roman"/>
                <w:sz w:val="25"/>
                <w:szCs w:val="25"/>
                <w:color w:val="auto"/>
                <w:vertAlign w:val="superscript"/>
              </w:rPr>
              <w:t>(1)</w:t>
            </w:r>
          </w:p>
        </w:tc>
        <w:tc>
          <w:tcPr>
            <w:tcW w:w="13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9,115</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31,890</w:t>
            </w:r>
          </w:p>
        </w:tc>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2015</w:t>
            </w:r>
          </w:p>
        </w:tc>
        <w:tc>
          <w:tcPr>
            <w:tcW w:w="1360" w:type="dxa"/>
            <w:vAlign w:val="bottom"/>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w w:val="99"/>
              </w:rPr>
              <w:t>MSC</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4Q28</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4Q28</w:t>
            </w:r>
          </w:p>
        </w:tc>
        <w:tc>
          <w:tcPr>
            <w:tcW w:w="14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ZIM Xiamen </w:t>
            </w:r>
            <w:r>
              <w:rPr>
                <w:rFonts w:ascii="Times New Roman" w:cs="Times New Roman" w:eastAsia="Times New Roman" w:hAnsi="Times New Roman"/>
                <w:sz w:val="25"/>
                <w:szCs w:val="25"/>
                <w:color w:val="auto"/>
                <w:vertAlign w:val="superscript"/>
              </w:rPr>
              <w:t>(1)</w:t>
            </w:r>
          </w:p>
        </w:tc>
        <w:tc>
          <w:tcPr>
            <w:tcW w:w="13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9,115</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31,820</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2015</w:t>
            </w:r>
          </w:p>
        </w:tc>
        <w:tc>
          <w:tcPr>
            <w:tcW w:w="1360" w:type="dxa"/>
            <w:vAlign w:val="bottom"/>
          </w:tcPr>
          <w:p>
            <w:pPr>
              <w:jc w:val="center"/>
              <w:ind w:left="54"/>
              <w:spacing w:after="0"/>
              <w:rPr>
                <w:sz w:val="20"/>
                <w:szCs w:val="20"/>
                <w:color w:val="auto"/>
              </w:rPr>
            </w:pPr>
            <w:r>
              <w:rPr>
                <w:rFonts w:ascii="Times New Roman" w:cs="Times New Roman" w:eastAsia="Times New Roman" w:hAnsi="Times New Roman"/>
                <w:sz w:val="18"/>
                <w:szCs w:val="18"/>
                <w:color w:val="auto"/>
              </w:rPr>
              <w:t>ZIM</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3Q32</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4Q32</w:t>
            </w:r>
          </w:p>
        </w:tc>
        <w:tc>
          <w:tcPr>
            <w:tcW w:w="14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65,000 </w:t>
            </w:r>
            <w:r>
              <w:rPr>
                <w:rFonts w:ascii="Times New Roman" w:cs="Times New Roman" w:eastAsia="Times New Roman" w:hAnsi="Times New Roman"/>
                <w:sz w:val="25"/>
                <w:szCs w:val="25"/>
                <w:color w:val="auto"/>
                <w:vertAlign w:val="superscript"/>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Sydney Express </w:t>
            </w:r>
            <w:r>
              <w:rPr>
                <w:rFonts w:ascii="Times New Roman" w:cs="Times New Roman" w:eastAsia="Times New Roman" w:hAnsi="Times New Roman"/>
                <w:sz w:val="25"/>
                <w:szCs w:val="25"/>
                <w:color w:val="auto"/>
                <w:vertAlign w:val="superscript"/>
              </w:rPr>
              <w:t>(1)</w:t>
            </w:r>
          </w:p>
        </w:tc>
        <w:tc>
          <w:tcPr>
            <w:tcW w:w="13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9,019</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31,254</w:t>
            </w:r>
          </w:p>
        </w:tc>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2016</w:t>
            </w:r>
          </w:p>
        </w:tc>
        <w:tc>
          <w:tcPr>
            <w:tcW w:w="1360" w:type="dxa"/>
            <w:vAlign w:val="bottom"/>
            <w:shd w:val="clear" w:color="auto" w:fill="CCEEFF"/>
          </w:tcPr>
          <w:p>
            <w:pPr>
              <w:jc w:val="center"/>
              <w:ind w:left="74"/>
              <w:spacing w:after="0"/>
              <w:rPr>
                <w:sz w:val="20"/>
                <w:szCs w:val="20"/>
                <w:color w:val="auto"/>
              </w:rPr>
            </w:pPr>
            <w:r>
              <w:rPr>
                <w:rFonts w:ascii="Times New Roman" w:cs="Times New Roman" w:eastAsia="Times New Roman" w:hAnsi="Times New Roman"/>
                <w:sz w:val="18"/>
                <w:szCs w:val="18"/>
                <w:color w:val="auto"/>
                <w:w w:val="99"/>
              </w:rPr>
              <w:t>Hapag-Lloyd</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3Q27</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4Q29</w:t>
            </w:r>
          </w:p>
        </w:tc>
        <w:tc>
          <w:tcPr>
            <w:tcW w:w="14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Istanbul Express </w:t>
            </w:r>
            <w:r>
              <w:rPr>
                <w:rFonts w:ascii="Times New Roman" w:cs="Times New Roman" w:eastAsia="Times New Roman" w:hAnsi="Times New Roman"/>
                <w:sz w:val="25"/>
                <w:szCs w:val="25"/>
                <w:color w:val="auto"/>
                <w:vertAlign w:val="superscript"/>
              </w:rPr>
              <w:t>(1)</w:t>
            </w:r>
          </w:p>
        </w:tc>
        <w:tc>
          <w:tcPr>
            <w:tcW w:w="13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9,019</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31,380</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2016</w:t>
            </w:r>
          </w:p>
        </w:tc>
        <w:tc>
          <w:tcPr>
            <w:tcW w:w="1360" w:type="dxa"/>
            <w:vAlign w:val="bottom"/>
          </w:tcPr>
          <w:p>
            <w:pPr>
              <w:jc w:val="center"/>
              <w:ind w:left="74"/>
              <w:spacing w:after="0"/>
              <w:rPr>
                <w:sz w:val="20"/>
                <w:szCs w:val="20"/>
                <w:color w:val="auto"/>
              </w:rPr>
            </w:pPr>
            <w:r>
              <w:rPr>
                <w:rFonts w:ascii="Times New Roman" w:cs="Times New Roman" w:eastAsia="Times New Roman" w:hAnsi="Times New Roman"/>
                <w:sz w:val="18"/>
                <w:szCs w:val="18"/>
                <w:color w:val="auto"/>
                <w:w w:val="99"/>
              </w:rPr>
              <w:t>Hapag-Lloyd</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3Q26</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2Q30</w:t>
            </w:r>
          </w:p>
        </w:tc>
        <w:tc>
          <w:tcPr>
            <w:tcW w:w="14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Bremerhaven Express </w:t>
            </w:r>
            <w:r>
              <w:rPr>
                <w:rFonts w:ascii="Times New Roman" w:cs="Times New Roman" w:eastAsia="Times New Roman" w:hAnsi="Times New Roman"/>
                <w:sz w:val="25"/>
                <w:szCs w:val="25"/>
                <w:color w:val="auto"/>
                <w:vertAlign w:val="superscript"/>
              </w:rPr>
              <w:t>(1)</w:t>
            </w:r>
          </w:p>
        </w:tc>
        <w:tc>
          <w:tcPr>
            <w:tcW w:w="13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9,019</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31,199</w:t>
            </w:r>
          </w:p>
        </w:tc>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2015</w:t>
            </w:r>
          </w:p>
        </w:tc>
        <w:tc>
          <w:tcPr>
            <w:tcW w:w="1360" w:type="dxa"/>
            <w:vAlign w:val="bottom"/>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w w:val="99"/>
              </w:rPr>
              <w:t>Hapag Lloyd</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2Q27</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3Q29</w:t>
            </w:r>
          </w:p>
        </w:tc>
        <w:tc>
          <w:tcPr>
            <w:tcW w:w="14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Czech </w:t>
            </w:r>
            <w:r>
              <w:rPr>
                <w:rFonts w:ascii="Times New Roman" w:cs="Times New Roman" w:eastAsia="Times New Roman" w:hAnsi="Times New Roman"/>
                <w:sz w:val="25"/>
                <w:szCs w:val="25"/>
                <w:color w:val="auto"/>
                <w:vertAlign w:val="superscript"/>
              </w:rPr>
              <w:t>(1)</w:t>
            </w:r>
          </w:p>
        </w:tc>
        <w:tc>
          <w:tcPr>
            <w:tcW w:w="13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9,019</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31,319</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2015</w:t>
            </w:r>
          </w:p>
        </w:tc>
        <w:tc>
          <w:tcPr>
            <w:tcW w:w="1360" w:type="dxa"/>
            <w:vAlign w:val="bottom"/>
          </w:tcPr>
          <w:p>
            <w:pPr>
              <w:jc w:val="center"/>
              <w:ind w:left="74"/>
              <w:spacing w:after="0"/>
              <w:rPr>
                <w:sz w:val="20"/>
                <w:szCs w:val="20"/>
                <w:color w:val="auto"/>
              </w:rPr>
            </w:pPr>
            <w:r>
              <w:rPr>
                <w:rFonts w:ascii="Times New Roman" w:cs="Times New Roman" w:eastAsia="Times New Roman" w:hAnsi="Times New Roman"/>
                <w:sz w:val="18"/>
                <w:szCs w:val="18"/>
                <w:color w:val="auto"/>
                <w:w w:val="99"/>
              </w:rPr>
              <w:t>Hapag-Lloyd</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4Q26</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3Q30</w:t>
            </w:r>
          </w:p>
        </w:tc>
        <w:tc>
          <w:tcPr>
            <w:tcW w:w="14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MSC Tianjin</w:t>
            </w:r>
          </w:p>
        </w:tc>
        <w:tc>
          <w:tcPr>
            <w:tcW w:w="13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8,603</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34,243</w:t>
            </w:r>
          </w:p>
        </w:tc>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2005</w:t>
            </w:r>
          </w:p>
        </w:tc>
        <w:tc>
          <w:tcPr>
            <w:tcW w:w="1360" w:type="dxa"/>
            <w:vAlign w:val="bottom"/>
            <w:shd w:val="clear" w:color="auto" w:fill="CCEEFF"/>
          </w:tcPr>
          <w:p>
            <w:pPr>
              <w:jc w:val="center"/>
              <w:ind w:left="74"/>
              <w:spacing w:after="0" w:line="216" w:lineRule="exact"/>
              <w:rPr>
                <w:sz w:val="20"/>
                <w:szCs w:val="20"/>
                <w:color w:val="auto"/>
              </w:rPr>
            </w:pPr>
            <w:r>
              <w:rPr>
                <w:rFonts w:ascii="Times New Roman" w:cs="Times New Roman" w:eastAsia="Times New Roman" w:hAnsi="Times New Roman"/>
                <w:sz w:val="25"/>
                <w:szCs w:val="25"/>
                <w:color w:val="auto"/>
                <w:vertAlign w:val="subscript"/>
              </w:rPr>
              <w:t>MSC</w:t>
            </w:r>
            <w:r>
              <w:rPr>
                <w:rFonts w:ascii="Times New Roman" w:cs="Times New Roman" w:eastAsia="Times New Roman" w:hAnsi="Times New Roman"/>
                <w:sz w:val="12"/>
                <w:szCs w:val="12"/>
                <w:color w:val="auto"/>
              </w:rPr>
              <w:t xml:space="preserve"> (6)</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3Q30</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1Q31</w:t>
            </w:r>
          </w:p>
        </w:tc>
        <w:tc>
          <w:tcPr>
            <w:tcW w:w="14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MSC Qingdao</w:t>
            </w:r>
          </w:p>
        </w:tc>
        <w:tc>
          <w:tcPr>
            <w:tcW w:w="13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8,603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34,586</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2004</w:t>
            </w:r>
          </w:p>
        </w:tc>
        <w:tc>
          <w:tcPr>
            <w:tcW w:w="1360" w:type="dxa"/>
            <w:vAlign w:val="bottom"/>
          </w:tcPr>
          <w:p>
            <w:pPr>
              <w:jc w:val="center"/>
              <w:ind w:left="74"/>
              <w:spacing w:after="0" w:line="216" w:lineRule="exact"/>
              <w:rPr>
                <w:sz w:val="20"/>
                <w:szCs w:val="20"/>
                <w:color w:val="auto"/>
              </w:rPr>
            </w:pPr>
            <w:r>
              <w:rPr>
                <w:rFonts w:ascii="Times New Roman" w:cs="Times New Roman" w:eastAsia="Times New Roman" w:hAnsi="Times New Roman"/>
                <w:sz w:val="16"/>
                <w:szCs w:val="16"/>
                <w:color w:val="auto"/>
              </w:rPr>
              <w:t xml:space="preserve">MSC </w:t>
            </w:r>
            <w:r>
              <w:rPr>
                <w:rFonts w:ascii="Times New Roman" w:cs="Times New Roman" w:eastAsia="Times New Roman" w:hAnsi="Times New Roman"/>
                <w:sz w:val="25"/>
                <w:szCs w:val="25"/>
                <w:color w:val="auto"/>
                <w:vertAlign w:val="superscript"/>
              </w:rPr>
              <w:t>(6)</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4Q30</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1Q31</w:t>
            </w:r>
          </w:p>
        </w:tc>
        <w:tc>
          <w:tcPr>
            <w:tcW w:w="14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GSL Ningbo</w:t>
            </w:r>
          </w:p>
        </w:tc>
        <w:tc>
          <w:tcPr>
            <w:tcW w:w="13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8,603</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34,340</w:t>
            </w:r>
          </w:p>
        </w:tc>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2004</w:t>
            </w:r>
          </w:p>
        </w:tc>
        <w:tc>
          <w:tcPr>
            <w:tcW w:w="1360" w:type="dxa"/>
            <w:vAlign w:val="bottom"/>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w w:val="99"/>
              </w:rPr>
              <w:t>MSC</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3Q30</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1Q31</w:t>
            </w:r>
          </w:p>
        </w:tc>
        <w:tc>
          <w:tcPr>
            <w:tcW w:w="14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GSL Alexandra</w:t>
            </w:r>
          </w:p>
        </w:tc>
        <w:tc>
          <w:tcPr>
            <w:tcW w:w="13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8,599</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37,809</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2004</w:t>
            </w:r>
          </w:p>
        </w:tc>
        <w:tc>
          <w:tcPr>
            <w:tcW w:w="1360" w:type="dxa"/>
            <w:vAlign w:val="bottom"/>
          </w:tcPr>
          <w:p>
            <w:pPr>
              <w:jc w:val="center"/>
              <w:ind w:left="74"/>
              <w:spacing w:after="0" w:line="216" w:lineRule="exact"/>
              <w:rPr>
                <w:sz w:val="20"/>
                <w:szCs w:val="20"/>
                <w:color w:val="auto"/>
              </w:rPr>
            </w:pPr>
            <w:r>
              <w:rPr>
                <w:rFonts w:ascii="Times New Roman" w:cs="Times New Roman" w:eastAsia="Times New Roman" w:hAnsi="Times New Roman"/>
                <w:sz w:val="16"/>
                <w:szCs w:val="16"/>
                <w:color w:val="auto"/>
              </w:rPr>
              <w:t xml:space="preserve">Maersk </w:t>
            </w:r>
            <w:r>
              <w:rPr>
                <w:rFonts w:ascii="Times New Roman" w:cs="Times New Roman" w:eastAsia="Times New Roman" w:hAnsi="Times New Roman"/>
                <w:sz w:val="25"/>
                <w:szCs w:val="25"/>
                <w:color w:val="auto"/>
                <w:vertAlign w:val="superscript"/>
              </w:rPr>
              <w:t>(8)</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2Q28</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3Q28</w:t>
            </w:r>
          </w:p>
        </w:tc>
        <w:tc>
          <w:tcPr>
            <w:tcW w:w="14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GSL Sofia</w:t>
            </w:r>
          </w:p>
        </w:tc>
        <w:tc>
          <w:tcPr>
            <w:tcW w:w="13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8,599</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37,777</w:t>
            </w:r>
          </w:p>
        </w:tc>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2003</w:t>
            </w:r>
          </w:p>
        </w:tc>
        <w:tc>
          <w:tcPr>
            <w:tcW w:w="1360" w:type="dxa"/>
            <w:vAlign w:val="bottom"/>
            <w:shd w:val="clear" w:color="auto" w:fill="CCEEFF"/>
          </w:tcPr>
          <w:p>
            <w:pPr>
              <w:jc w:val="center"/>
              <w:ind w:left="74"/>
              <w:spacing w:after="0" w:line="216" w:lineRule="exact"/>
              <w:rPr>
                <w:sz w:val="20"/>
                <w:szCs w:val="20"/>
                <w:color w:val="auto"/>
              </w:rPr>
            </w:pPr>
            <w:r>
              <w:rPr>
                <w:rFonts w:ascii="Times New Roman" w:cs="Times New Roman" w:eastAsia="Times New Roman" w:hAnsi="Times New Roman"/>
                <w:sz w:val="16"/>
                <w:szCs w:val="16"/>
                <w:color w:val="auto"/>
              </w:rPr>
              <w:t xml:space="preserve">Maersk </w:t>
            </w:r>
            <w:r>
              <w:rPr>
                <w:rFonts w:ascii="Times New Roman" w:cs="Times New Roman" w:eastAsia="Times New Roman" w:hAnsi="Times New Roman"/>
                <w:sz w:val="25"/>
                <w:szCs w:val="25"/>
                <w:color w:val="auto"/>
                <w:vertAlign w:val="superscript"/>
              </w:rPr>
              <w:t>(8)</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3Q28</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3Q28</w:t>
            </w:r>
          </w:p>
        </w:tc>
        <w:tc>
          <w:tcPr>
            <w:tcW w:w="14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GSL Effie</w:t>
            </w:r>
          </w:p>
        </w:tc>
        <w:tc>
          <w:tcPr>
            <w:tcW w:w="13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8,599</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37,777</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2003</w:t>
            </w:r>
          </w:p>
        </w:tc>
        <w:tc>
          <w:tcPr>
            <w:tcW w:w="1360" w:type="dxa"/>
            <w:vAlign w:val="bottom"/>
          </w:tcPr>
          <w:p>
            <w:pPr>
              <w:jc w:val="center"/>
              <w:ind w:left="74"/>
              <w:spacing w:after="0" w:line="216" w:lineRule="exact"/>
              <w:rPr>
                <w:sz w:val="20"/>
                <w:szCs w:val="20"/>
                <w:color w:val="auto"/>
              </w:rPr>
            </w:pPr>
            <w:r>
              <w:rPr>
                <w:rFonts w:ascii="Times New Roman" w:cs="Times New Roman" w:eastAsia="Times New Roman" w:hAnsi="Times New Roman"/>
                <w:sz w:val="16"/>
                <w:szCs w:val="16"/>
                <w:color w:val="auto"/>
              </w:rPr>
              <w:t xml:space="preserve">Maersk </w:t>
            </w:r>
            <w:r>
              <w:rPr>
                <w:rFonts w:ascii="Times New Roman" w:cs="Times New Roman" w:eastAsia="Times New Roman" w:hAnsi="Times New Roman"/>
                <w:sz w:val="25"/>
                <w:szCs w:val="25"/>
                <w:color w:val="auto"/>
                <w:vertAlign w:val="superscript"/>
              </w:rPr>
              <w:t>(8)</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3Q28</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3Q28</w:t>
            </w:r>
          </w:p>
        </w:tc>
        <w:tc>
          <w:tcPr>
            <w:tcW w:w="14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GSL Lydia</w:t>
            </w:r>
          </w:p>
        </w:tc>
        <w:tc>
          <w:tcPr>
            <w:tcW w:w="13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8,599</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37,777</w:t>
            </w:r>
          </w:p>
        </w:tc>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2003</w:t>
            </w:r>
          </w:p>
        </w:tc>
        <w:tc>
          <w:tcPr>
            <w:tcW w:w="1360" w:type="dxa"/>
            <w:vAlign w:val="bottom"/>
            <w:shd w:val="clear" w:color="auto" w:fill="CCEEFF"/>
          </w:tcPr>
          <w:p>
            <w:pPr>
              <w:jc w:val="center"/>
              <w:ind w:left="74"/>
              <w:spacing w:after="0" w:line="216" w:lineRule="exact"/>
              <w:rPr>
                <w:sz w:val="20"/>
                <w:szCs w:val="20"/>
                <w:color w:val="auto"/>
              </w:rPr>
            </w:pPr>
            <w:r>
              <w:rPr>
                <w:rFonts w:ascii="Times New Roman" w:cs="Times New Roman" w:eastAsia="Times New Roman" w:hAnsi="Times New Roman"/>
                <w:sz w:val="16"/>
                <w:szCs w:val="16"/>
                <w:color w:val="auto"/>
              </w:rPr>
              <w:t xml:space="preserve">Maersk </w:t>
            </w:r>
            <w:r>
              <w:rPr>
                <w:rFonts w:ascii="Times New Roman" w:cs="Times New Roman" w:eastAsia="Times New Roman" w:hAnsi="Times New Roman"/>
                <w:sz w:val="25"/>
                <w:szCs w:val="25"/>
                <w:color w:val="auto"/>
                <w:vertAlign w:val="superscript"/>
              </w:rPr>
              <w:t>(8)</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2Q28</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3Q28</w:t>
            </w:r>
          </w:p>
        </w:tc>
        <w:tc>
          <w:tcPr>
            <w:tcW w:w="14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Lotus A</w:t>
            </w:r>
          </w:p>
        </w:tc>
        <w:tc>
          <w:tcPr>
            <w:tcW w:w="13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8,586</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33,026</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2010</w:t>
            </w:r>
          </w:p>
        </w:tc>
        <w:tc>
          <w:tcPr>
            <w:tcW w:w="1360" w:type="dxa"/>
            <w:vAlign w:val="bottom"/>
          </w:tcPr>
          <w:p>
            <w:pPr>
              <w:jc w:val="center"/>
              <w:ind w:left="54"/>
              <w:spacing w:after="0"/>
              <w:rPr>
                <w:sz w:val="20"/>
                <w:szCs w:val="20"/>
                <w:color w:val="auto"/>
              </w:rPr>
            </w:pPr>
            <w:r>
              <w:rPr>
                <w:rFonts w:ascii="Times New Roman" w:cs="Times New Roman" w:eastAsia="Times New Roman" w:hAnsi="Times New Roman"/>
                <w:sz w:val="18"/>
                <w:szCs w:val="18"/>
                <w:color w:val="auto"/>
                <w:w w:val="99"/>
              </w:rPr>
              <w:t>CMA CGM</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2Q26</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3Q30</w:t>
            </w:r>
          </w:p>
        </w:tc>
        <w:tc>
          <w:tcPr>
            <w:tcW w:w="14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Koi</w:t>
            </w:r>
          </w:p>
        </w:tc>
        <w:tc>
          <w:tcPr>
            <w:tcW w:w="13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8,586</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33,019</w:t>
            </w:r>
          </w:p>
        </w:tc>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2011</w:t>
            </w:r>
          </w:p>
        </w:tc>
        <w:tc>
          <w:tcPr>
            <w:tcW w:w="1360" w:type="dxa"/>
            <w:vAlign w:val="bottom"/>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w w:val="99"/>
              </w:rPr>
              <w:t>CMA CGM</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1Q26</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2Q30</w:t>
            </w:r>
          </w:p>
        </w:tc>
        <w:tc>
          <w:tcPr>
            <w:tcW w:w="14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Cypress</w:t>
            </w:r>
          </w:p>
        </w:tc>
        <w:tc>
          <w:tcPr>
            <w:tcW w:w="13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8,586</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33,026</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2011</w:t>
            </w:r>
          </w:p>
        </w:tc>
        <w:tc>
          <w:tcPr>
            <w:tcW w:w="1360" w:type="dxa"/>
            <w:vAlign w:val="bottom"/>
          </w:tcPr>
          <w:p>
            <w:pPr>
              <w:jc w:val="center"/>
              <w:ind w:left="54"/>
              <w:spacing w:after="0"/>
              <w:rPr>
                <w:sz w:val="20"/>
                <w:szCs w:val="20"/>
                <w:color w:val="auto"/>
              </w:rPr>
            </w:pPr>
            <w:r>
              <w:rPr>
                <w:rFonts w:ascii="Times New Roman" w:cs="Times New Roman" w:eastAsia="Times New Roman" w:hAnsi="Times New Roman"/>
                <w:sz w:val="18"/>
                <w:szCs w:val="18"/>
                <w:color w:val="auto"/>
                <w:w w:val="99"/>
              </w:rPr>
              <w:t>CMA CGM</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2Q26</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2Q30</w:t>
            </w:r>
          </w:p>
        </w:tc>
        <w:tc>
          <w:tcPr>
            <w:tcW w:w="14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GSL Eleni</w:t>
            </w:r>
          </w:p>
        </w:tc>
        <w:tc>
          <w:tcPr>
            <w:tcW w:w="13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002060"/>
                <w:w w:val="98"/>
              </w:rPr>
              <w:t>7,847</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29,261</w:t>
            </w:r>
          </w:p>
        </w:tc>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2004</w:t>
            </w:r>
          </w:p>
        </w:tc>
        <w:tc>
          <w:tcPr>
            <w:tcW w:w="1360" w:type="dxa"/>
            <w:vAlign w:val="bottom"/>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w w:val="99"/>
              </w:rPr>
              <w:t>Maersk</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4Q27</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2Q29</w:t>
            </w:r>
          </w:p>
        </w:tc>
        <w:tc>
          <w:tcPr>
            <w:tcW w:w="14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GSL Kalliopi</w:t>
            </w:r>
          </w:p>
        </w:tc>
        <w:tc>
          <w:tcPr>
            <w:tcW w:w="13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7,847</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29,261</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2004</w:t>
            </w:r>
          </w:p>
        </w:tc>
        <w:tc>
          <w:tcPr>
            <w:tcW w:w="1360" w:type="dxa"/>
            <w:vAlign w:val="bottom"/>
          </w:tcPr>
          <w:p>
            <w:pPr>
              <w:jc w:val="center"/>
              <w:ind w:left="54"/>
              <w:spacing w:after="0"/>
              <w:rPr>
                <w:sz w:val="20"/>
                <w:szCs w:val="20"/>
                <w:color w:val="auto"/>
              </w:rPr>
            </w:pPr>
            <w:r>
              <w:rPr>
                <w:rFonts w:ascii="Times New Roman" w:cs="Times New Roman" w:eastAsia="Times New Roman" w:hAnsi="Times New Roman"/>
                <w:sz w:val="18"/>
                <w:szCs w:val="18"/>
                <w:color w:val="auto"/>
                <w:w w:val="99"/>
              </w:rPr>
              <w:t>Maersk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1Q28</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3Q29</w:t>
            </w:r>
          </w:p>
        </w:tc>
        <w:tc>
          <w:tcPr>
            <w:tcW w:w="14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GSL Grania</w:t>
            </w:r>
          </w:p>
        </w:tc>
        <w:tc>
          <w:tcPr>
            <w:tcW w:w="13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7,847</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29,261</w:t>
            </w:r>
          </w:p>
        </w:tc>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2004</w:t>
            </w:r>
          </w:p>
        </w:tc>
        <w:tc>
          <w:tcPr>
            <w:tcW w:w="1360" w:type="dxa"/>
            <w:vAlign w:val="bottom"/>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w w:val="99"/>
              </w:rPr>
              <w:t>Maersk</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1Q28</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3Q29</w:t>
            </w:r>
          </w:p>
        </w:tc>
        <w:tc>
          <w:tcPr>
            <w:tcW w:w="14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Colombia Express </w:t>
            </w:r>
            <w:r>
              <w:rPr>
                <w:rFonts w:ascii="Times New Roman" w:cs="Times New Roman" w:eastAsia="Times New Roman" w:hAnsi="Times New Roman"/>
                <w:sz w:val="25"/>
                <w:szCs w:val="25"/>
                <w:color w:val="auto"/>
                <w:vertAlign w:val="superscript"/>
              </w:rPr>
              <w:t>(1)</w:t>
            </w:r>
          </w:p>
        </w:tc>
        <w:tc>
          <w:tcPr>
            <w:tcW w:w="13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7,072</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23,424</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2013</w:t>
            </w:r>
          </w:p>
        </w:tc>
        <w:tc>
          <w:tcPr>
            <w:tcW w:w="1360" w:type="dxa"/>
            <w:vAlign w:val="bottom"/>
          </w:tcPr>
          <w:p>
            <w:pPr>
              <w:jc w:val="center"/>
              <w:ind w:left="74"/>
              <w:spacing w:after="0"/>
              <w:rPr>
                <w:sz w:val="20"/>
                <w:szCs w:val="20"/>
                <w:color w:val="auto"/>
              </w:rPr>
            </w:pPr>
            <w:r>
              <w:rPr>
                <w:rFonts w:ascii="Times New Roman" w:cs="Times New Roman" w:eastAsia="Times New Roman" w:hAnsi="Times New Roman"/>
                <w:sz w:val="18"/>
                <w:szCs w:val="18"/>
                <w:color w:val="auto"/>
                <w:w w:val="99"/>
              </w:rPr>
              <w:t>Hapag-Lloyd</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4Q28</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1Q31</w:t>
            </w:r>
          </w:p>
        </w:tc>
        <w:tc>
          <w:tcPr>
            <w:tcW w:w="14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Panama Express </w:t>
            </w:r>
            <w:r>
              <w:rPr>
                <w:rFonts w:ascii="Times New Roman" w:cs="Times New Roman" w:eastAsia="Times New Roman" w:hAnsi="Times New Roman"/>
                <w:sz w:val="25"/>
                <w:szCs w:val="25"/>
                <w:color w:val="auto"/>
                <w:vertAlign w:val="superscript"/>
              </w:rPr>
              <w:t>(1)</w:t>
            </w:r>
          </w:p>
        </w:tc>
        <w:tc>
          <w:tcPr>
            <w:tcW w:w="13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7,072</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23,424</w:t>
            </w:r>
          </w:p>
        </w:tc>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2013</w:t>
            </w:r>
          </w:p>
        </w:tc>
        <w:tc>
          <w:tcPr>
            <w:tcW w:w="1360" w:type="dxa"/>
            <w:vAlign w:val="bottom"/>
            <w:shd w:val="clear" w:color="auto" w:fill="CCEEFF"/>
          </w:tcPr>
          <w:p>
            <w:pPr>
              <w:jc w:val="center"/>
              <w:ind w:left="74"/>
              <w:spacing w:after="0"/>
              <w:rPr>
                <w:sz w:val="20"/>
                <w:szCs w:val="20"/>
                <w:color w:val="auto"/>
              </w:rPr>
            </w:pPr>
            <w:r>
              <w:rPr>
                <w:rFonts w:ascii="Times New Roman" w:cs="Times New Roman" w:eastAsia="Times New Roman" w:hAnsi="Times New Roman"/>
                <w:sz w:val="18"/>
                <w:szCs w:val="18"/>
                <w:color w:val="auto"/>
                <w:w w:val="99"/>
              </w:rPr>
              <w:t>Hapag-Lloyd</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4Q29</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4Q31</w:t>
            </w:r>
          </w:p>
        </w:tc>
        <w:tc>
          <w:tcPr>
            <w:tcW w:w="14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Costa Rica Express </w:t>
            </w:r>
            <w:r>
              <w:rPr>
                <w:rFonts w:ascii="Times New Roman" w:cs="Times New Roman" w:eastAsia="Times New Roman" w:hAnsi="Times New Roman"/>
                <w:sz w:val="29"/>
                <w:szCs w:val="29"/>
                <w:color w:val="auto"/>
                <w:vertAlign w:val="superscript"/>
              </w:rPr>
              <w:t>(1)</w:t>
            </w:r>
          </w:p>
        </w:tc>
        <w:tc>
          <w:tcPr>
            <w:tcW w:w="13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7,072</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23,424</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2013</w:t>
            </w:r>
          </w:p>
        </w:tc>
        <w:tc>
          <w:tcPr>
            <w:tcW w:w="1360" w:type="dxa"/>
            <w:vAlign w:val="bottom"/>
          </w:tcPr>
          <w:p>
            <w:pPr>
              <w:jc w:val="center"/>
              <w:ind w:left="74"/>
              <w:spacing w:after="0"/>
              <w:rPr>
                <w:sz w:val="20"/>
                <w:szCs w:val="20"/>
                <w:color w:val="auto"/>
              </w:rPr>
            </w:pPr>
            <w:r>
              <w:rPr>
                <w:rFonts w:ascii="Times New Roman" w:cs="Times New Roman" w:eastAsia="Times New Roman" w:hAnsi="Times New Roman"/>
                <w:sz w:val="18"/>
                <w:szCs w:val="18"/>
                <w:color w:val="auto"/>
                <w:w w:val="99"/>
              </w:rPr>
              <w:t>Hapag-Lloyd</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2Q29</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3Q31</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 xml:space="preserve">Footnote </w:t>
            </w:r>
            <w:r>
              <w:rPr>
                <w:rFonts w:ascii="Times New Roman" w:cs="Times New Roman" w:eastAsia="Times New Roman" w:hAnsi="Times New Roman"/>
                <w:sz w:val="29"/>
                <w:szCs w:val="29"/>
                <w:color w:val="auto"/>
                <w:w w:val="91"/>
                <w:vertAlign w:val="superscript"/>
              </w:rPr>
              <w:t>(11)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jc w:val="right"/>
              <w:ind w:right="1174"/>
              <w:spacing w:after="0"/>
              <w:rPr>
                <w:sz w:val="20"/>
                <w:szCs w:val="20"/>
                <w:color w:val="auto"/>
              </w:rPr>
            </w:pPr>
            <w:r>
              <w:rPr>
                <w:rFonts w:ascii="Times New Roman" w:cs="Times New Roman" w:eastAsia="Times New Roman" w:hAnsi="Times New Roman"/>
                <w:sz w:val="14"/>
                <w:szCs w:val="14"/>
                <w:color w:val="auto"/>
              </w:rPr>
              <w:t>1</w:t>
            </w: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320" w:top="115" w:right="2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121285</wp:posOffset>
            </wp:positionV>
            <wp:extent cx="7179310" cy="82080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9310" cy="82080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p>
      <w:pPr>
        <w:spacing w:after="0" w:line="380" w:lineRule="exact"/>
        <w:rPr>
          <w:sz w:val="20"/>
          <w:szCs w:val="20"/>
          <w:color w:val="auto"/>
        </w:rPr>
      </w:pPr>
    </w:p>
    <w:tbl>
      <w:tblPr>
        <w:tblLayout w:type="fixed"/>
        <w:tblInd w:w="100" w:type="dxa"/>
        <w:tblCellMar>
          <w:top w:w="0" w:type="dxa"/>
          <w:left w:w="0" w:type="dxa"/>
          <w:bottom w:w="0" w:type="dxa"/>
          <w:right w:w="0" w:type="dxa"/>
        </w:tblCellMar>
      </w:tblPr>
      <w:tr>
        <w:trPr>
          <w:trHeight w:val="333"/>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Nicaragua Express </w:t>
            </w:r>
            <w:r>
              <w:rPr>
                <w:rFonts w:ascii="Times New Roman" w:cs="Times New Roman" w:eastAsia="Times New Roman" w:hAnsi="Times New Roman"/>
                <w:sz w:val="29"/>
                <w:szCs w:val="29"/>
                <w:color w:val="auto"/>
                <w:vertAlign w:val="superscript"/>
              </w:rPr>
              <w:t>(1)</w:t>
            </w: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7,072</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23,424</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2013</w:t>
            </w:r>
          </w:p>
        </w:tc>
        <w:tc>
          <w:tcPr>
            <w:tcW w:w="1540" w:type="dxa"/>
            <w:vAlign w:val="bottom"/>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w w:val="99"/>
              </w:rPr>
              <w:t>Hapag-Lloyd</w:t>
            </w:r>
          </w:p>
        </w:tc>
        <w:tc>
          <w:tcPr>
            <w:tcW w:w="1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3Q29</w:t>
            </w:r>
          </w:p>
        </w:tc>
        <w:tc>
          <w:tcPr>
            <w:tcW w:w="1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4Q31</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 xml:space="preserve">Footnote </w:t>
            </w:r>
            <w:r>
              <w:rPr>
                <w:rFonts w:ascii="Times New Roman" w:cs="Times New Roman" w:eastAsia="Times New Roman" w:hAnsi="Times New Roman"/>
                <w:sz w:val="29"/>
                <w:szCs w:val="29"/>
                <w:color w:val="auto"/>
                <w:w w:val="91"/>
                <w:vertAlign w:val="superscript"/>
              </w:rPr>
              <w:t>(11)</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CMA CGM Berlioz</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7,023</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26,776</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2001</w:t>
            </w:r>
          </w:p>
        </w:tc>
        <w:tc>
          <w:tcPr>
            <w:tcW w:w="1540" w:type="dxa"/>
            <w:vAlign w:val="bottom"/>
          </w:tcPr>
          <w:p>
            <w:pPr>
              <w:jc w:val="center"/>
              <w:ind w:right="92"/>
              <w:spacing w:after="0" w:line="216" w:lineRule="exact"/>
              <w:rPr>
                <w:sz w:val="20"/>
                <w:szCs w:val="20"/>
                <w:color w:val="auto"/>
              </w:rPr>
            </w:pPr>
            <w:r>
              <w:rPr>
                <w:rFonts w:ascii="Times New Roman" w:cs="Times New Roman" w:eastAsia="Times New Roman" w:hAnsi="Times New Roman"/>
                <w:sz w:val="16"/>
                <w:szCs w:val="16"/>
                <w:color w:val="auto"/>
              </w:rPr>
              <w:t xml:space="preserve">CMA CGM </w:t>
            </w:r>
            <w:r>
              <w:rPr>
                <w:rFonts w:ascii="Times New Roman" w:cs="Times New Roman" w:eastAsia="Times New Roman" w:hAnsi="Times New Roman"/>
                <w:sz w:val="25"/>
                <w:szCs w:val="25"/>
                <w:color w:val="auto"/>
                <w:vertAlign w:val="superscript"/>
              </w:rPr>
              <w:t>(12)</w:t>
            </w:r>
          </w:p>
        </w:tc>
        <w:tc>
          <w:tcPr>
            <w:tcW w:w="1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3Q29</w:t>
            </w:r>
          </w:p>
        </w:tc>
        <w:tc>
          <w:tcPr>
            <w:tcW w:w="1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3Q29</w:t>
            </w:r>
          </w:p>
        </w:tc>
        <w:tc>
          <w:tcPr>
            <w:tcW w:w="16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37,750 </w:t>
            </w:r>
            <w:r>
              <w:rPr>
                <w:rFonts w:ascii="Times New Roman" w:cs="Times New Roman" w:eastAsia="Times New Roman" w:hAnsi="Times New Roman"/>
                <w:sz w:val="25"/>
                <w:szCs w:val="25"/>
                <w:color w:val="auto"/>
                <w:vertAlign w:val="superscript"/>
              </w:rPr>
              <w:t>(12)</w:t>
            </w:r>
          </w:p>
        </w:tc>
      </w:tr>
      <w:tr>
        <w:trPr>
          <w:trHeight w:val="216"/>
        </w:trPr>
        <w:tc>
          <w:tcPr>
            <w:tcW w:w="24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Mexico Express </w:t>
            </w:r>
            <w:r>
              <w:rPr>
                <w:rFonts w:ascii="Times New Roman" w:cs="Times New Roman" w:eastAsia="Times New Roman" w:hAnsi="Times New Roman"/>
                <w:sz w:val="25"/>
                <w:szCs w:val="25"/>
                <w:color w:val="auto"/>
                <w:vertAlign w:val="superscript"/>
              </w:rPr>
              <w:t>(1)</w:t>
            </w: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6,918</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23,970</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2015</w:t>
            </w:r>
          </w:p>
        </w:tc>
        <w:tc>
          <w:tcPr>
            <w:tcW w:w="1540" w:type="dxa"/>
            <w:vAlign w:val="bottom"/>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w w:val="99"/>
              </w:rPr>
              <w:t>Hapag-Lloyd</w:t>
            </w:r>
          </w:p>
        </w:tc>
        <w:tc>
          <w:tcPr>
            <w:tcW w:w="1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3Q29</w:t>
            </w:r>
          </w:p>
        </w:tc>
        <w:tc>
          <w:tcPr>
            <w:tcW w:w="1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4Q31</w:t>
            </w:r>
          </w:p>
        </w:tc>
        <w:tc>
          <w:tcPr>
            <w:tcW w:w="16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(11)</w:t>
            </w:r>
          </w:p>
        </w:tc>
      </w:tr>
      <w:tr>
        <w:trPr>
          <w:trHeight w:val="216"/>
        </w:trPr>
        <w:tc>
          <w:tcPr>
            <w:tcW w:w="24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Jamaica Express </w:t>
            </w:r>
            <w:r>
              <w:rPr>
                <w:rFonts w:ascii="Times New Roman" w:cs="Times New Roman" w:eastAsia="Times New Roman" w:hAnsi="Times New Roman"/>
                <w:sz w:val="25"/>
                <w:szCs w:val="25"/>
                <w:color w:val="auto"/>
                <w:vertAlign w:val="superscript"/>
              </w:rPr>
              <w:t>(1)</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6,918</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23,915</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2015</w:t>
            </w:r>
          </w:p>
        </w:tc>
        <w:tc>
          <w:tcPr>
            <w:tcW w:w="154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9"/>
              </w:rPr>
              <w:t>Hapag-Lloyd</w:t>
            </w:r>
          </w:p>
        </w:tc>
        <w:tc>
          <w:tcPr>
            <w:tcW w:w="1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3Q29</w:t>
            </w:r>
          </w:p>
        </w:tc>
        <w:tc>
          <w:tcPr>
            <w:tcW w:w="1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4Q31</w:t>
            </w:r>
          </w:p>
        </w:tc>
        <w:tc>
          <w:tcPr>
            <w:tcW w:w="16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(11)</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GSL Christen</w:t>
            </w: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6,858</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27,954</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2002</w:t>
            </w:r>
          </w:p>
        </w:tc>
        <w:tc>
          <w:tcPr>
            <w:tcW w:w="154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Maersk</w:t>
            </w:r>
          </w:p>
        </w:tc>
        <w:tc>
          <w:tcPr>
            <w:tcW w:w="1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4Q27</w:t>
            </w:r>
          </w:p>
        </w:tc>
        <w:tc>
          <w:tcPr>
            <w:tcW w:w="1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1Q28</w:t>
            </w:r>
          </w:p>
        </w:tc>
        <w:tc>
          <w:tcPr>
            <w:tcW w:w="16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(13)</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GSL Nicoletta</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6,858</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28,070</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2002</w:t>
            </w:r>
          </w:p>
        </w:tc>
        <w:tc>
          <w:tcPr>
            <w:tcW w:w="15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Maersk</w:t>
            </w:r>
          </w:p>
        </w:tc>
        <w:tc>
          <w:tcPr>
            <w:tcW w:w="1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1Q28</w:t>
            </w:r>
          </w:p>
        </w:tc>
        <w:tc>
          <w:tcPr>
            <w:tcW w:w="1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2Q28</w:t>
            </w:r>
          </w:p>
        </w:tc>
        <w:tc>
          <w:tcPr>
            <w:tcW w:w="16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(13)</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Agios Dimitrios</w:t>
            </w: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6,572</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24,931</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2011</w:t>
            </w:r>
          </w:p>
        </w:tc>
        <w:tc>
          <w:tcPr>
            <w:tcW w:w="154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MSC</w:t>
            </w:r>
          </w:p>
        </w:tc>
        <w:tc>
          <w:tcPr>
            <w:tcW w:w="1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3Q30</w:t>
            </w:r>
          </w:p>
        </w:tc>
        <w:tc>
          <w:tcPr>
            <w:tcW w:w="1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4Q30</w:t>
            </w:r>
          </w:p>
        </w:tc>
        <w:tc>
          <w:tcPr>
            <w:tcW w:w="16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(6)</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GSL Vinia</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6,080</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23,737</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2004</w:t>
            </w:r>
          </w:p>
        </w:tc>
        <w:tc>
          <w:tcPr>
            <w:tcW w:w="15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Maersk</w:t>
            </w:r>
          </w:p>
        </w:tc>
        <w:tc>
          <w:tcPr>
            <w:tcW w:w="1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1Q28</w:t>
            </w:r>
          </w:p>
        </w:tc>
        <w:tc>
          <w:tcPr>
            <w:tcW w:w="1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4Q29</w:t>
            </w:r>
          </w:p>
        </w:tc>
        <w:tc>
          <w:tcPr>
            <w:tcW w:w="16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(14)</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GSL Christel Elisabeth</w:t>
            </w: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6,080</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23,745</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2004</w:t>
            </w:r>
          </w:p>
        </w:tc>
        <w:tc>
          <w:tcPr>
            <w:tcW w:w="154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Maersk</w:t>
            </w:r>
          </w:p>
        </w:tc>
        <w:tc>
          <w:tcPr>
            <w:tcW w:w="1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1Q28</w:t>
            </w:r>
          </w:p>
        </w:tc>
        <w:tc>
          <w:tcPr>
            <w:tcW w:w="1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3Q29</w:t>
            </w:r>
          </w:p>
        </w:tc>
        <w:tc>
          <w:tcPr>
            <w:tcW w:w="16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(14)</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GSL Arcadia</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6,008</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24,858</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c>
          <w:tcPr>
            <w:tcW w:w="1540" w:type="dxa"/>
            <w:vAlign w:val="bottom"/>
          </w:tcPr>
          <w:p>
            <w:pPr>
              <w:jc w:val="center"/>
              <w:ind w:right="112"/>
              <w:spacing w:after="0" w:line="216" w:lineRule="exact"/>
              <w:rPr>
                <w:sz w:val="20"/>
                <w:szCs w:val="20"/>
                <w:color w:val="auto"/>
              </w:rPr>
            </w:pPr>
            <w:r>
              <w:rPr>
                <w:rFonts w:ascii="Times New Roman" w:cs="Times New Roman" w:eastAsia="Times New Roman" w:hAnsi="Times New Roman"/>
                <w:sz w:val="16"/>
                <w:szCs w:val="16"/>
                <w:color w:val="auto"/>
              </w:rPr>
              <w:t xml:space="preserve">Maersk </w:t>
            </w:r>
            <w:r>
              <w:rPr>
                <w:rFonts w:ascii="Times New Roman" w:cs="Times New Roman" w:eastAsia="Times New Roman" w:hAnsi="Times New Roman"/>
                <w:sz w:val="25"/>
                <w:szCs w:val="25"/>
                <w:color w:val="auto"/>
                <w:vertAlign w:val="superscript"/>
              </w:rPr>
              <w:t>(15)</w:t>
            </w:r>
          </w:p>
        </w:tc>
        <w:tc>
          <w:tcPr>
            <w:tcW w:w="1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1Q29</w:t>
            </w:r>
          </w:p>
        </w:tc>
        <w:tc>
          <w:tcPr>
            <w:tcW w:w="1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2Q29</w:t>
            </w:r>
          </w:p>
        </w:tc>
        <w:tc>
          <w:tcPr>
            <w:tcW w:w="16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12,700 </w:t>
            </w:r>
            <w:r>
              <w:rPr>
                <w:rFonts w:ascii="Times New Roman" w:cs="Times New Roman" w:eastAsia="Times New Roman" w:hAnsi="Times New Roman"/>
                <w:sz w:val="25"/>
                <w:szCs w:val="25"/>
                <w:color w:val="auto"/>
                <w:vertAlign w:val="superscript"/>
              </w:rPr>
              <w:t>(15)</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GSL Violetta</w:t>
            </w: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6,008</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24,873</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c>
          <w:tcPr>
            <w:tcW w:w="1540" w:type="dxa"/>
            <w:vAlign w:val="bottom"/>
            <w:shd w:val="clear" w:color="auto" w:fill="CCEEFF"/>
          </w:tcPr>
          <w:p>
            <w:pPr>
              <w:jc w:val="center"/>
              <w:ind w:right="112"/>
              <w:spacing w:after="0" w:line="216" w:lineRule="exact"/>
              <w:rPr>
                <w:sz w:val="20"/>
                <w:szCs w:val="20"/>
                <w:color w:val="auto"/>
              </w:rPr>
            </w:pPr>
            <w:r>
              <w:rPr>
                <w:rFonts w:ascii="Times New Roman" w:cs="Times New Roman" w:eastAsia="Times New Roman" w:hAnsi="Times New Roman"/>
                <w:sz w:val="16"/>
                <w:szCs w:val="16"/>
                <w:color w:val="auto"/>
              </w:rPr>
              <w:t xml:space="preserve">Maersk </w:t>
            </w:r>
            <w:r>
              <w:rPr>
                <w:rFonts w:ascii="Times New Roman" w:cs="Times New Roman" w:eastAsia="Times New Roman" w:hAnsi="Times New Roman"/>
                <w:sz w:val="25"/>
                <w:szCs w:val="25"/>
                <w:color w:val="auto"/>
                <w:vertAlign w:val="superscript"/>
              </w:rPr>
              <w:t>(15)</w:t>
            </w:r>
          </w:p>
        </w:tc>
        <w:tc>
          <w:tcPr>
            <w:tcW w:w="1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1Q29</w:t>
            </w:r>
          </w:p>
        </w:tc>
        <w:tc>
          <w:tcPr>
            <w:tcW w:w="1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1Q29</w:t>
            </w:r>
          </w:p>
        </w:tc>
        <w:tc>
          <w:tcPr>
            <w:tcW w:w="16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12,900 </w:t>
            </w:r>
            <w:r>
              <w:rPr>
                <w:rFonts w:ascii="Times New Roman" w:cs="Times New Roman" w:eastAsia="Times New Roman" w:hAnsi="Times New Roman"/>
                <w:sz w:val="25"/>
                <w:szCs w:val="25"/>
                <w:color w:val="auto"/>
                <w:vertAlign w:val="superscript"/>
              </w:rPr>
              <w:t>(15)</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GSL Maria</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6,008</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24,414</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2001</w:t>
            </w:r>
          </w:p>
        </w:tc>
        <w:tc>
          <w:tcPr>
            <w:tcW w:w="1540" w:type="dxa"/>
            <w:vAlign w:val="bottom"/>
          </w:tcPr>
          <w:p>
            <w:pPr>
              <w:jc w:val="center"/>
              <w:ind w:right="112"/>
              <w:spacing w:after="0" w:line="216" w:lineRule="exact"/>
              <w:rPr>
                <w:sz w:val="20"/>
                <w:szCs w:val="20"/>
                <w:color w:val="auto"/>
              </w:rPr>
            </w:pPr>
            <w:r>
              <w:rPr>
                <w:rFonts w:ascii="Times New Roman" w:cs="Times New Roman" w:eastAsia="Times New Roman" w:hAnsi="Times New Roman"/>
                <w:sz w:val="16"/>
                <w:szCs w:val="16"/>
                <w:color w:val="auto"/>
              </w:rPr>
              <w:t xml:space="preserve">Maersk </w:t>
            </w:r>
            <w:r>
              <w:rPr>
                <w:rFonts w:ascii="Times New Roman" w:cs="Times New Roman" w:eastAsia="Times New Roman" w:hAnsi="Times New Roman"/>
                <w:sz w:val="25"/>
                <w:szCs w:val="25"/>
                <w:color w:val="auto"/>
                <w:vertAlign w:val="superscript"/>
              </w:rPr>
              <w:t>(15)</w:t>
            </w:r>
          </w:p>
        </w:tc>
        <w:tc>
          <w:tcPr>
            <w:tcW w:w="1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1Q30</w:t>
            </w:r>
          </w:p>
        </w:tc>
        <w:tc>
          <w:tcPr>
            <w:tcW w:w="1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2Q30</w:t>
            </w:r>
          </w:p>
        </w:tc>
        <w:tc>
          <w:tcPr>
            <w:tcW w:w="16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12,700 </w:t>
            </w:r>
            <w:r>
              <w:rPr>
                <w:rFonts w:ascii="Times New Roman" w:cs="Times New Roman" w:eastAsia="Times New Roman" w:hAnsi="Times New Roman"/>
                <w:sz w:val="25"/>
                <w:szCs w:val="25"/>
                <w:color w:val="auto"/>
                <w:vertAlign w:val="superscript"/>
              </w:rPr>
              <w:t>(15)</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GSL MYNY</w:t>
            </w: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6,008</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24,876</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c>
          <w:tcPr>
            <w:tcW w:w="1540" w:type="dxa"/>
            <w:vAlign w:val="bottom"/>
            <w:shd w:val="clear" w:color="auto" w:fill="CCEEFF"/>
          </w:tcPr>
          <w:p>
            <w:pPr>
              <w:jc w:val="center"/>
              <w:ind w:right="112"/>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(15)</w:t>
            </w:r>
          </w:p>
        </w:tc>
        <w:tc>
          <w:tcPr>
            <w:tcW w:w="1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1Q29</w:t>
            </w:r>
          </w:p>
        </w:tc>
        <w:tc>
          <w:tcPr>
            <w:tcW w:w="1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2Q29</w:t>
            </w:r>
          </w:p>
        </w:tc>
        <w:tc>
          <w:tcPr>
            <w:tcW w:w="16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(15)</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GSL Melita</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6,008</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24,859</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2001</w:t>
            </w:r>
          </w:p>
        </w:tc>
        <w:tc>
          <w:tcPr>
            <w:tcW w:w="1540" w:type="dxa"/>
            <w:vAlign w:val="bottom"/>
          </w:tcPr>
          <w:p>
            <w:pPr>
              <w:jc w:val="center"/>
              <w:ind w:right="112"/>
              <w:spacing w:after="0" w:line="216" w:lineRule="exact"/>
              <w:rPr>
                <w:sz w:val="20"/>
                <w:szCs w:val="20"/>
                <w:color w:val="auto"/>
              </w:rPr>
            </w:pPr>
            <w:r>
              <w:rPr>
                <w:rFonts w:ascii="Times New Roman" w:cs="Times New Roman" w:eastAsia="Times New Roman" w:hAnsi="Times New Roman"/>
                <w:sz w:val="16"/>
                <w:szCs w:val="16"/>
                <w:color w:val="auto"/>
              </w:rPr>
              <w:t xml:space="preserve">Maersk </w:t>
            </w:r>
            <w:r>
              <w:rPr>
                <w:rFonts w:ascii="Times New Roman" w:cs="Times New Roman" w:eastAsia="Times New Roman" w:hAnsi="Times New Roman"/>
                <w:sz w:val="25"/>
                <w:szCs w:val="25"/>
                <w:color w:val="auto"/>
                <w:vertAlign w:val="superscript"/>
              </w:rPr>
              <w:t>(15)</w:t>
            </w:r>
          </w:p>
        </w:tc>
        <w:tc>
          <w:tcPr>
            <w:tcW w:w="1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3Q29</w:t>
            </w:r>
          </w:p>
        </w:tc>
        <w:tc>
          <w:tcPr>
            <w:tcW w:w="1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3Q29</w:t>
            </w:r>
          </w:p>
        </w:tc>
        <w:tc>
          <w:tcPr>
            <w:tcW w:w="16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12,700 </w:t>
            </w:r>
            <w:r>
              <w:rPr>
                <w:rFonts w:ascii="Times New Roman" w:cs="Times New Roman" w:eastAsia="Times New Roman" w:hAnsi="Times New Roman"/>
                <w:sz w:val="25"/>
                <w:szCs w:val="25"/>
                <w:color w:val="auto"/>
                <w:vertAlign w:val="superscript"/>
              </w:rPr>
              <w:t>(15)</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GSL Tegea</w:t>
            </w: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5,994</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24,308</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2001</w:t>
            </w:r>
          </w:p>
        </w:tc>
        <w:tc>
          <w:tcPr>
            <w:tcW w:w="1540" w:type="dxa"/>
            <w:vAlign w:val="bottom"/>
            <w:shd w:val="clear" w:color="auto" w:fill="CCEEFF"/>
          </w:tcPr>
          <w:p>
            <w:pPr>
              <w:jc w:val="center"/>
              <w:ind w:right="112"/>
              <w:spacing w:after="0" w:line="216" w:lineRule="exact"/>
              <w:rPr>
                <w:sz w:val="20"/>
                <w:szCs w:val="20"/>
                <w:color w:val="auto"/>
              </w:rPr>
            </w:pPr>
            <w:r>
              <w:rPr>
                <w:rFonts w:ascii="Times New Roman" w:cs="Times New Roman" w:eastAsia="Times New Roman" w:hAnsi="Times New Roman"/>
                <w:sz w:val="16"/>
                <w:szCs w:val="16"/>
                <w:color w:val="auto"/>
              </w:rPr>
              <w:t xml:space="preserve">Maersk </w:t>
            </w:r>
            <w:r>
              <w:rPr>
                <w:rFonts w:ascii="Times New Roman" w:cs="Times New Roman" w:eastAsia="Times New Roman" w:hAnsi="Times New Roman"/>
                <w:sz w:val="25"/>
                <w:szCs w:val="25"/>
                <w:color w:val="auto"/>
                <w:vertAlign w:val="superscript"/>
              </w:rPr>
              <w:t>(15)</w:t>
            </w:r>
          </w:p>
        </w:tc>
        <w:tc>
          <w:tcPr>
            <w:tcW w:w="1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3Q29</w:t>
            </w:r>
          </w:p>
        </w:tc>
        <w:tc>
          <w:tcPr>
            <w:tcW w:w="1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4Q29</w:t>
            </w:r>
          </w:p>
        </w:tc>
        <w:tc>
          <w:tcPr>
            <w:tcW w:w="16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12,700 </w:t>
            </w:r>
            <w:r>
              <w:rPr>
                <w:rFonts w:ascii="Times New Roman" w:cs="Times New Roman" w:eastAsia="Times New Roman" w:hAnsi="Times New Roman"/>
                <w:sz w:val="25"/>
                <w:szCs w:val="25"/>
                <w:color w:val="auto"/>
                <w:vertAlign w:val="superscript"/>
              </w:rPr>
              <w:t>(15)</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GSL Dorothea</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5,994</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24,243</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2001</w:t>
            </w:r>
          </w:p>
        </w:tc>
        <w:tc>
          <w:tcPr>
            <w:tcW w:w="1540" w:type="dxa"/>
            <w:vAlign w:val="bottom"/>
          </w:tcPr>
          <w:p>
            <w:pPr>
              <w:jc w:val="center"/>
              <w:ind w:right="112"/>
              <w:spacing w:after="0" w:line="216" w:lineRule="exact"/>
              <w:rPr>
                <w:sz w:val="20"/>
                <w:szCs w:val="20"/>
                <w:color w:val="auto"/>
              </w:rPr>
            </w:pPr>
            <w:r>
              <w:rPr>
                <w:rFonts w:ascii="Times New Roman" w:cs="Times New Roman" w:eastAsia="Times New Roman" w:hAnsi="Times New Roman"/>
                <w:sz w:val="16"/>
                <w:szCs w:val="16"/>
                <w:color w:val="auto"/>
              </w:rPr>
              <w:t xml:space="preserve">Maersk </w:t>
            </w:r>
            <w:r>
              <w:rPr>
                <w:rFonts w:ascii="Times New Roman" w:cs="Times New Roman" w:eastAsia="Times New Roman" w:hAnsi="Times New Roman"/>
                <w:sz w:val="25"/>
                <w:szCs w:val="25"/>
                <w:color w:val="auto"/>
                <w:vertAlign w:val="superscript"/>
              </w:rPr>
              <w:t>(15)</w:t>
            </w:r>
          </w:p>
        </w:tc>
        <w:tc>
          <w:tcPr>
            <w:tcW w:w="1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3Q29</w:t>
            </w:r>
          </w:p>
        </w:tc>
        <w:tc>
          <w:tcPr>
            <w:tcW w:w="1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3Q29</w:t>
            </w:r>
          </w:p>
        </w:tc>
        <w:tc>
          <w:tcPr>
            <w:tcW w:w="16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12,700 </w:t>
            </w:r>
            <w:r>
              <w:rPr>
                <w:rFonts w:ascii="Times New Roman" w:cs="Times New Roman" w:eastAsia="Times New Roman" w:hAnsi="Times New Roman"/>
                <w:sz w:val="25"/>
                <w:szCs w:val="25"/>
                <w:color w:val="auto"/>
                <w:vertAlign w:val="superscript"/>
              </w:rPr>
              <w:t>(15)</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Ian H</w:t>
            </w: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5,936</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25,128</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c>
          <w:tcPr>
            <w:tcW w:w="1540" w:type="dxa"/>
            <w:vAlign w:val="bottom"/>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w w:val="99"/>
              </w:rPr>
              <w:t>COSCO</w:t>
            </w:r>
          </w:p>
        </w:tc>
        <w:tc>
          <w:tcPr>
            <w:tcW w:w="1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4Q27</w:t>
            </w:r>
          </w:p>
        </w:tc>
        <w:tc>
          <w:tcPr>
            <w:tcW w:w="1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4Q27</w:t>
            </w:r>
          </w:p>
        </w:tc>
        <w:tc>
          <w:tcPr>
            <w:tcW w:w="16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(16)</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GSL Tripoli</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5,470</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22,109</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2009</w:t>
            </w:r>
          </w:p>
        </w:tc>
        <w:tc>
          <w:tcPr>
            <w:tcW w:w="15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Maersk</w:t>
            </w:r>
          </w:p>
        </w:tc>
        <w:tc>
          <w:tcPr>
            <w:tcW w:w="1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3Q27</w:t>
            </w:r>
          </w:p>
        </w:tc>
        <w:tc>
          <w:tcPr>
            <w:tcW w:w="1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4Q27</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17,250</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GSL Kithira</w:t>
            </w: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5,470</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22,259</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2009</w:t>
            </w:r>
          </w:p>
        </w:tc>
        <w:tc>
          <w:tcPr>
            <w:tcW w:w="154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Maersk</w:t>
            </w:r>
          </w:p>
        </w:tc>
        <w:tc>
          <w:tcPr>
            <w:tcW w:w="1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4Q27</w:t>
            </w:r>
          </w:p>
        </w:tc>
        <w:tc>
          <w:tcPr>
            <w:tcW w:w="1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1Q28</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17,250</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GSL Tinos</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5,470</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22,068</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2010</w:t>
            </w:r>
          </w:p>
        </w:tc>
        <w:tc>
          <w:tcPr>
            <w:tcW w:w="15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Maersk</w:t>
            </w:r>
          </w:p>
        </w:tc>
        <w:tc>
          <w:tcPr>
            <w:tcW w:w="1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3Q27</w:t>
            </w:r>
          </w:p>
        </w:tc>
        <w:tc>
          <w:tcPr>
            <w:tcW w:w="1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4Q27</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17,250</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GSL Syros</w:t>
            </w: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5,470</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22,099</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2010</w:t>
            </w:r>
          </w:p>
        </w:tc>
        <w:tc>
          <w:tcPr>
            <w:tcW w:w="154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Maersk</w:t>
            </w:r>
          </w:p>
        </w:tc>
        <w:tc>
          <w:tcPr>
            <w:tcW w:w="1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4Q27</w:t>
            </w:r>
          </w:p>
        </w:tc>
        <w:tc>
          <w:tcPr>
            <w:tcW w:w="1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4Q27</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17,250</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Orca I</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5,308</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20,633</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2006</w:t>
            </w:r>
          </w:p>
        </w:tc>
        <w:tc>
          <w:tcPr>
            <w:tcW w:w="1540" w:type="dxa"/>
            <w:vAlign w:val="bottom"/>
          </w:tcPr>
          <w:p>
            <w:pPr>
              <w:jc w:val="center"/>
              <w:ind w:right="112"/>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(17)</w:t>
            </w:r>
          </w:p>
        </w:tc>
        <w:tc>
          <w:tcPr>
            <w:tcW w:w="1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3Q28</w:t>
            </w:r>
          </w:p>
        </w:tc>
        <w:tc>
          <w:tcPr>
            <w:tcW w:w="1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4Q28</w:t>
            </w:r>
          </w:p>
        </w:tc>
        <w:tc>
          <w:tcPr>
            <w:tcW w:w="16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(17)</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Dolphin II</w:t>
            </w: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5,095</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20,596</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2007</w:t>
            </w:r>
          </w:p>
        </w:tc>
        <w:tc>
          <w:tcPr>
            <w:tcW w:w="1540" w:type="dxa"/>
            <w:vAlign w:val="bottom"/>
            <w:shd w:val="clear" w:color="auto" w:fill="CCEEFF"/>
          </w:tcPr>
          <w:p>
            <w:pPr>
              <w:jc w:val="center"/>
              <w:ind w:right="112"/>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(17)</w:t>
            </w:r>
          </w:p>
        </w:tc>
        <w:tc>
          <w:tcPr>
            <w:tcW w:w="1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1Q28</w:t>
            </w:r>
          </w:p>
        </w:tc>
        <w:tc>
          <w:tcPr>
            <w:tcW w:w="1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2Q28</w:t>
            </w:r>
          </w:p>
        </w:tc>
        <w:tc>
          <w:tcPr>
            <w:tcW w:w="16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(17)</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CMA CGM Alcazar</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5,089</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20,087</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2007</w:t>
            </w:r>
          </w:p>
        </w:tc>
        <w:tc>
          <w:tcPr>
            <w:tcW w:w="15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CMA CGM</w:t>
            </w:r>
          </w:p>
        </w:tc>
        <w:tc>
          <w:tcPr>
            <w:tcW w:w="1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3Q29</w:t>
            </w:r>
          </w:p>
        </w:tc>
        <w:tc>
          <w:tcPr>
            <w:tcW w:w="1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4Q29</w:t>
            </w:r>
          </w:p>
        </w:tc>
        <w:tc>
          <w:tcPr>
            <w:tcW w:w="16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35,500 </w:t>
            </w:r>
            <w:r>
              <w:rPr>
                <w:rFonts w:ascii="Times New Roman" w:cs="Times New Roman" w:eastAsia="Times New Roman" w:hAnsi="Times New Roman"/>
                <w:sz w:val="25"/>
                <w:szCs w:val="25"/>
                <w:color w:val="auto"/>
                <w:vertAlign w:val="superscript"/>
              </w:rPr>
              <w:t>(18)</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GSL Château d’If</w:t>
            </w: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5,089</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19,994</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2007</w:t>
            </w:r>
          </w:p>
        </w:tc>
        <w:tc>
          <w:tcPr>
            <w:tcW w:w="154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CMA CGM</w:t>
            </w:r>
          </w:p>
        </w:tc>
        <w:tc>
          <w:tcPr>
            <w:tcW w:w="1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4Q29</w:t>
            </w:r>
          </w:p>
        </w:tc>
        <w:tc>
          <w:tcPr>
            <w:tcW w:w="1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1Q30</w:t>
            </w:r>
          </w:p>
        </w:tc>
        <w:tc>
          <w:tcPr>
            <w:tcW w:w="16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35,500 </w:t>
            </w:r>
            <w:r>
              <w:rPr>
                <w:rFonts w:ascii="Times New Roman" w:cs="Times New Roman" w:eastAsia="Times New Roman" w:hAnsi="Times New Roman"/>
                <w:sz w:val="25"/>
                <w:szCs w:val="25"/>
                <w:color w:val="auto"/>
                <w:vertAlign w:val="superscript"/>
              </w:rPr>
              <w:t>(18)</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GSL Susan</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4,363</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17,309</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2008</w:t>
            </w:r>
          </w:p>
        </w:tc>
        <w:tc>
          <w:tcPr>
            <w:tcW w:w="15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CMA CGM</w:t>
            </w:r>
          </w:p>
        </w:tc>
        <w:tc>
          <w:tcPr>
            <w:tcW w:w="1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3Q27</w:t>
            </w:r>
          </w:p>
        </w:tc>
        <w:tc>
          <w:tcPr>
            <w:tcW w:w="1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1Q28</w:t>
            </w:r>
          </w:p>
        </w:tc>
        <w:tc>
          <w:tcPr>
            <w:tcW w:w="16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(19)</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CMA CGM Jamaica</w:t>
            </w: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4,298</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17,272</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2006</w:t>
            </w:r>
          </w:p>
        </w:tc>
        <w:tc>
          <w:tcPr>
            <w:tcW w:w="154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CMA CGM</w:t>
            </w:r>
          </w:p>
        </w:tc>
        <w:tc>
          <w:tcPr>
            <w:tcW w:w="1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1Q28</w:t>
            </w:r>
          </w:p>
        </w:tc>
        <w:tc>
          <w:tcPr>
            <w:tcW w:w="1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2Q28</w:t>
            </w:r>
          </w:p>
        </w:tc>
        <w:tc>
          <w:tcPr>
            <w:tcW w:w="16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(19)</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CMA CGM Sambhar</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4,045</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17,355</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2006</w:t>
            </w:r>
          </w:p>
        </w:tc>
        <w:tc>
          <w:tcPr>
            <w:tcW w:w="15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CMA CGM</w:t>
            </w:r>
          </w:p>
        </w:tc>
        <w:tc>
          <w:tcPr>
            <w:tcW w:w="1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1Q28</w:t>
            </w:r>
          </w:p>
        </w:tc>
        <w:tc>
          <w:tcPr>
            <w:tcW w:w="1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2Q28</w:t>
            </w:r>
          </w:p>
        </w:tc>
        <w:tc>
          <w:tcPr>
            <w:tcW w:w="16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(19)</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CMA CGM America</w:t>
            </w: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4,045</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17,355</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2006</w:t>
            </w:r>
          </w:p>
        </w:tc>
        <w:tc>
          <w:tcPr>
            <w:tcW w:w="154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CMA CGM</w:t>
            </w:r>
          </w:p>
        </w:tc>
        <w:tc>
          <w:tcPr>
            <w:tcW w:w="1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1Q28</w:t>
            </w:r>
          </w:p>
        </w:tc>
        <w:tc>
          <w:tcPr>
            <w:tcW w:w="1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2Q28</w:t>
            </w:r>
          </w:p>
        </w:tc>
        <w:tc>
          <w:tcPr>
            <w:tcW w:w="16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(19)</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GSL Rossi</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3,421</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16,420</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2012</w:t>
            </w:r>
          </w:p>
        </w:tc>
        <w:tc>
          <w:tcPr>
            <w:tcW w:w="15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ZIM</w:t>
            </w:r>
          </w:p>
        </w:tc>
        <w:tc>
          <w:tcPr>
            <w:tcW w:w="1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1Q29</w:t>
            </w:r>
          </w:p>
        </w:tc>
        <w:tc>
          <w:tcPr>
            <w:tcW w:w="1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2Q29</w:t>
            </w:r>
          </w:p>
        </w:tc>
        <w:tc>
          <w:tcPr>
            <w:tcW w:w="16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35,000 </w:t>
            </w:r>
            <w:r>
              <w:rPr>
                <w:rFonts w:ascii="Times New Roman" w:cs="Times New Roman" w:eastAsia="Times New Roman" w:hAnsi="Times New Roman"/>
                <w:sz w:val="25"/>
                <w:szCs w:val="25"/>
                <w:color w:val="auto"/>
                <w:vertAlign w:val="superscript"/>
              </w:rPr>
              <w:t>(20)</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GSL Alice</w:t>
            </w: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3,421</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16,543</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2014</w:t>
            </w:r>
          </w:p>
        </w:tc>
        <w:tc>
          <w:tcPr>
            <w:tcW w:w="154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CMA CGM</w:t>
            </w:r>
          </w:p>
        </w:tc>
        <w:tc>
          <w:tcPr>
            <w:tcW w:w="1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2Q28</w:t>
            </w:r>
          </w:p>
        </w:tc>
        <w:tc>
          <w:tcPr>
            <w:tcW w:w="1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3Q28</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31,000</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GSL Eleftheria</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3,421</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16,642</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2013</w:t>
            </w:r>
          </w:p>
        </w:tc>
        <w:tc>
          <w:tcPr>
            <w:tcW w:w="15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Maersk</w:t>
            </w:r>
          </w:p>
        </w:tc>
        <w:tc>
          <w:tcPr>
            <w:tcW w:w="1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3Q28</w:t>
            </w:r>
          </w:p>
        </w:tc>
        <w:tc>
          <w:tcPr>
            <w:tcW w:w="1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4Q28</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33,000</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GSL Melina</w:t>
            </w: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3,404</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16,703</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2013</w:t>
            </w:r>
          </w:p>
        </w:tc>
        <w:tc>
          <w:tcPr>
            <w:tcW w:w="154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Maersk</w:t>
            </w:r>
          </w:p>
        </w:tc>
        <w:tc>
          <w:tcPr>
            <w:tcW w:w="1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4Q26</w:t>
            </w:r>
          </w:p>
        </w:tc>
        <w:tc>
          <w:tcPr>
            <w:tcW w:w="1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4Q26</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29,900</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Athena</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2,980</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13,538</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2003</w:t>
            </w:r>
          </w:p>
        </w:tc>
        <w:tc>
          <w:tcPr>
            <w:tcW w:w="15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MSC</w:t>
            </w:r>
          </w:p>
        </w:tc>
        <w:tc>
          <w:tcPr>
            <w:tcW w:w="1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2Q27</w:t>
            </w:r>
          </w:p>
        </w:tc>
        <w:tc>
          <w:tcPr>
            <w:tcW w:w="1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3Q27</w:t>
            </w:r>
          </w:p>
        </w:tc>
        <w:tc>
          <w:tcPr>
            <w:tcW w:w="16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(21)</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GSL Valerie</w:t>
            </w: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2,824</w:t>
            </w:r>
          </w:p>
        </w:tc>
        <w:tc>
          <w:tcPr>
            <w:tcW w:w="10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11,971</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2005</w:t>
            </w:r>
          </w:p>
        </w:tc>
        <w:tc>
          <w:tcPr>
            <w:tcW w:w="154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rPr>
              <w:t>ZIM</w:t>
            </w:r>
          </w:p>
        </w:tc>
        <w:tc>
          <w:tcPr>
            <w:tcW w:w="1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2Q27</w:t>
            </w:r>
          </w:p>
        </w:tc>
        <w:tc>
          <w:tcPr>
            <w:tcW w:w="1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3Q27</w:t>
            </w:r>
          </w:p>
        </w:tc>
        <w:tc>
          <w:tcPr>
            <w:tcW w:w="16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(22)</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GSL Mamitsa</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2,824</w:t>
            </w: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11,949</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2007</w:t>
            </w:r>
          </w:p>
        </w:tc>
        <w:tc>
          <w:tcPr>
            <w:tcW w:w="15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6"/>
              </w:rPr>
              <w:t>RCL</w:t>
            </w:r>
          </w:p>
        </w:tc>
        <w:tc>
          <w:tcPr>
            <w:tcW w:w="1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1Q28</w:t>
            </w:r>
          </w:p>
        </w:tc>
        <w:tc>
          <w:tcPr>
            <w:tcW w:w="1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2Q28</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28,000</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GSL Lalo</w:t>
            </w: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2,824</w:t>
            </w:r>
          </w:p>
        </w:tc>
        <w:tc>
          <w:tcPr>
            <w:tcW w:w="10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11,950</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2006</w:t>
            </w:r>
          </w:p>
        </w:tc>
        <w:tc>
          <w:tcPr>
            <w:tcW w:w="154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MSC</w:t>
            </w:r>
          </w:p>
        </w:tc>
        <w:tc>
          <w:tcPr>
            <w:tcW w:w="1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2Q27</w:t>
            </w:r>
          </w:p>
        </w:tc>
        <w:tc>
          <w:tcPr>
            <w:tcW w:w="1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3Q27</w:t>
            </w:r>
          </w:p>
        </w:tc>
        <w:tc>
          <w:tcPr>
            <w:tcW w:w="16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(23)</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GSL Mercer</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2,824</w:t>
            </w: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11,970</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2007</w:t>
            </w:r>
          </w:p>
        </w:tc>
        <w:tc>
          <w:tcPr>
            <w:tcW w:w="15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ONE</w:t>
            </w:r>
          </w:p>
        </w:tc>
        <w:tc>
          <w:tcPr>
            <w:tcW w:w="1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1Q27</w:t>
            </w:r>
          </w:p>
        </w:tc>
        <w:tc>
          <w:tcPr>
            <w:tcW w:w="1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2Q27</w:t>
            </w:r>
          </w:p>
        </w:tc>
        <w:tc>
          <w:tcPr>
            <w:tcW w:w="16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(24)</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GSL Elizabeth</w:t>
            </w: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2,741</w:t>
            </w:r>
          </w:p>
        </w:tc>
        <w:tc>
          <w:tcPr>
            <w:tcW w:w="10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11,530</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2006</w:t>
            </w:r>
          </w:p>
        </w:tc>
        <w:tc>
          <w:tcPr>
            <w:tcW w:w="154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Maersk</w:t>
            </w:r>
          </w:p>
        </w:tc>
        <w:tc>
          <w:tcPr>
            <w:tcW w:w="1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3Q28</w:t>
            </w:r>
          </w:p>
        </w:tc>
        <w:tc>
          <w:tcPr>
            <w:tcW w:w="1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4Q28</w:t>
            </w:r>
          </w:p>
        </w:tc>
        <w:tc>
          <w:tcPr>
            <w:tcW w:w="16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20,360 </w:t>
            </w:r>
            <w:r>
              <w:rPr>
                <w:rFonts w:ascii="Times New Roman" w:cs="Times New Roman" w:eastAsia="Times New Roman" w:hAnsi="Times New Roman"/>
                <w:sz w:val="25"/>
                <w:szCs w:val="25"/>
                <w:color w:val="auto"/>
                <w:vertAlign w:val="superscript"/>
              </w:rPr>
              <w:t>(25)</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Newyorker</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2,635</w:t>
            </w: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11,463</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2001</w:t>
            </w:r>
          </w:p>
        </w:tc>
        <w:tc>
          <w:tcPr>
            <w:tcW w:w="15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Maersk</w:t>
            </w:r>
          </w:p>
        </w:tc>
        <w:tc>
          <w:tcPr>
            <w:tcW w:w="1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2Q27</w:t>
            </w:r>
          </w:p>
        </w:tc>
        <w:tc>
          <w:tcPr>
            <w:tcW w:w="1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3Q27</w:t>
            </w:r>
          </w:p>
        </w:tc>
        <w:tc>
          <w:tcPr>
            <w:tcW w:w="16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(26)</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Nikolas</w:t>
            </w: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2,635</w:t>
            </w:r>
          </w:p>
        </w:tc>
        <w:tc>
          <w:tcPr>
            <w:tcW w:w="10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11,370</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c>
          <w:tcPr>
            <w:tcW w:w="154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CMA CGM</w:t>
            </w:r>
          </w:p>
        </w:tc>
        <w:tc>
          <w:tcPr>
            <w:tcW w:w="1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4Q26</w:t>
            </w:r>
          </w:p>
        </w:tc>
        <w:tc>
          <w:tcPr>
            <w:tcW w:w="1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2Q27</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26,000</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GSL Chloe</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2,546</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12,212</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2012</w:t>
            </w:r>
          </w:p>
        </w:tc>
        <w:tc>
          <w:tcPr>
            <w:tcW w:w="15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ONE</w:t>
            </w:r>
          </w:p>
        </w:tc>
        <w:tc>
          <w:tcPr>
            <w:tcW w:w="1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1Q27</w:t>
            </w:r>
          </w:p>
        </w:tc>
        <w:tc>
          <w:tcPr>
            <w:tcW w:w="1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2Q27</w:t>
            </w:r>
          </w:p>
        </w:tc>
        <w:tc>
          <w:tcPr>
            <w:tcW w:w="16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(24)</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GSL Maren</w:t>
            </w: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2,546</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12,243</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2014</w:t>
            </w:r>
          </w:p>
        </w:tc>
        <w:tc>
          <w:tcPr>
            <w:tcW w:w="154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rPr>
              <w:t>OOCL</w:t>
            </w:r>
          </w:p>
        </w:tc>
        <w:tc>
          <w:tcPr>
            <w:tcW w:w="1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2Q28</w:t>
            </w:r>
          </w:p>
        </w:tc>
        <w:tc>
          <w:tcPr>
            <w:tcW w:w="1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3Q28</w:t>
            </w:r>
          </w:p>
        </w:tc>
        <w:tc>
          <w:tcPr>
            <w:tcW w:w="16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16,500 </w:t>
            </w:r>
            <w:r>
              <w:rPr>
                <w:rFonts w:ascii="Times New Roman" w:cs="Times New Roman" w:eastAsia="Times New Roman" w:hAnsi="Times New Roman"/>
                <w:sz w:val="25"/>
                <w:szCs w:val="25"/>
                <w:color w:val="auto"/>
                <w:vertAlign w:val="superscript"/>
              </w:rPr>
              <w:t>(27)</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Maira</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2,506</w:t>
            </w: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11,453</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c>
          <w:tcPr>
            <w:tcW w:w="15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CMA CGM</w:t>
            </w:r>
          </w:p>
        </w:tc>
        <w:tc>
          <w:tcPr>
            <w:tcW w:w="1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1Q27</w:t>
            </w:r>
          </w:p>
        </w:tc>
        <w:tc>
          <w:tcPr>
            <w:tcW w:w="1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2Q27</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26,000</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Manet</w:t>
            </w: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2,288</w:t>
            </w:r>
          </w:p>
        </w:tc>
        <w:tc>
          <w:tcPr>
            <w:tcW w:w="10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11,534</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2001</w:t>
            </w:r>
          </w:p>
        </w:tc>
        <w:tc>
          <w:tcPr>
            <w:tcW w:w="154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rPr>
              <w:t>OOCL</w:t>
            </w:r>
          </w:p>
        </w:tc>
        <w:tc>
          <w:tcPr>
            <w:tcW w:w="1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3Q26</w:t>
            </w:r>
          </w:p>
        </w:tc>
        <w:tc>
          <w:tcPr>
            <w:tcW w:w="1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4Q26</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24,000</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Kumasi</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2,220</w:t>
            </w: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11,652</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2002</w:t>
            </w:r>
          </w:p>
        </w:tc>
        <w:tc>
          <w:tcPr>
            <w:tcW w:w="15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MSC</w:t>
            </w:r>
          </w:p>
        </w:tc>
        <w:tc>
          <w:tcPr>
            <w:tcW w:w="1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4Q26</w:t>
            </w:r>
          </w:p>
        </w:tc>
        <w:tc>
          <w:tcPr>
            <w:tcW w:w="1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1Q27</w:t>
            </w:r>
          </w:p>
        </w:tc>
        <w:tc>
          <w:tcPr>
            <w:tcW w:w="16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(28)</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Julie</w:t>
            </w: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2,207</w:t>
            </w:r>
          </w:p>
        </w:tc>
        <w:tc>
          <w:tcPr>
            <w:tcW w:w="10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11,731</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2002</w:t>
            </w:r>
          </w:p>
        </w:tc>
        <w:tc>
          <w:tcPr>
            <w:tcW w:w="154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MSC</w:t>
            </w:r>
          </w:p>
        </w:tc>
        <w:tc>
          <w:tcPr>
            <w:tcW w:w="1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3Q27</w:t>
            </w:r>
          </w:p>
        </w:tc>
        <w:tc>
          <w:tcPr>
            <w:tcW w:w="1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3Q27</w:t>
            </w:r>
          </w:p>
        </w:tc>
        <w:tc>
          <w:tcPr>
            <w:tcW w:w="16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(29)</w:t>
            </w:r>
          </w:p>
        </w:tc>
      </w:tr>
    </w:tbl>
    <w:p>
      <w:pPr>
        <w:spacing w:after="0" w:line="196" w:lineRule="exact"/>
        <w:rPr>
          <w:sz w:val="20"/>
          <w:szCs w:val="20"/>
          <w:color w:val="auto"/>
        </w:rPr>
      </w:pPr>
    </w:p>
    <w:p>
      <w:pPr>
        <w:ind w:left="580" w:hanging="478"/>
        <w:spacing w:after="0"/>
        <w:tabs>
          <w:tab w:leader="none" w:pos="58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Modern design, high reefer capacity, fuel-efficient “ECO” vessel.</w:t>
      </w:r>
    </w:p>
    <w:p>
      <w:pPr>
        <w:spacing w:after="0" w:line="29" w:lineRule="exact"/>
        <w:rPr>
          <w:rFonts w:ascii="Times New Roman" w:cs="Times New Roman" w:eastAsia="Times New Roman" w:hAnsi="Times New Roman"/>
          <w:sz w:val="18"/>
          <w:szCs w:val="18"/>
          <w:i w:val="1"/>
          <w:iCs w:val="1"/>
          <w:color w:val="auto"/>
        </w:rPr>
      </w:pPr>
    </w:p>
    <w:p>
      <w:pPr>
        <w:jc w:val="both"/>
        <w:ind w:left="580" w:hanging="478"/>
        <w:spacing w:after="0" w:line="265" w:lineRule="auto"/>
        <w:tabs>
          <w:tab w:leader="none" w:pos="580" w:val="left"/>
        </w:tabs>
        <w:numPr>
          <w:ilvl w:val="0"/>
          <w:numId w:val="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In many instances, charterers have the option to extend a charter beyond the nominal latest expiry date by the amount of time that the vessel was off hire during the course of that charter. This additional charter time (“Offhire Extension”) is computed at the end of the initially contracted charter period. The Latest Charter Expiry Dates shown in this table have been adjusted to reflect offhire accrued up to December 31, 2025, plus estimated offhire scheduled to occur during the remaining lifetimes of the respective charters. However, as actual offhire can only be calculated at the end of each charter, in some cases actual Offhire Extensions – if invoked by charterers – may exceed the Latest Charter Expiry Dates indicated.</w:t>
      </w:r>
    </w:p>
    <w:p>
      <w:pPr>
        <w:ind w:left="580" w:right="20" w:hanging="478"/>
        <w:spacing w:after="0" w:line="250" w:lineRule="auto"/>
        <w:tabs>
          <w:tab w:leader="none" w:pos="58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Zim Norfolk and Zim Xiamen were forward extended for 60 – 63 months. The extensions, at confidential rates, are expected to commence between 2Q-3Q 2027.</w:t>
      </w:r>
    </w:p>
    <w:p>
      <w:pPr>
        <w:ind w:left="580" w:hanging="478"/>
        <w:spacing w:after="0"/>
        <w:tabs>
          <w:tab w:leader="none" w:pos="58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Anthea Y is fixed for 36 months +/- 30 days and is chartered at a confidential rate.</w:t>
      </w:r>
    </w:p>
    <w:p>
      <w:pPr>
        <w:sectPr>
          <w:pgSz w:w="11900" w:h="16838" w:orient="portrait"/>
          <w:cols w:equalWidth="0" w:num="1">
            <w:col w:w="11220"/>
          </w:cols>
          <w:pgMar w:left="320" w:top="11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121285</wp:posOffset>
            </wp:positionV>
            <wp:extent cx="7179310" cy="69735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9310" cy="697357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both"/>
        <w:ind w:left="580" w:right="20" w:hanging="478"/>
        <w:spacing w:after="0" w:line="256" w:lineRule="auto"/>
        <w:tabs>
          <w:tab w:leader="none" w:pos="5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Sydney Express, Istanbul Express, Bremerhaven Express and Czech were contracted for purchase in 4Q 2024, with three vessels delivered in December 2024 and the fourth in January 2025. Contract cover for each vessel is for a varied median firm duration extending for an average of 1.7 years, or up to an average of 5.1 years if all charterers’ options are exercised. Sydney Express, Istanbul Express, Bremerhaven Express and Czech are chartered at confidential rates. 12 months extension options were exercised in 3Q 2025 for Bremerhaven Express and Sydney Express.</w:t>
      </w:r>
    </w:p>
    <w:p>
      <w:pPr>
        <w:spacing w:after="0" w:line="1" w:lineRule="exact"/>
        <w:rPr>
          <w:rFonts w:ascii="Times New Roman" w:cs="Times New Roman" w:eastAsia="Times New Roman" w:hAnsi="Times New Roman"/>
          <w:sz w:val="18"/>
          <w:szCs w:val="18"/>
          <w:i w:val="1"/>
          <w:iCs w:val="1"/>
          <w:color w:val="auto"/>
        </w:rPr>
      </w:pPr>
    </w:p>
    <w:p>
      <w:pPr>
        <w:jc w:val="both"/>
        <w:ind w:left="580" w:hanging="478"/>
        <w:spacing w:after="0" w:line="250" w:lineRule="auto"/>
        <w:tabs>
          <w:tab w:leader="none" w:pos="5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MSC Tianjin, MSC Qingdao and Agios Dimitrios are chartered at confidential rates. MSC Tianjin, MSC Qingdao and Agios Dimitrios were forward fixed in direct continuation for 36 – 38 months. The new charters are expected to commence between 3Q-4Q 2027. MSC Tianjin, MSC Qingdao and Agios Dimitrios new charters are at confidential rates. MSC Qingdao &amp; Agios Dimitrios are fitted with Exhaust Gas Cleaning Systems (“scrubbers”).</w:t>
      </w:r>
    </w:p>
    <w:p>
      <w:pPr>
        <w:spacing w:after="0" w:line="1" w:lineRule="exact"/>
        <w:rPr>
          <w:rFonts w:ascii="Times New Roman" w:cs="Times New Roman" w:eastAsia="Times New Roman" w:hAnsi="Times New Roman"/>
          <w:sz w:val="18"/>
          <w:szCs w:val="18"/>
          <w:i w:val="1"/>
          <w:iCs w:val="1"/>
          <w:color w:val="auto"/>
        </w:rPr>
      </w:pPr>
    </w:p>
    <w:p>
      <w:pPr>
        <w:ind w:left="580" w:right="20" w:hanging="478"/>
        <w:spacing w:after="0" w:line="250" w:lineRule="auto"/>
        <w:tabs>
          <w:tab w:leader="none" w:pos="5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GSL Ningbo is chartered at a confidential rate. GSL Ningbo is forward fixed in direct continuation for 36 – 38 months. The new charter is at a confidential rate and is expected to commence on 3Q 2027.</w:t>
      </w:r>
    </w:p>
    <w:p>
      <w:pPr>
        <w:jc w:val="both"/>
        <w:ind w:left="580" w:right="20" w:hanging="478"/>
        <w:spacing w:after="0" w:line="250" w:lineRule="auto"/>
        <w:tabs>
          <w:tab w:leader="none" w:pos="5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GSL Alexandra, GSL Sofia, GSL Effie and GSL Lydia. After the initial charter period, extension options were exercised by charterers at confidential rates. Thereafter, the ships have been forward fixed for approximately 24 months, at confidential rates, with the new charters expected to commence in 2Q-3Q 2026.</w:t>
      </w:r>
    </w:p>
    <w:p>
      <w:pPr>
        <w:spacing w:after="0" w:line="1" w:lineRule="exact"/>
        <w:rPr>
          <w:rFonts w:ascii="Times New Roman" w:cs="Times New Roman" w:eastAsia="Times New Roman" w:hAnsi="Times New Roman"/>
          <w:sz w:val="18"/>
          <w:szCs w:val="18"/>
          <w:i w:val="1"/>
          <w:iCs w:val="1"/>
          <w:color w:val="auto"/>
        </w:rPr>
      </w:pPr>
    </w:p>
    <w:p>
      <w:pPr>
        <w:ind w:left="580" w:right="20" w:hanging="478"/>
        <w:spacing w:after="0" w:line="250" w:lineRule="auto"/>
        <w:tabs>
          <w:tab w:leader="none" w:pos="5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Lotus A and Koi were delivered to our fleet on December 12, 2025, and December 29, 2025, respectively. Cypress was delivered on January 9, 2026. Lotus A, Koi and Cypress charters, at confidential rates, have flexible durations, with latest redeliveries in mid-2030.</w:t>
      </w:r>
    </w:p>
    <w:p>
      <w:pPr>
        <w:ind w:left="580" w:hanging="478"/>
        <w:spacing w:after="0" w:line="250" w:lineRule="auto"/>
        <w:tabs>
          <w:tab w:leader="none" w:pos="5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GSL Eleni, GSL Kalliopi and GSL Grania, are chartered for 35 – 38 months, after which the charterer has the option to extend each charter for a further 12 – 16 months. Each charter is at confidential rates.</w:t>
      </w:r>
    </w:p>
    <w:p>
      <w:pPr>
        <w:jc w:val="both"/>
        <w:ind w:left="580" w:hanging="478"/>
        <w:spacing w:after="0" w:line="250" w:lineRule="auto"/>
        <w:tabs>
          <w:tab w:leader="none" w:pos="5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Colombia Express (ex Mary), Panama Express (ex Kristina), Costa Rica Express (ex Katherine), Nicaragua Express (ex Alexandra), Mexico Express (ex Alexis), Jamaica Express (ex Olivia I) are fixed to Hapag-Lloyd for 60 months +/- 45 days, followed by two periods of 12 months each at the option of the charterer. The charters are at confidential rates.</w:t>
      </w:r>
    </w:p>
    <w:p>
      <w:pPr>
        <w:spacing w:after="0" w:line="1" w:lineRule="exact"/>
        <w:rPr>
          <w:rFonts w:ascii="Times New Roman" w:cs="Times New Roman" w:eastAsia="Times New Roman" w:hAnsi="Times New Roman"/>
          <w:sz w:val="18"/>
          <w:szCs w:val="18"/>
          <w:i w:val="1"/>
          <w:iCs w:val="1"/>
          <w:color w:val="auto"/>
        </w:rPr>
      </w:pPr>
    </w:p>
    <w:p>
      <w:pPr>
        <w:ind w:left="580" w:hanging="478"/>
        <w:spacing w:after="0"/>
        <w:tabs>
          <w:tab w:leader="none" w:pos="5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CMA CGM Berlioz was forward fixed for 36 – 38 months. The new charter, at confidential rate, is expected to commence in 1Q 2026.</w:t>
      </w:r>
    </w:p>
    <w:p>
      <w:pPr>
        <w:spacing w:after="0" w:line="9" w:lineRule="exact"/>
        <w:rPr>
          <w:rFonts w:ascii="Times New Roman" w:cs="Times New Roman" w:eastAsia="Times New Roman" w:hAnsi="Times New Roman"/>
          <w:sz w:val="18"/>
          <w:szCs w:val="18"/>
          <w:i w:val="1"/>
          <w:iCs w:val="1"/>
          <w:color w:val="auto"/>
        </w:rPr>
      </w:pPr>
    </w:p>
    <w:p>
      <w:pPr>
        <w:ind w:left="580" w:hanging="478"/>
        <w:spacing w:after="0"/>
        <w:tabs>
          <w:tab w:leader="none" w:pos="5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GSL Nicoletta and GSL Christen are chartered at confidential rates.</w:t>
      </w:r>
    </w:p>
    <w:p>
      <w:pPr>
        <w:spacing w:after="0" w:line="9" w:lineRule="exact"/>
        <w:rPr>
          <w:rFonts w:ascii="Times New Roman" w:cs="Times New Roman" w:eastAsia="Times New Roman" w:hAnsi="Times New Roman"/>
          <w:sz w:val="18"/>
          <w:szCs w:val="18"/>
          <w:i w:val="1"/>
          <w:iCs w:val="1"/>
          <w:color w:val="auto"/>
        </w:rPr>
      </w:pPr>
    </w:p>
    <w:p>
      <w:pPr>
        <w:ind w:left="580" w:hanging="478"/>
        <w:spacing w:after="0" w:line="250" w:lineRule="auto"/>
        <w:tabs>
          <w:tab w:leader="none" w:pos="5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GSL Vinia and GSL Christel Elizabeth are chartered for 36 – 40 months, after which the charterer has the option to extend each charter for a further 12 – 15 months. The charters are at confidential rates.</w:t>
      </w:r>
    </w:p>
    <w:p>
      <w:pPr>
        <w:jc w:val="both"/>
        <w:ind w:left="580" w:hanging="478"/>
        <w:spacing w:after="0" w:line="250" w:lineRule="auto"/>
        <w:tabs>
          <w:tab w:leader="none" w:pos="5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GSL Maria, GSL Violetta, GSL Arcadia, GSL MYNY, GSL Melita, GSL Tegea and GSL Dorothea. Contract cover for each ship is for a firm period of at least three years from the date each vessel was delivered in 2021, with charterers holding a one-year extension option on each charter (at a rate of $12,900 per day), followed by a second option (at a rate of $12,700 per day) with the period determined by – and terminating prior to – each vessel’s 25th year drydocking &amp; special survey. The first extension options have been exercised for all seven ships. Second extension options were exercised in January 2025 for GSL Dorothea, GSL Arcadia, GSL Melita and GSL Tegea, in April 2025 for GSL MYNY and in September 2025 for GSL Maria. The vessels were forward fixed for 36 – 38 months to a leading liner company. The new charters are expected to commence between 1Q 2026 and 1Q 2027, following completion of drydocking in some cases, and are at confidential rates. As of December 31, 2025, GSL MYNY is under drydock.</w:t>
      </w:r>
    </w:p>
    <w:p>
      <w:pPr>
        <w:spacing w:after="0" w:line="3" w:lineRule="exact"/>
        <w:rPr>
          <w:rFonts w:ascii="Times New Roman" w:cs="Times New Roman" w:eastAsia="Times New Roman" w:hAnsi="Times New Roman"/>
          <w:sz w:val="18"/>
          <w:szCs w:val="18"/>
          <w:i w:val="1"/>
          <w:iCs w:val="1"/>
          <w:color w:val="auto"/>
        </w:rPr>
      </w:pPr>
    </w:p>
    <w:p>
      <w:pPr>
        <w:ind w:left="580" w:hanging="478"/>
        <w:spacing w:after="0"/>
        <w:tabs>
          <w:tab w:leader="none" w:pos="5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Ian H charter is chartered at confidential rate.</w:t>
      </w:r>
    </w:p>
    <w:p>
      <w:pPr>
        <w:spacing w:after="0" w:line="9" w:lineRule="exact"/>
        <w:rPr>
          <w:rFonts w:ascii="Times New Roman" w:cs="Times New Roman" w:eastAsia="Times New Roman" w:hAnsi="Times New Roman"/>
          <w:sz w:val="18"/>
          <w:szCs w:val="18"/>
          <w:i w:val="1"/>
          <w:iCs w:val="1"/>
          <w:color w:val="auto"/>
        </w:rPr>
      </w:pPr>
    </w:p>
    <w:p>
      <w:pPr>
        <w:ind w:left="580" w:hanging="478"/>
        <w:spacing w:after="0"/>
        <w:tabs>
          <w:tab w:leader="none" w:pos="5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Dolphin II and Orca I are fixed to a leading liner company. Each charter is at confidential rates.</w:t>
      </w:r>
    </w:p>
    <w:p>
      <w:pPr>
        <w:spacing w:after="0" w:line="9" w:lineRule="exact"/>
        <w:rPr>
          <w:rFonts w:ascii="Times New Roman" w:cs="Times New Roman" w:eastAsia="Times New Roman" w:hAnsi="Times New Roman"/>
          <w:sz w:val="18"/>
          <w:szCs w:val="18"/>
          <w:i w:val="1"/>
          <w:iCs w:val="1"/>
          <w:color w:val="auto"/>
        </w:rPr>
      </w:pPr>
    </w:p>
    <w:p>
      <w:pPr>
        <w:ind w:left="580" w:hanging="478"/>
        <w:spacing w:after="0" w:line="250" w:lineRule="auto"/>
        <w:tabs>
          <w:tab w:leader="none" w:pos="5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GSL Château d’If and CMA CGM Alcazar were forward fixed for 36 – 38 months. The new charters, at confidential rates, are expected to commence between 3Q-4Q 2026.</w:t>
      </w:r>
    </w:p>
    <w:p>
      <w:pPr>
        <w:ind w:left="580" w:hanging="478"/>
        <w:spacing w:after="0"/>
        <w:tabs>
          <w:tab w:leader="none" w:pos="5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GSL Susan, CMA CGM Jamaica, CMA CGM Sambhar and CMA CGM America are chartered at confidential rates.</w:t>
      </w:r>
    </w:p>
    <w:p>
      <w:pPr>
        <w:spacing w:after="0" w:line="9" w:lineRule="exact"/>
        <w:rPr>
          <w:rFonts w:ascii="Times New Roman" w:cs="Times New Roman" w:eastAsia="Times New Roman" w:hAnsi="Times New Roman"/>
          <w:sz w:val="18"/>
          <w:szCs w:val="18"/>
          <w:i w:val="1"/>
          <w:iCs w:val="1"/>
          <w:color w:val="auto"/>
        </w:rPr>
      </w:pPr>
    </w:p>
    <w:p>
      <w:pPr>
        <w:ind w:left="580" w:hanging="478"/>
        <w:spacing w:after="0"/>
        <w:tabs>
          <w:tab w:leader="none" w:pos="5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GSL Rossi was forward fixed for 35-37 months. The new charter, at confidential rates, is expected to commence in 2Q 2026.</w:t>
      </w:r>
    </w:p>
    <w:p>
      <w:pPr>
        <w:spacing w:after="0" w:line="9" w:lineRule="exact"/>
        <w:rPr>
          <w:rFonts w:ascii="Times New Roman" w:cs="Times New Roman" w:eastAsia="Times New Roman" w:hAnsi="Times New Roman"/>
          <w:sz w:val="18"/>
          <w:szCs w:val="18"/>
          <w:i w:val="1"/>
          <w:iCs w:val="1"/>
          <w:color w:val="auto"/>
        </w:rPr>
      </w:pPr>
    </w:p>
    <w:p>
      <w:pPr>
        <w:ind w:left="580" w:hanging="478"/>
        <w:spacing w:after="0"/>
        <w:tabs>
          <w:tab w:leader="none" w:pos="5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Athena is fixed for 24 – 30 months. The charter is at confidential rate.</w:t>
      </w:r>
    </w:p>
    <w:p>
      <w:pPr>
        <w:spacing w:after="0" w:line="9" w:lineRule="exact"/>
        <w:rPr>
          <w:rFonts w:ascii="Times New Roman" w:cs="Times New Roman" w:eastAsia="Times New Roman" w:hAnsi="Times New Roman"/>
          <w:sz w:val="18"/>
          <w:szCs w:val="18"/>
          <w:i w:val="1"/>
          <w:iCs w:val="1"/>
          <w:color w:val="auto"/>
        </w:rPr>
      </w:pPr>
    </w:p>
    <w:p>
      <w:pPr>
        <w:ind w:left="580" w:hanging="478"/>
        <w:spacing w:after="0"/>
        <w:tabs>
          <w:tab w:leader="none" w:pos="5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GSL Valerie. The charter is at confidential rate.</w:t>
      </w:r>
    </w:p>
    <w:p>
      <w:pPr>
        <w:spacing w:after="0" w:line="9" w:lineRule="exact"/>
        <w:rPr>
          <w:rFonts w:ascii="Times New Roman" w:cs="Times New Roman" w:eastAsia="Times New Roman" w:hAnsi="Times New Roman"/>
          <w:sz w:val="18"/>
          <w:szCs w:val="18"/>
          <w:i w:val="1"/>
          <w:iCs w:val="1"/>
          <w:color w:val="auto"/>
        </w:rPr>
      </w:pPr>
    </w:p>
    <w:p>
      <w:pPr>
        <w:ind w:left="580" w:hanging="478"/>
        <w:spacing w:after="0"/>
        <w:tabs>
          <w:tab w:leader="none" w:pos="5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GSL Lalo. The charter is at confidential rate.</w:t>
      </w:r>
    </w:p>
    <w:p>
      <w:pPr>
        <w:spacing w:after="0" w:line="9" w:lineRule="exact"/>
        <w:rPr>
          <w:rFonts w:ascii="Times New Roman" w:cs="Times New Roman" w:eastAsia="Times New Roman" w:hAnsi="Times New Roman"/>
          <w:sz w:val="18"/>
          <w:szCs w:val="18"/>
          <w:i w:val="1"/>
          <w:iCs w:val="1"/>
          <w:color w:val="auto"/>
        </w:rPr>
      </w:pPr>
    </w:p>
    <w:p>
      <w:pPr>
        <w:ind w:left="580" w:hanging="478"/>
        <w:spacing w:after="0"/>
        <w:tabs>
          <w:tab w:leader="none" w:pos="5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GSL Mercer and GSL Chloe. The charters are at confidential rates.</w:t>
      </w:r>
    </w:p>
    <w:p>
      <w:pPr>
        <w:spacing w:after="0" w:line="9" w:lineRule="exact"/>
        <w:rPr>
          <w:rFonts w:ascii="Times New Roman" w:cs="Times New Roman" w:eastAsia="Times New Roman" w:hAnsi="Times New Roman"/>
          <w:sz w:val="18"/>
          <w:szCs w:val="18"/>
          <w:i w:val="1"/>
          <w:iCs w:val="1"/>
          <w:color w:val="auto"/>
        </w:rPr>
      </w:pPr>
    </w:p>
    <w:p>
      <w:pPr>
        <w:ind w:left="580" w:hanging="478"/>
        <w:spacing w:after="0"/>
        <w:tabs>
          <w:tab w:leader="none" w:pos="5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GSL Elizabeth was forward fixed for 24 – 27 months. The new charter, at confidential rate, is expected to commence in 3Q 2026.</w:t>
      </w:r>
    </w:p>
    <w:p>
      <w:pPr>
        <w:spacing w:after="0" w:line="9" w:lineRule="exact"/>
        <w:rPr>
          <w:rFonts w:ascii="Times New Roman" w:cs="Times New Roman" w:eastAsia="Times New Roman" w:hAnsi="Times New Roman"/>
          <w:sz w:val="18"/>
          <w:szCs w:val="18"/>
          <w:i w:val="1"/>
          <w:iCs w:val="1"/>
          <w:color w:val="auto"/>
        </w:rPr>
      </w:pPr>
    </w:p>
    <w:p>
      <w:pPr>
        <w:ind w:left="580" w:hanging="478"/>
        <w:spacing w:after="0"/>
        <w:tabs>
          <w:tab w:leader="none" w:pos="5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Newyorker is chartered at a confidential rate.</w:t>
      </w:r>
    </w:p>
    <w:p>
      <w:pPr>
        <w:spacing w:after="0" w:line="9" w:lineRule="exact"/>
        <w:rPr>
          <w:rFonts w:ascii="Times New Roman" w:cs="Times New Roman" w:eastAsia="Times New Roman" w:hAnsi="Times New Roman"/>
          <w:sz w:val="18"/>
          <w:szCs w:val="18"/>
          <w:i w:val="1"/>
          <w:iCs w:val="1"/>
          <w:color w:val="auto"/>
        </w:rPr>
      </w:pPr>
    </w:p>
    <w:p>
      <w:pPr>
        <w:ind w:left="580" w:hanging="478"/>
        <w:spacing w:after="0" w:line="250" w:lineRule="auto"/>
        <w:tabs>
          <w:tab w:leader="none" w:pos="5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GSL Maren was forward fixed in direct continuation for 24 – 26 months. The new charter, at confidential rate, is expected to commence in 2Q 2026.</w:t>
      </w:r>
    </w:p>
    <w:p>
      <w:pPr>
        <w:ind w:left="580" w:hanging="478"/>
        <w:spacing w:after="0"/>
        <w:tabs>
          <w:tab w:leader="none" w:pos="5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Kumasi is chartered at a confidential rate.</w:t>
      </w:r>
    </w:p>
    <w:p>
      <w:pPr>
        <w:spacing w:after="0" w:line="9" w:lineRule="exact"/>
        <w:rPr>
          <w:rFonts w:ascii="Times New Roman" w:cs="Times New Roman" w:eastAsia="Times New Roman" w:hAnsi="Times New Roman"/>
          <w:sz w:val="18"/>
          <w:szCs w:val="18"/>
          <w:i w:val="1"/>
          <w:iCs w:val="1"/>
          <w:color w:val="auto"/>
        </w:rPr>
      </w:pPr>
    </w:p>
    <w:p>
      <w:pPr>
        <w:ind w:left="580" w:hanging="478"/>
        <w:spacing w:after="0"/>
        <w:tabs>
          <w:tab w:leader="none" w:pos="5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Julie is chartered at a confidential rate.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121285</wp:posOffset>
            </wp:positionV>
            <wp:extent cx="7179310" cy="54648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9310" cy="546481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Employment of Our Fleet</w:t>
      </w:r>
    </w:p>
    <w:p>
      <w:pPr>
        <w:spacing w:after="0" w:line="229" w:lineRule="exact"/>
        <w:rPr>
          <w:sz w:val="20"/>
          <w:szCs w:val="20"/>
          <w:color w:val="auto"/>
        </w:rPr>
      </w:pPr>
    </w:p>
    <w:p>
      <w:pPr>
        <w:jc w:val="both"/>
        <w:ind w:left="100" w:firstLine="441"/>
        <w:spacing w:after="0" w:line="256" w:lineRule="auto"/>
        <w:rPr>
          <w:sz w:val="20"/>
          <w:szCs w:val="20"/>
          <w:color w:val="auto"/>
        </w:rPr>
      </w:pPr>
      <w:r>
        <w:rPr>
          <w:rFonts w:ascii="Times New Roman" w:cs="Times New Roman" w:eastAsia="Times New Roman" w:hAnsi="Times New Roman"/>
          <w:sz w:val="18"/>
          <w:szCs w:val="18"/>
          <w:color w:val="auto"/>
        </w:rPr>
        <w:t>We employ the ships in our fleet on time charters. A time charter is a contract for the use of a ship for a fixed period of time at a specified daily rate. Under a time charter, as the ship owner, we provide and bear the cost of crew, lubricating oil, and all maintenance and other services related to the ship’s operation, the cost of which is included in the daily charter rate. As the ship’s owner, we are also responsible for insuring our interests in the ship and liabilities as owner arising from its use. The charterer is responsible for substantially all of the ship’s voyage costs, such as fuel (bunker) costs, canal fees, port expenses, cargo handling costs and extra war risk insurance costs if the ship is deployed outside normal insurance limits and enters areas which are specified by the insurance underwriters as being subject to additional premiums.</w:t>
      </w:r>
    </w:p>
    <w:p>
      <w:pPr>
        <w:spacing w:after="0" w:line="187" w:lineRule="exact"/>
        <w:rPr>
          <w:sz w:val="20"/>
          <w:szCs w:val="20"/>
          <w:color w:val="auto"/>
        </w:rPr>
      </w:pPr>
    </w:p>
    <w:p>
      <w:pPr>
        <w:jc w:val="both"/>
        <w:ind w:left="100" w:firstLine="441"/>
        <w:spacing w:after="0" w:line="261" w:lineRule="auto"/>
        <w:rPr>
          <w:sz w:val="20"/>
          <w:szCs w:val="20"/>
          <w:color w:val="auto"/>
        </w:rPr>
      </w:pPr>
      <w:r>
        <w:rPr>
          <w:rFonts w:ascii="Times New Roman" w:cs="Times New Roman" w:eastAsia="Times New Roman" w:hAnsi="Times New Roman"/>
          <w:sz w:val="18"/>
          <w:szCs w:val="18"/>
          <w:color w:val="auto"/>
        </w:rPr>
        <w:t>The initial term for a time charter commences on the ship’s delivery to the charterer. Time charter agreements may include options, in favor of the owner or the charterer, to extend the charter on pre-agreed terms. Charters may be extended on mutually agreed terms, or the ship will be re-delivered by the charterer at the end of the charter period, within a pre-agreed time window (to allow for operational flexibility), in which case we would seek alternate employment with another charterer.</w:t>
      </w:r>
    </w:p>
    <w:p>
      <w:pPr>
        <w:spacing w:after="0" w:line="180" w:lineRule="exact"/>
        <w:rPr>
          <w:sz w:val="20"/>
          <w:szCs w:val="20"/>
          <w:color w:val="auto"/>
        </w:rPr>
      </w:pPr>
    </w:p>
    <w:p>
      <w:pPr>
        <w:jc w:val="both"/>
        <w:ind w:left="100" w:firstLine="441"/>
        <w:spacing w:after="0" w:line="266" w:lineRule="auto"/>
        <w:rPr>
          <w:sz w:val="20"/>
          <w:szCs w:val="20"/>
          <w:color w:val="auto"/>
        </w:rPr>
      </w:pPr>
      <w:r>
        <w:rPr>
          <w:rFonts w:ascii="Times New Roman" w:cs="Times New Roman" w:eastAsia="Times New Roman" w:hAnsi="Times New Roman"/>
          <w:sz w:val="18"/>
          <w:szCs w:val="18"/>
          <w:color w:val="auto"/>
        </w:rPr>
        <w:t>Our charters are with a number of different charterers and expire on different dates over a period of time. We believe the diversified charterer base reduces counterparty risk and the staggered expirations of our charters reduces our exposure to re-chartering risk and may mitigate the impact of the cyclical nature of the container shipping industry.</w:t>
      </w:r>
    </w:p>
    <w:p>
      <w:pPr>
        <w:spacing w:after="0" w:line="17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Management of our Fleet</w:t>
      </w:r>
    </w:p>
    <w:p>
      <w:pPr>
        <w:spacing w:after="0" w:line="229" w:lineRule="exact"/>
        <w:rPr>
          <w:sz w:val="20"/>
          <w:szCs w:val="20"/>
          <w:color w:val="auto"/>
        </w:rPr>
      </w:pPr>
    </w:p>
    <w:p>
      <w:pPr>
        <w:jc w:val="both"/>
        <w:ind w:left="100" w:firstLine="648"/>
        <w:spacing w:after="0" w:line="266" w:lineRule="auto"/>
        <w:rPr>
          <w:sz w:val="20"/>
          <w:szCs w:val="20"/>
          <w:color w:val="auto"/>
        </w:rPr>
      </w:pPr>
      <w:r>
        <w:rPr>
          <w:rFonts w:ascii="Times New Roman" w:cs="Times New Roman" w:eastAsia="Times New Roman" w:hAnsi="Times New Roman"/>
          <w:sz w:val="18"/>
          <w:szCs w:val="18"/>
          <w:color w:val="auto"/>
        </w:rPr>
        <w:t>Our management team supervises the day-to-day technical ship management of our vessels, which is provided by Technomar, a company of which our Executive Chairman is the Founder, Managing Director, and majority beneficial owner, and the commercial ship management of our vessels, which is provided by Conchart, a company of which our Executive Chairman is the sole beneficial owner.</w:t>
      </w:r>
    </w:p>
    <w:p>
      <w:pPr>
        <w:spacing w:after="0" w:line="176" w:lineRule="exact"/>
        <w:rPr>
          <w:sz w:val="20"/>
          <w:szCs w:val="20"/>
          <w:color w:val="auto"/>
        </w:rPr>
      </w:pPr>
    </w:p>
    <w:p>
      <w:pPr>
        <w:jc w:val="both"/>
        <w:ind w:left="100" w:firstLine="648"/>
        <w:spacing w:after="0" w:line="282" w:lineRule="auto"/>
        <w:rPr>
          <w:sz w:val="20"/>
          <w:szCs w:val="20"/>
          <w:color w:val="auto"/>
        </w:rPr>
      </w:pPr>
      <w:r>
        <w:rPr>
          <w:rFonts w:ascii="Times New Roman" w:cs="Times New Roman" w:eastAsia="Times New Roman" w:hAnsi="Times New Roman"/>
          <w:sz w:val="18"/>
          <w:szCs w:val="18"/>
          <w:color w:val="auto"/>
        </w:rPr>
        <w:t>For more information regarding management of our ships, please see “Item 4. Information on the Company—B. Business Overview— Management of our Fleet” in our 2025 Annual Report, which is incorporated herein by reference.</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jc w:val="both"/>
        <w:ind w:left="100" w:firstLine="648"/>
        <w:spacing w:after="0" w:line="254" w:lineRule="auto"/>
        <w:rPr>
          <w:sz w:val="20"/>
          <w:szCs w:val="20"/>
          <w:color w:val="auto"/>
        </w:rPr>
      </w:pPr>
      <w:r>
        <w:rPr>
          <w:rFonts w:ascii="Times New Roman" w:cs="Times New Roman" w:eastAsia="Times New Roman" w:hAnsi="Times New Roman"/>
          <w:sz w:val="18"/>
          <w:szCs w:val="18"/>
          <w:color w:val="auto"/>
        </w:rPr>
        <w:t>This Reoffer Prospectus relates to the public offering, which is not being underwritten, by the selling securityholders listed in this Reoffer Prospectus, of up to 3,683,005 shares of Common Stock acquired by or issuable to selling securityholders pursuant to, or in settlement of, awards granted to the selling securityholders under the Plan. Subject to the satisfaction of any conditions to vesting of the shares of Common Stock offered hereby pursuant to the terms of the relevant award agreements, the selling securityholders may from time to time sell, transfer or otherwise dispose of any or all of the Shares covered by this Reoffer Prospectus through underwriters or dealers, directly to purchasers (or a single purchaser) or through broker-dealers or agents. We will receive none of the proceeds from the sale of the Shares by the selling securityholders. The selling securityholders will bear all sales commissions and similar expenses in connection with this offering. We will bear all expenses of registration incurred in connection with this offering, as well as any other expenses incurred by us in connection with the registration and offering that are not borne by the selling securityholders.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substantial risks a high degree of risk. Before making an investment in our securities, you should carefully consider all of the information included in this Reoffer Prospectus, the risk factors and all of the other information included in any prospectus supplement and the documents that have been incorporated by reference in this Reoffer Prospectus and any prospectus supplement, including those in “Item 3.D. Risk Factors” in our 2025 Annual Report, as updated by annual, quarterly and other reports and documents we file with the SEC after the date of this prospectus and that are incorporated by reference herein. Please see the section of this Reoffer Prospectus entitled “Where You Can Find Additional Information—Information Incorporated by Reference.” The occurrence of one or more of those risk factors could adversely impact our business, financial condition or results of operations.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Shares hereunder. All of the proceeds from the sale of the Shares offered by the selling securityholders pursuant to this Reoffer Prospectus will be sold by the selling securityholders for their respective accounts. See the sections titled “Selling Securityholders” and “Plan of Distribution” described below.</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registering for resale the Shares covered by this Reoffer Prospectus to permit the selling securityholders identified below and their pledgees, donees, transferees and other successors-in-interest that receive their securities from a securityholder as a gift, partnership distribution or other non-sale related transfer after the date of this Reoffer Prospectus to resell the shares when and as they deem appropriate. The selling securityholders acquired, or may acquire, these shares from us pursuant to the Plan. The Shares may not be sold or otherwise transferred by the selling securityholders unless and until the applicable awards vest, in accordance with the terms and conditions of the Plan and the applicable award agreement. For additional information on our Plan and the terms of award agreements pursuant to which the awards were granted, please see our 2025 Annual Report.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number of Shares in the column “Number of Shares Being Offered” represents all of the Shares that each selling securityholder may offer under this Reoffer Prospectus. We do not know how long the selling securityholders will hold the Shares before selling them or how many Shares they will sell, and we currently have no agreements, arrangements or understandings with any of the securityholders regarding the sale of any of the resale Shares. The Shares offered under this Reoffer Prospectus may be offered from time to time by the securityholders listed below. We cannot assure you that any of the selling securityholders will offer for sale or sell any or all of the Shares offered by them under this Reoffer Prospectus.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 Beneficially</w:t>
            </w:r>
          </w:p>
        </w:tc>
        <w:tc>
          <w:tcPr>
            <w:tcW w:w="17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5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r>
      <w:tr>
        <w:trPr>
          <w:trHeight w:val="216"/>
        </w:trPr>
        <w:tc>
          <w:tcPr>
            <w:tcW w:w="3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Owned Prior to the</w:t>
            </w:r>
          </w:p>
        </w:tc>
        <w:tc>
          <w:tcPr>
            <w:tcW w:w="17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25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r>
      <w:tr>
        <w:trPr>
          <w:trHeight w:val="216"/>
        </w:trPr>
        <w:tc>
          <w:tcPr>
            <w:tcW w:w="3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Offering(1)</w:t>
            </w:r>
          </w:p>
        </w:tc>
        <w:tc>
          <w:tcPr>
            <w:tcW w:w="17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Being Offered**(2)</w:t>
            </w:r>
          </w:p>
        </w:tc>
        <w:tc>
          <w:tcPr>
            <w:tcW w:w="256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r>
      <w:tr>
        <w:trPr>
          <w:trHeight w:val="245"/>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Securityholders</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1"/>
                <w:szCs w:val="21"/>
                <w:color w:val="auto"/>
              </w:rPr>
            </w:pP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21"/>
                <w:szCs w:val="2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Giouroukos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2,848,400</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7.92%</w:t>
            </w: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1,975,015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1,716,559</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4.77%</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Gross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42,759</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30,105</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34,000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Alain Wils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5,129</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26,475</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Menno van Lacum</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23,608</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37,163</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7,791</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Alain Pitner</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15,817</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37,163</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Chalkias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15,817</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37,163</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Rami Neugeborn</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5,597</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26,943</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Ulrike Helfer</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11,349</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32,695</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Ian Webber</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77,125</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74,802</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23,669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A. Lister</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30,723</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593,551</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Anastasios Psaropoulos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131,275</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497,333</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26,000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Maria Danezi</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22,289</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164,597</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Giannopoulos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7,692</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150,000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94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bl>
    <w:p>
      <w:pPr>
        <w:spacing w:after="0" w:line="198"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25" w:lineRule="exact"/>
        <w:rPr>
          <w:sz w:val="20"/>
          <w:szCs w:val="20"/>
          <w:color w:val="auto"/>
        </w:rPr>
      </w:pPr>
    </w:p>
    <w:p>
      <w:pPr>
        <w:jc w:val="both"/>
        <w:ind w:left="340" w:right="20" w:hanging="332"/>
        <w:spacing w:after="0" w:line="261"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being offered” represents the maximum number of shares that a selling securityholder could sell in a hypothetical sale by such securityholder. Information contained in this Reoffer Prospectus including, without limitation, under the heading “selling securityholders” should not be inferred as representative of a current intention to sell any or all of the Shares listed herein. There can be no assurance that any or all of the Shares listed herein will be sold by the selling securityholders or the timing thereof.</w:t>
      </w:r>
    </w:p>
    <w:p>
      <w:pPr>
        <w:spacing w:after="0" w:line="180" w:lineRule="exact"/>
        <w:rPr>
          <w:sz w:val="20"/>
          <w:szCs w:val="20"/>
          <w:color w:val="auto"/>
        </w:rPr>
      </w:pPr>
    </w:p>
    <w:p>
      <w:pPr>
        <w:jc w:val="both"/>
        <w:ind w:left="34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computing the number of shares of Common Stock beneficially owned by a person and the percentage ownership of that person, we deemed to be outstanding all shares of Common Stock that are vested as of March 16, 2026 or that will become vested within 60 days after March 16, 2026, and based on 35,918,244 shares of Common Stock issued and outstanding as of March 16, 2026.</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numbers of shares of Common Stock reflect all shares of Common Stock acquired or issuable to a person pursuant to applicable grants previously made under the Plan irrespective of whether such grants are vested as of March 16, 2026 or will become vested within 60 days after March 16, 2026.</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registering the Shares covered by this Reoffer Prospectus to permit the selling securityholders to conduct public secondary trading of the Shares from time to time after the date of this Reoffer Prospectus. We will not receive any of the proceeds from the sale of the Shares offered by this Reoffer Prospectus. The aggregate proceeds to the selling securityholders from the sale of the Shares will be the purchase price of the Shares less any discounts and commissions. We will not pay any brokers’ or underwriters’ discounts and commissions in connection with the registration and sale of the Shares covered by this Reoffer Prospectus. The selling securityholders reserve the right to accept and, together with their respective agents, to reject, any proposed purchases of the Shares to be made directly or through agents.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Shares offered by this Reoffer Prospectus may be sold from time to time to purchasers:</w:t>
      </w:r>
    </w:p>
    <w:p>
      <w:pPr>
        <w:spacing w:after="0" w:line="225" w:lineRule="exact"/>
        <w:rPr>
          <w:sz w:val="20"/>
          <w:szCs w:val="20"/>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by the selling securityholders;</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broker-dealers or agents, who may receive compensation in the form of discounts, commissions or agent’s commissions from the selling securityholders or the purchasers of the Shares; or</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underwriters, broker-dealers or agents who participate in the sale or distribution of the Shares may be deemed to be “underwriters” within the meaning of the Securities Act. As a result, any discounts, commissions or concessions received by any such broker-dealer or agents who are deemed to be underwriters will be deemed to be underwriting discounts and commissions under the Securities Act. Underwriters are subject to the prospectus delivery requirements of the Securities Act and may be subject to certain statutory liabilities under the Securities Act and the Exchange Act. We will make copies of this Reoffer Prospectus available to the selling securityholders for the purpose of satisfying the prospectus delivery requirements of the Securities Act. To our knowledge, there are currently no plans, arrangements or understandings between the selling securityholders and any underwriter, broker-dealer or agent regarding the sale of the Shares by the selling securityholders. The Shares may be sold in one or more transactions at:</w:t>
      </w:r>
    </w:p>
    <w:p>
      <w:pPr>
        <w:spacing w:after="0" w:line="189" w:lineRule="exact"/>
        <w:rPr>
          <w:sz w:val="20"/>
          <w:szCs w:val="20"/>
          <w:color w:val="auto"/>
        </w:rPr>
      </w:pPr>
    </w:p>
    <w:p>
      <w:pPr>
        <w:ind w:left="1620" w:hanging="316"/>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prices;</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market prices at the time of sale;</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such prevailing market prices;</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prices determined at the time of sale; or</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sales may be effected in one or more transactions:</w:t>
      </w:r>
    </w:p>
    <w:p>
      <w:pPr>
        <w:spacing w:after="0" w:line="225" w:lineRule="exact"/>
        <w:rPr>
          <w:sz w:val="20"/>
          <w:szCs w:val="20"/>
          <w:color w:val="auto"/>
        </w:rPr>
      </w:pPr>
    </w:p>
    <w:p>
      <w:pPr>
        <w:ind w:left="1300" w:right="20" w:hanging="320"/>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national securities exchange or quotation service on which the Shares may be listed or quoted at the time of sale, including Nasdaq;</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otherwise than on such exchanges or services or in the over-the-counter market;</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the selling securityholder pursuant to Rule 10b5-1 under the Exchange Act that are in place at the time of an offering pursuant to this Reoffer Prospectus and any applicable prospectus supplement hereto that provide for periodic sales of their securities on the basis of parameters described in such trading plans;</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 or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combination of the foregoing.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transactions may include block transactions or crosses. Crosses are transactions in which the same broker acts as an agent on both sides of the trade.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time a particular offering of the Shares is made, a prospectus supplement, if required, will be distributed, which will set forth the name of the selling securityholders, the aggregate amount of Shares being offered and the terms of the offering, including, to the extent required, (1) the name or names of any underwriters, broker-dealers or agents, (2) any discounts, commissions and other terms constituting compensation from the selling securityholders and (3) any discounts, commissions or concessions allowed or reallowed to be paid to broker-dealers.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selling securityholders will act independently of us in making decisions with respect to the timing, manner, and size of each resale or other transfer. There can be no assurance that the selling securityholders will sell any or all of the Shares under this Reoffer Prospectus. Further, we cannot assure you that the selling securityholders will not transfer, distribute, devise or gift the Shares by other means not described in this Reoffer Prospectus. In addition, any Shares covered by this Reoffer Prospectus that qualify for sale under Rule 144 of the Securities Act may be sold under Rule 144 rather than under this Reoffer Prospectus. The Shares may be sold in some states only through registered or licensed brokers or dealers. In addition, in some states the Shares may not be sold unless they have been registered or qualified for sale or an exemption from registration or qualification is available and complied with.</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selling securityholders and any other person participating in the sale of the Shares will be subject to the Exchange Act. The Exchange Act rules include, without limitation, Regulation M, which may limit the timing of purchases and sales of any of the Shares by the selling securityholders and any other person. In addition, Regulation M may restrict the ability of any person engaged in the distribution of the Shares to engage in market-making activities with respect to the particular securities being distributed. This may affect the marketability of the Shares and the ability of any person or entity to engage in market-making activities with respect to the Shares. Once sold under the registration statement of which this Reoffer Prospectus forms a part, the shares of Common Stock will be freely tradable in the hands of persons other than our affiliates.</w:t>
      </w:r>
    </w:p>
    <w:p>
      <w:pPr>
        <w:sectPr>
          <w:pgSz w:w="11900" w:h="16874" w:orient="portrait"/>
          <w:cols w:equalWidth="0" w:num="1">
            <w:col w:w="11240"/>
          </w:cols>
          <w:pgMar w:left="320" w:top="116" w:right="339" w:bottom="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validity of the securities offered by this prospectus and certain other legal matters with respect to the laws of the Republic of the Marshall Islands and with respect to matters of U.S. law will be passed upon for us by our counsel, Watson Farley &amp; Williams LLP, New York, New York.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and management’s assessment of the effectiveness of internal control over financial reporting (which is included in Management’s Report on Internal Control over Financial Reporting) incorporated in this Reoffer Prospectus by reference to our 2025 Annual Report have been so incorporated in reliance on the report of PricewaterhouseCoopers S.A., an independent registered public accounting firm, given on the authority of said firm as experts in auditing and accounting.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industry information attributed to Maritime Strategies International Ltd. (“MSI”) by incorporation by reference to our 2025 Annual Report has been reviewed by MSI, which has confirmed to us that such information accurately describes the container shipping market.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required by the Securities Act, we filed a registration statement relating to the securities offered by this prospectus with the SEC. This prospectus is a part of that registration statement, which includes additional information.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Government Filings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file annual and special reports with the SEC. The SEC maintains a website (http://www.sec.gov) that contains reports, proxy and information statements and other information regarding issuers that file electronically with the SEC. Our filings are also available on our website at http://www.globalshiplease.com. The information on our website, however, is not, and should not be deemed to be, a part of this prospectus.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Information Incorporated by Reference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it. This means that we can disclose important information to you by referring you to those filed documents. The information incorporated by reference is considered to be a part of this prospectus, and information that we file later with the SEC prior to the termination of this offering will also be considered to be part of this prospectus and will automatically update and supersede previously filed information, including information contained in this document.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incorporate by reference the documents listed below:</w:t>
      </w:r>
    </w:p>
    <w:p>
      <w:pPr>
        <w:spacing w:after="0" w:line="225" w:lineRule="exact"/>
        <w:rPr>
          <w:sz w:val="20"/>
          <w:szCs w:val="20"/>
          <w:color w:val="auto"/>
        </w:rPr>
      </w:pPr>
    </w:p>
    <w:p>
      <w:pPr>
        <w:ind w:left="1300" w:hanging="320"/>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31">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16, 2026, which contains audited consolidated financial statements for the most recent fiscal year for which those statements have been filed.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Class A Common Stock contained in the Company’s Registration Statement on Form 8-A filed with the SEC on </w:t>
      </w:r>
      <w:hyperlink r:id="rId32">
        <w:r>
          <w:rPr>
            <w:rFonts w:ascii="Times New Roman" w:cs="Times New Roman" w:eastAsia="Times New Roman" w:hAnsi="Times New Roman"/>
            <w:sz w:val="18"/>
            <w:szCs w:val="18"/>
            <w:u w:val="single" w:color="auto"/>
            <w:color w:val="0000EE"/>
          </w:rPr>
          <w:t>August 12, 2008</w:t>
        </w:r>
      </w:hyperlink>
      <w:r>
        <w:rPr>
          <w:rFonts w:ascii="Times New Roman" w:cs="Times New Roman" w:eastAsia="Times New Roman" w:hAnsi="Times New Roman"/>
          <w:sz w:val="18"/>
          <w:szCs w:val="18"/>
          <w:color w:val="auto"/>
        </w:rPr>
        <w:t xml:space="preserve">, as amended by the Registration Statement on Form 8-A12B filed with the SEC on </w:t>
      </w:r>
      <w:hyperlink r:id="rId33">
        <w:r>
          <w:rPr>
            <w:rFonts w:ascii="Times New Roman" w:cs="Times New Roman" w:eastAsia="Times New Roman" w:hAnsi="Times New Roman"/>
            <w:sz w:val="18"/>
            <w:szCs w:val="18"/>
            <w:u w:val="single" w:color="auto"/>
            <w:color w:val="0000EE"/>
          </w:rPr>
          <w:t>March 26, 2019</w:t>
        </w:r>
      </w:hyperlink>
      <w:r>
        <w:rPr>
          <w:rFonts w:ascii="Times New Roman" w:cs="Times New Roman" w:eastAsia="Times New Roman" w:hAnsi="Times New Roman"/>
          <w:sz w:val="18"/>
          <w:szCs w:val="18"/>
          <w:color w:val="auto"/>
        </w:rPr>
        <w:t>, including any subsequent amendments or reports filed for the purpose of updating such description.</w:t>
      </w:r>
    </w:p>
    <w:p>
      <w:pPr>
        <w:spacing w:after="0" w:line="176"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also incorporating by reference all subsequent annual reports on Form 20-F that we file with the SEC and certain reports on Form 6-K that we file with or furnish to the SEC pursuant to Section 13(a), 13(c) or 15(d) of the Exchange Act after the date of this prospectus, until we file a post-effective amendment indicating that the offering of the securities made by this prospectus has been terminated. In all cases, you should rely on the later information over different information included in this prospectus or any applicable prospectus supplement.</w:t>
      </w:r>
    </w:p>
    <w:p>
      <w:pPr>
        <w:spacing w:after="0" w:line="180"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We have not authorized any other person to provide you with different information. If anyone provides you with different or inconsistent information, you should not rely on it. We are not making an offer to sell these securities in any jurisdiction where the offer or sale is not permitted. You should assume that the information appearing in this prospectus as well as the information we previously filed with the SEC and incorporated by reference, is accurate as of the dates on the front cover of those documents only. Our business, financial condition and results of operations and prospects may have changed since those dates.</w:t>
      </w:r>
    </w:p>
    <w:p>
      <w:pPr>
        <w:spacing w:after="0" w:line="183" w:lineRule="exact"/>
        <w:rPr>
          <w:rFonts w:ascii="Times New Roman" w:cs="Times New Roman" w:eastAsia="Times New Roman" w:hAnsi="Times New Roman"/>
          <w:sz w:val="18"/>
          <w:szCs w:val="18"/>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may request a free copy of the above-mentioned filings or any subsequent filing we incorporated by reference to this prospectus by writing or telephoning us at the following address:</w:t>
      </w:r>
    </w:p>
    <w:p>
      <w:pPr>
        <w:spacing w:after="0" w:line="162" w:lineRule="exact"/>
        <w:rPr>
          <w:rFonts w:ascii="Times New Roman" w:cs="Times New Roman" w:eastAsia="Times New Roman" w:hAnsi="Times New Roman"/>
          <w:sz w:val="18"/>
          <w:szCs w:val="18"/>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Global Ship Lease, Inc.</w:t>
      </w:r>
    </w:p>
    <w:p>
      <w:pPr>
        <w:spacing w:after="0" w:line="27" w:lineRule="exact"/>
        <w:rPr>
          <w:rFonts w:ascii="Times New Roman" w:cs="Times New Roman" w:eastAsia="Times New Roman" w:hAnsi="Times New Roman"/>
          <w:sz w:val="18"/>
          <w:szCs w:val="18"/>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Attn: Thomas A. Lister</w:t>
      </w:r>
    </w:p>
    <w:p>
      <w:pPr>
        <w:spacing w:after="0" w:line="9" w:lineRule="exact"/>
        <w:rPr>
          <w:rFonts w:ascii="Times New Roman" w:cs="Times New Roman" w:eastAsia="Times New Roman" w:hAnsi="Times New Roman"/>
          <w:sz w:val="18"/>
          <w:szCs w:val="18"/>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c/o GSL Enterprises Ltd.</w:t>
      </w:r>
    </w:p>
    <w:p>
      <w:pPr>
        <w:spacing w:after="0" w:line="9" w:lineRule="exact"/>
        <w:rPr>
          <w:rFonts w:ascii="Times New Roman" w:cs="Times New Roman" w:eastAsia="Times New Roman" w:hAnsi="Times New Roman"/>
          <w:sz w:val="18"/>
          <w:szCs w:val="18"/>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9 Irodou Attikou Street,</w:t>
      </w:r>
    </w:p>
    <w:p>
      <w:pPr>
        <w:spacing w:after="0" w:line="9" w:lineRule="exact"/>
        <w:rPr>
          <w:rFonts w:ascii="Times New Roman" w:cs="Times New Roman" w:eastAsia="Times New Roman" w:hAnsi="Times New Roman"/>
          <w:sz w:val="18"/>
          <w:szCs w:val="18"/>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Kifisia, Athens 14561</w:t>
      </w:r>
    </w:p>
    <w:p>
      <w:pPr>
        <w:spacing w:after="0" w:line="9" w:lineRule="exact"/>
        <w:rPr>
          <w:rFonts w:ascii="Times New Roman" w:cs="Times New Roman" w:eastAsia="Times New Roman" w:hAnsi="Times New Roman"/>
          <w:sz w:val="18"/>
          <w:szCs w:val="18"/>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www.globalshiplease.com</w:t>
      </w:r>
    </w:p>
    <w:p>
      <w:pPr>
        <w:spacing w:after="0" w:line="20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provided by the Company</w:t>
      </w:r>
    </w:p>
    <w:p>
      <w:pPr>
        <w:spacing w:after="0" w:line="229" w:lineRule="exact"/>
        <w:rPr>
          <w:rFonts w:ascii="Times New Roman" w:cs="Times New Roman" w:eastAsia="Times New Roman" w:hAnsi="Times New Roman"/>
          <w:sz w:val="18"/>
          <w:szCs w:val="18"/>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will furnish holders of our Class A common shares with annual reports containing audited financial statements and a report by our independent registered public accounting firm. The audited financial statements will be prepared in accordance with United States generally accepted accounting principles and those reports will include a “Management’s Discussion and Analysis of Financial Condition and Results of Operations” section for the relevant periods. As a “foreign private issuer,” we are exempt from the rules under the Exchange Act prescribing the furnishing and content of proxy statements to shareholders. While we intend to furnish proxy statements to any shareholder in accordance with the rules of the NYSE, those proxy statements are not expected to conform to Schedule 14A of the proxy rules promulgated under the Exchange Act. In addition, as a “foreign private issuer,” our officers and directors are exempt from the rules under the Exchange Act relating to short swing profit reporting and liability.</w:t>
      </w:r>
    </w:p>
    <w:p>
      <w:pPr>
        <w:spacing w:after="0" w:line="18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SEC Position on Indemnification for Securities Act Liabilities</w:t>
      </w:r>
    </w:p>
    <w:p>
      <w:pPr>
        <w:sectPr>
          <w:pgSz w:w="11900" w:h="16838" w:orient="portrait"/>
          <w:cols w:equalWidth="0" w:num="1">
            <w:col w:w="11240"/>
          </w:cols>
          <w:pgMar w:left="320" w:top="116" w:right="339" w:bottom="0" w:gutter="0" w:footer="0" w:header="0"/>
        </w:sectPr>
      </w:pPr>
    </w:p>
    <w:bookmarkStart w:id="17" w:name="page18"/>
    <w:bookmarkEnd w:id="1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the Company pursuant to the foregoing provisions, the Company has been informed that in the opinion of the SEC such indemnification is against public policy as expressed in the Securities Act and is therefore unenforceable.</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Global Ship Lease, Inc. (the “Registrant”) hereby incorporates by reference into this Registration Statement the following documents previously filed with the SEC:</w:t>
      </w:r>
    </w:p>
    <w:p>
      <w:pPr>
        <w:spacing w:after="0" w:line="162" w:lineRule="exact"/>
        <w:rPr>
          <w:sz w:val="20"/>
          <w:szCs w:val="20"/>
          <w:color w:val="auto"/>
        </w:rPr>
      </w:pPr>
    </w:p>
    <w:p>
      <w:pPr>
        <w:ind w:firstLine="656"/>
        <w:spacing w:after="0" w:line="282" w:lineRule="auto"/>
        <w:tabs>
          <w:tab w:leader="none" w:pos="136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latest annual report on </w:t>
      </w:r>
      <w:hyperlink r:id="rId31">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16, 2026, which contains audited consolidated financial statements for the most recent fiscal year for which those statements have been filed.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4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Registrant’s Registration Statement on Form 8-A filed with the SEC on </w:t>
      </w:r>
      <w:hyperlink r:id="rId32">
        <w:r>
          <w:rPr>
            <w:rFonts w:ascii="Times New Roman" w:cs="Times New Roman" w:eastAsia="Times New Roman" w:hAnsi="Times New Roman"/>
            <w:sz w:val="18"/>
            <w:szCs w:val="18"/>
            <w:u w:val="single" w:color="auto"/>
            <w:color w:val="0000EE"/>
          </w:rPr>
          <w:t>August 12, 2008</w:t>
        </w:r>
      </w:hyperlink>
      <w:r>
        <w:rPr>
          <w:rFonts w:ascii="Times New Roman" w:cs="Times New Roman" w:eastAsia="Times New Roman" w:hAnsi="Times New Roman"/>
          <w:sz w:val="18"/>
          <w:szCs w:val="18"/>
          <w:color w:val="auto"/>
        </w:rPr>
        <w:t xml:space="preserve">, as amended by the Registration Statement on Form 8-A12B filed with the SEC on </w:t>
      </w:r>
      <w:hyperlink r:id="rId33">
        <w:r>
          <w:rPr>
            <w:rFonts w:ascii="Times New Roman" w:cs="Times New Roman" w:eastAsia="Times New Roman" w:hAnsi="Times New Roman"/>
            <w:sz w:val="18"/>
            <w:szCs w:val="18"/>
            <w:u w:val="single" w:color="auto"/>
            <w:color w:val="0000EE"/>
          </w:rPr>
          <w:t>March 26, 2019</w:t>
        </w:r>
      </w:hyperlink>
      <w:r>
        <w:rPr>
          <w:rFonts w:ascii="Times New Roman" w:cs="Times New Roman" w:eastAsia="Times New Roman" w:hAnsi="Times New Roman"/>
          <w:sz w:val="18"/>
          <w:szCs w:val="18"/>
          <w:color w:val="auto"/>
        </w:rPr>
        <w:t>, including any subsequent amendments or reports filed for the purpose of updating such description.</w:t>
      </w:r>
    </w:p>
    <w:p>
      <w:pPr>
        <w:spacing w:after="0" w:line="176" w:lineRule="exact"/>
        <w:rPr>
          <w:rFonts w:ascii="Times New Roman" w:cs="Times New Roman" w:eastAsia="Times New Roman" w:hAnsi="Times New Roman"/>
          <w:sz w:val="18"/>
          <w:szCs w:val="18"/>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documents filed pursuant to Section 13(a), 13(c), 14 or 15(d) of the U.S. Securities Exchange Act of 1934, as amended (the “Exchange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provided, however, that documents which are furnished and not filed in accordance with the rules of the SEC shall not be deemed incorporated by reference into this Registration Statement. Any statement contained in a document incorporated or deemed to be incorporated herein by reference shall be deemed to be modified or superseded for purposes of this Registration Statement to the extent that a statement herein or in any other subsequently filed document which also is or is deemed to be incorporated by reference herein modifies or supersedes that statement. Any such statement so modified or superseded shall not constitute a part of this Registration Statement, except as so modified or superseded.</w:t>
      </w:r>
    </w:p>
    <w:p>
      <w:pPr>
        <w:spacing w:after="0" w:line="188" w:lineRule="exact"/>
        <w:rPr>
          <w:rFonts w:ascii="Times New Roman" w:cs="Times New Roman" w:eastAsia="Times New Roman" w:hAnsi="Times New Roman"/>
          <w:sz w:val="18"/>
          <w:szCs w:val="18"/>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Description of Securities.</w:t>
      </w:r>
    </w:p>
    <w:p>
      <w:pPr>
        <w:spacing w:after="0" w:line="229"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9"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9"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Amended and Restated Articles of Incorporation provide that the Company shall indemnify its directors and officers to the fullest extent authorized by law. The Company is also expressly authorized to advance expenses to the fullest extent authorized by law, to pay reasonable costs, expenses and attorneys’ fees (including expenses) in connection with the enforcement of rights to the indemnification granted thereunder, and to purchase and maintain insurance on behalf of any person who is or was a director or officer of the Company or serving in such capacity in another company at the request of the Company against some liabilities.</w:t>
      </w:r>
    </w:p>
    <w:p>
      <w:pPr>
        <w:spacing w:after="0" w:line="183" w:lineRule="exact"/>
        <w:rPr>
          <w:rFonts w:ascii="Times New Roman" w:cs="Times New Roman" w:eastAsia="Times New Roman" w:hAnsi="Times New Roman"/>
          <w:sz w:val="18"/>
          <w:szCs w:val="18"/>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60 of the Republic of the Marshall Islands’ Business Corporations Act (“Section 60”) provides that 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or officer of the corporation, or is or was serving at the request of the corporation as a director or officer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 contest, or its equivalent, shall not, of itself, create a presumption that the person did not act in good faith and in a manner which he reasonable believed to be in or not opposed to the best interests of the corporation, and, with respect to any criminal action or proceeding, had reasonable cause to believe that his conduct was unlawful.</w:t>
      </w:r>
    </w:p>
    <w:p>
      <w:pPr>
        <w:spacing w:after="0" w:line="37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Section 60, a corporation shall also have power to indemnify any person who was or is a party or is threatened to be made a party to any threatened, pending or completed action or suit by or in the right of the corporation to procure a judgment in its favor by reason of the fact that he is or was a director or officer of the corporation or is or was serving at the request of the corporation as a director or officer of another corporation, partnership, joint venture, trust or other enterprise against expenses (including attorneys’ fees) actually and reasonably incurred by him or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for negligence or misconduct in the performance of his duty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the extent that a director or officer of a corporation has been successful on the merits or otherwise in defense of any action, suit or proceeding referred to above, or in the defense of a claim, issue or matter therein, Section 60 dictates that he shall be indemnified against expenses (including attorneys’ fees) actually and reasonably incurred by him in connection therewith. Additionally, expenses incurred in defending a civil or criminal action, suit or proceeding may be paid in advance of the final disposition of such action, suit or proceeding as authorized by the board of directors in the specific case upon receipt of an undertaking by or on behalf of the director or officer to repay such amount if it shall ultimately be determined that he is not entitled to be indemnified by the corporation as authorized in Section 60. Such indemnification and advancement of expenses shall not be deemed exclusive of any other rights to which those seeking indemnification or advancement of expenses may be entitled under any bylaw, agreement, vote of shareholder or disinterested directors or otherwise, both as to action in his official capacity and as to action in another capacity while holding such office. The indemnification and advancement of expenses provided by, or granted pursuant to, Section 60 shall, unless otherwise provided when authorized or ratified, continue as to a person who has ceased to be a director, officer, employee or agent and shall inure to the benefit of the heirs, executors and administrators of such a person.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Section 60, a corporation shall have power to purchase and maintain insurance on behalf of any person who is or was a director or officer of the corporation or is or was serving at the request of the corporation as a director or officer against any liability asserted against him and incurred by him in such capacity whether or not the corporation would have the power to indemnify him against such liability under the provisions of such section.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with or incorporated by reference into this Registration Statement (numbering corresponds to the Exhibit Table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601 of Regulation S-K):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7"/>
          <w:szCs w:val="17"/>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91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3" w:lineRule="exact"/>
        <w:rPr>
          <w:sz w:val="20"/>
          <w:szCs w:val="20"/>
          <w:color w:val="auto"/>
        </w:rPr>
      </w:pPr>
    </w:p>
    <w:p>
      <w:pPr>
        <w:ind w:left="800" w:right="260" w:hanging="795"/>
        <w:spacing w:after="0" w:line="282" w:lineRule="auto"/>
        <w:tabs>
          <w:tab w:leader="none" w:pos="780" w:val="left"/>
        </w:tabs>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u w:val="single" w:color="auto"/>
            <w:color w:val="0000EE"/>
          </w:rPr>
          <w:t>4.1</w:t>
        </w:r>
      </w:hyperlink>
      <w:r>
        <w:rPr>
          <w:rFonts w:ascii="Times New Roman" w:cs="Times New Roman" w:eastAsia="Times New Roman" w:hAnsi="Times New Roman"/>
          <w:sz w:val="18"/>
          <w:szCs w:val="18"/>
          <w:color w:val="0000EE"/>
        </w:rPr>
        <w:tab/>
        <w:t>Amended and Restated Articles of Incorporation of GSL Holdings, Inc. (incorporated by reference to Exhibit 3.1 to Global Ship Lease, Inc.’s Registration Statement on Form 8-A (File No. 001-34153) filed with the SEC on March 26, 2019)</w:t>
      </w:r>
    </w:p>
    <w:p>
      <w:pPr>
        <w:spacing w:after="0" w:line="17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5.1</w:t>
      </w:r>
      <w:r>
        <w:rPr>
          <w:sz w:val="20"/>
          <w:szCs w:val="20"/>
          <w:color w:val="auto"/>
        </w:rPr>
        <w:tab/>
      </w:r>
      <w:r>
        <w:rPr>
          <w:rFonts w:ascii="Times New Roman" w:cs="Times New Roman" w:eastAsia="Times New Roman" w:hAnsi="Times New Roman"/>
          <w:sz w:val="17"/>
          <w:szCs w:val="17"/>
          <w:color w:val="auto"/>
        </w:rPr>
        <w:t>Opinion of Watson Farley &amp; Williams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23.1</w:t>
      </w:r>
      <w:r>
        <w:rPr>
          <w:sz w:val="20"/>
          <w:szCs w:val="20"/>
          <w:color w:val="auto"/>
        </w:rPr>
        <w:tab/>
      </w:r>
      <w:r>
        <w:rPr>
          <w:rFonts w:ascii="Times New Roman" w:cs="Times New Roman" w:eastAsia="Times New Roman" w:hAnsi="Times New Roman"/>
          <w:sz w:val="17"/>
          <w:szCs w:val="17"/>
          <w:color w:val="auto"/>
        </w:rPr>
        <w:t>Consent of PricewaterhouseCoopers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23.2</w:t>
      </w:r>
      <w:r>
        <w:rPr>
          <w:sz w:val="20"/>
          <w:szCs w:val="20"/>
          <w:color w:val="auto"/>
        </w:rPr>
        <w:tab/>
      </w:r>
      <w:r>
        <w:rPr>
          <w:rFonts w:ascii="Times New Roman" w:cs="Times New Roman" w:eastAsia="Times New Roman" w:hAnsi="Times New Roman"/>
          <w:sz w:val="17"/>
          <w:szCs w:val="17"/>
          <w:color w:val="auto"/>
        </w:rPr>
        <w:t>Consent of Maritime Strategies International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23.3</w:t>
      </w:r>
      <w:r>
        <w:rPr>
          <w:sz w:val="20"/>
          <w:szCs w:val="20"/>
          <w:color w:val="auto"/>
        </w:rPr>
        <w:tab/>
      </w:r>
      <w:r>
        <w:rPr>
          <w:rFonts w:ascii="Times New Roman" w:cs="Times New Roman" w:eastAsia="Times New Roman" w:hAnsi="Times New Roman"/>
          <w:sz w:val="17"/>
          <w:szCs w:val="17"/>
          <w:color w:val="auto"/>
        </w:rPr>
        <w:t>Consent of Watson Farley &amp; Williams LLP (included in 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24.1</w:t>
      </w:r>
      <w:r>
        <w:rPr>
          <w:sz w:val="20"/>
          <w:szCs w:val="20"/>
          <w:color w:val="auto"/>
        </w:rPr>
        <w:tab/>
      </w:r>
      <w:r>
        <w:rPr>
          <w:rFonts w:ascii="Times New Roman" w:cs="Times New Roman" w:eastAsia="Times New Roman" w:hAnsi="Times New Roman"/>
          <w:sz w:val="18"/>
          <w:szCs w:val="18"/>
          <w:color w:val="auto"/>
        </w:rPr>
        <w:t>Power of Attorney (included in signature page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780" w:val="left"/>
        </w:tabs>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7"/>
          <w:szCs w:val="17"/>
          <w:color w:val="0000EE"/>
        </w:rPr>
        <w:t>2019 Omnibus Incentive Plan, (as amended and restated on September 29, 2021, and as further amended and restated on September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74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(incorporated by reference to Exhibit 4.8 to Global Ship Lease’s Annual Report on Form 20-F filed with the SEC on March 16, 2026)</w:t>
      </w:r>
    </w:p>
    <w:p>
      <w:pPr>
        <w:spacing w:after="0" w:line="20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107.1</w:t>
      </w:r>
      <w:r>
        <w:rPr>
          <w:sz w:val="20"/>
          <w:szCs w:val="20"/>
          <w:color w:val="auto"/>
        </w:rPr>
        <w:tab/>
      </w:r>
      <w:r>
        <w:rPr>
          <w:rFonts w:ascii="Times New Roman" w:cs="Times New Roman" w:eastAsia="Times New Roman" w:hAnsi="Times New Roman"/>
          <w:sz w:val="17"/>
          <w:szCs w:val="17"/>
          <w:color w:val="auto"/>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980" w:hanging="64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880" w:hanging="414"/>
        <w:spacing w:after="0"/>
        <w:tabs>
          <w:tab w:leader="none" w:pos="188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left="1880" w:hanging="414"/>
        <w:spacing w:after="0" w:line="255" w:lineRule="auto"/>
        <w:tabs>
          <w:tab w:leader="none" w:pos="188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1880" w:hanging="414"/>
        <w:spacing w:after="0" w:line="282" w:lineRule="auto"/>
        <w:tabs>
          <w:tab w:leader="none" w:pos="188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ectPr>
          <w:pgSz w:w="11900" w:h="16838" w:orient="portrait"/>
          <w:cols w:equalWidth="0" w:num="1">
            <w:col w:w="11240"/>
          </w:cols>
          <w:pgMar w:left="320" w:top="115" w:right="339" w:bottom="0" w:gutter="0" w:footer="0" w:header="0"/>
        </w:sectPr>
      </w:pPr>
    </w:p>
    <w:bookmarkStart w:id="20" w:name="page21"/>
    <w:bookmarkEnd w:id="20"/>
    <w:p>
      <w:pPr>
        <w:jc w:val="both"/>
        <w:ind w:left="1048"/>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(i) and (ii)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periodic reports filed with or furnished to the SEC by the Registrant pursuant to Section 13 or Section 15(d) of the Exchange Act that are incorporated by reference in this Registration Statement.</w:t>
      </w:r>
    </w:p>
    <w:p>
      <w:pPr>
        <w:spacing w:after="0" w:line="175" w:lineRule="exact"/>
        <w:rPr>
          <w:sz w:val="20"/>
          <w:szCs w:val="20"/>
          <w:color w:val="auto"/>
        </w:rPr>
      </w:pPr>
    </w:p>
    <w:p>
      <w:pPr>
        <w:jc w:val="both"/>
        <w:ind w:left="648" w:hanging="324"/>
        <w:spacing w:after="0" w:line="266" w:lineRule="auto"/>
        <w:tabs>
          <w:tab w:leader="none" w:pos="64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75" w:lineRule="exact"/>
        <w:rPr>
          <w:rFonts w:ascii="Times New Roman" w:cs="Times New Roman" w:eastAsia="Times New Roman" w:hAnsi="Times New Roman"/>
          <w:sz w:val="18"/>
          <w:szCs w:val="18"/>
          <w:color w:val="auto"/>
        </w:rPr>
      </w:pPr>
    </w:p>
    <w:p>
      <w:pPr>
        <w:ind w:left="648" w:hanging="324"/>
        <w:spacing w:after="0" w:line="282" w:lineRule="auto"/>
        <w:tabs>
          <w:tab w:leader="none" w:pos="64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left="648" w:hanging="648"/>
        <w:spacing w:after="0" w:line="258" w:lineRule="auto"/>
        <w:tabs>
          <w:tab w:leader="none" w:pos="6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 [Reserved]</w:t>
      </w:r>
    </w:p>
    <w:p>
      <w:pPr>
        <w:spacing w:after="0" w:line="225" w:lineRule="exact"/>
        <w:rPr>
          <w:sz w:val="20"/>
          <w:szCs w:val="20"/>
          <w:color w:val="auto"/>
        </w:rPr>
      </w:pPr>
    </w:p>
    <w:p>
      <w:pPr>
        <w:ind w:left="648" w:hanging="648"/>
        <w:spacing w:after="0"/>
        <w:tabs>
          <w:tab w:leader="none" w:pos="64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jc w:val="both"/>
        <w:ind w:left="648" w:hanging="648"/>
        <w:spacing w:after="0" w:line="254" w:lineRule="auto"/>
        <w:tabs>
          <w:tab w:leader="none" w:pos="64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6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Athens, Greece, on March 16, 2026.</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Thomas A. Lister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Thomas A. Lister</w:t>
      </w:r>
    </w:p>
    <w:p>
      <w:pPr>
        <w:spacing w:after="0" w:line="9"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each person whose signature appears below constitutes and appoints Filana 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Silberberg as his or her true and lawful attorney-in-fact and agent, with full powers of substitution and resubstitution, for him or her and in his or her name, place and stead, in any and all capacities, to sign any or all amendments (including post-effective amendments) to this Registration Statement, and to file the same, with all exhibits thereto, and other documents in connection therewith, with the SEC, granting unto said attorney-in-fact and agent full power and authority to do and perform each and every act and thing requisite and necessary to be done, as fully for all intents and purposes as he or she might or could do in person, hereby ratifying and confirming all that said attorney-in-fact and agent, or his substitute, may lawfully do or cause to be done by virtue hereof.</w:t>
      </w: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indicated on March 16, 2026.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 George Giouroukos</w:t>
            </w:r>
          </w:p>
        </w:tc>
        <w:tc>
          <w:tcPr>
            <w:tcW w:w="79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Executive Chairman</w:t>
            </w:r>
          </w:p>
        </w:tc>
      </w:tr>
      <w:tr>
        <w:trPr>
          <w:trHeight w:val="234"/>
        </w:trPr>
        <w:tc>
          <w:tcPr>
            <w:tcW w:w="3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George Giouroukos</w:t>
            </w:r>
          </w:p>
        </w:tc>
        <w:tc>
          <w:tcPr>
            <w:tcW w:w="1200" w:type="dxa"/>
            <w:vAlign w:val="bottom"/>
            <w:tcBorders>
              <w:top w:val="single" w:sz="8" w:color="auto"/>
            </w:tcBorders>
          </w:tcPr>
          <w:p>
            <w:pPr>
              <w:spacing w:after="0"/>
              <w:rPr>
                <w:sz w:val="20"/>
                <w:szCs w:val="20"/>
                <w:color w:val="auto"/>
              </w:rPr>
            </w:pPr>
          </w:p>
        </w:tc>
        <w:tc>
          <w:tcPr>
            <w:tcW w:w="6740" w:type="dxa"/>
            <w:vAlign w:val="bottom"/>
          </w:tcPr>
          <w:p>
            <w:pPr>
              <w:spacing w:after="0"/>
              <w:rPr>
                <w:sz w:val="20"/>
                <w:szCs w:val="20"/>
                <w:color w:val="auto"/>
              </w:rPr>
            </w:pPr>
          </w:p>
        </w:tc>
      </w:tr>
      <w:tr>
        <w:trPr>
          <w:trHeight w:val="4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 Thomas A. Lister</w:t>
            </w:r>
          </w:p>
        </w:tc>
        <w:tc>
          <w:tcPr>
            <w:tcW w:w="79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r>
        <w:trPr>
          <w:trHeight w:val="234"/>
        </w:trPr>
        <w:tc>
          <w:tcPr>
            <w:tcW w:w="3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Thomas A. Lister</w:t>
            </w:r>
          </w:p>
        </w:tc>
        <w:tc>
          <w:tcPr>
            <w:tcW w:w="1200" w:type="dxa"/>
            <w:vAlign w:val="bottom"/>
            <w:tcBorders>
              <w:top w:val="single" w:sz="8" w:color="auto"/>
            </w:tcBorders>
          </w:tcPr>
          <w:p>
            <w:pPr>
              <w:spacing w:after="0"/>
              <w:rPr>
                <w:sz w:val="20"/>
                <w:szCs w:val="20"/>
                <w:color w:val="auto"/>
              </w:rPr>
            </w:pPr>
          </w:p>
        </w:tc>
        <w:tc>
          <w:tcPr>
            <w:tcW w:w="6740" w:type="dxa"/>
            <w:vAlign w:val="bottom"/>
          </w:tcPr>
          <w:p>
            <w:pPr>
              <w:spacing w:after="0"/>
              <w:rPr>
                <w:sz w:val="20"/>
                <w:szCs w:val="20"/>
                <w:color w:val="auto"/>
              </w:rPr>
            </w:pPr>
          </w:p>
        </w:tc>
      </w:tr>
      <w:tr>
        <w:trPr>
          <w:trHeight w:val="4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 Anastasios Psaropoulos</w:t>
            </w:r>
          </w:p>
        </w:tc>
        <w:tc>
          <w:tcPr>
            <w:tcW w:w="79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Chief Financial Officer (Principal Financial Officer, Principal Accounting Officer)</w:t>
            </w:r>
          </w:p>
        </w:tc>
      </w:tr>
      <w:tr>
        <w:trPr>
          <w:trHeight w:val="234"/>
        </w:trPr>
        <w:tc>
          <w:tcPr>
            <w:tcW w:w="3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Anastasios Psaropoulos</w:t>
            </w:r>
          </w:p>
        </w:tc>
        <w:tc>
          <w:tcPr>
            <w:tcW w:w="1200" w:type="dxa"/>
            <w:vAlign w:val="bottom"/>
            <w:tcBorders>
              <w:top w:val="single" w:sz="8" w:color="auto"/>
            </w:tcBorders>
          </w:tcPr>
          <w:p>
            <w:pPr>
              <w:spacing w:after="0"/>
              <w:rPr>
                <w:sz w:val="20"/>
                <w:szCs w:val="20"/>
                <w:color w:val="auto"/>
              </w:rPr>
            </w:pPr>
          </w:p>
        </w:tc>
        <w:tc>
          <w:tcPr>
            <w:tcW w:w="6740" w:type="dxa"/>
            <w:vAlign w:val="bottom"/>
          </w:tcPr>
          <w:p>
            <w:pPr>
              <w:spacing w:after="0"/>
              <w:rPr>
                <w:sz w:val="20"/>
                <w:szCs w:val="20"/>
                <w:color w:val="auto"/>
              </w:rPr>
            </w:pPr>
          </w:p>
        </w:tc>
      </w:tr>
      <w:tr>
        <w:trPr>
          <w:trHeight w:val="4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 Michael S. Gross</w:t>
            </w:r>
          </w:p>
        </w:tc>
        <w:tc>
          <w:tcPr>
            <w:tcW w:w="79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Michael S. Gross</w:t>
            </w:r>
          </w:p>
        </w:tc>
        <w:tc>
          <w:tcPr>
            <w:tcW w:w="1200" w:type="dxa"/>
            <w:vAlign w:val="bottom"/>
            <w:tcBorders>
              <w:top w:val="single" w:sz="8" w:color="auto"/>
            </w:tcBorders>
          </w:tcPr>
          <w:p>
            <w:pPr>
              <w:spacing w:after="0"/>
              <w:rPr>
                <w:sz w:val="20"/>
                <w:szCs w:val="20"/>
                <w:color w:val="auto"/>
              </w:rPr>
            </w:pPr>
          </w:p>
        </w:tc>
        <w:tc>
          <w:tcPr>
            <w:tcW w:w="6740" w:type="dxa"/>
            <w:vAlign w:val="bottom"/>
          </w:tcPr>
          <w:p>
            <w:pPr>
              <w:spacing w:after="0"/>
              <w:rPr>
                <w:sz w:val="20"/>
                <w:szCs w:val="20"/>
                <w:color w:val="auto"/>
              </w:rPr>
            </w:pPr>
          </w:p>
        </w:tc>
      </w:tr>
      <w:tr>
        <w:trPr>
          <w:trHeight w:val="4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 Alain Wils</w:t>
            </w:r>
          </w:p>
        </w:tc>
        <w:tc>
          <w:tcPr>
            <w:tcW w:w="79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Alain Wils</w:t>
            </w:r>
          </w:p>
        </w:tc>
        <w:tc>
          <w:tcPr>
            <w:tcW w:w="1200" w:type="dxa"/>
            <w:vAlign w:val="bottom"/>
            <w:tcBorders>
              <w:top w:val="single" w:sz="8" w:color="auto"/>
            </w:tcBorders>
          </w:tcPr>
          <w:p>
            <w:pPr>
              <w:spacing w:after="0"/>
              <w:rPr>
                <w:sz w:val="20"/>
                <w:szCs w:val="20"/>
                <w:color w:val="auto"/>
              </w:rPr>
            </w:pPr>
          </w:p>
        </w:tc>
        <w:tc>
          <w:tcPr>
            <w:tcW w:w="6740" w:type="dxa"/>
            <w:vAlign w:val="bottom"/>
          </w:tcPr>
          <w:p>
            <w:pPr>
              <w:spacing w:after="0"/>
              <w:rPr>
                <w:sz w:val="20"/>
                <w:szCs w:val="20"/>
                <w:color w:val="auto"/>
              </w:rPr>
            </w:pPr>
          </w:p>
        </w:tc>
      </w:tr>
      <w:tr>
        <w:trPr>
          <w:trHeight w:val="4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 Ulrike Helfer</w:t>
            </w:r>
          </w:p>
        </w:tc>
        <w:tc>
          <w:tcPr>
            <w:tcW w:w="79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Ulrike Helfer</w:t>
            </w:r>
          </w:p>
        </w:tc>
        <w:tc>
          <w:tcPr>
            <w:tcW w:w="1200" w:type="dxa"/>
            <w:vAlign w:val="bottom"/>
            <w:tcBorders>
              <w:top w:val="single" w:sz="8" w:color="auto"/>
            </w:tcBorders>
          </w:tcPr>
          <w:p>
            <w:pPr>
              <w:spacing w:after="0"/>
              <w:rPr>
                <w:sz w:val="20"/>
                <w:szCs w:val="20"/>
                <w:color w:val="auto"/>
              </w:rPr>
            </w:pPr>
          </w:p>
        </w:tc>
        <w:tc>
          <w:tcPr>
            <w:tcW w:w="6740" w:type="dxa"/>
            <w:vAlign w:val="bottom"/>
          </w:tcPr>
          <w:p>
            <w:pPr>
              <w:spacing w:after="0"/>
              <w:rPr>
                <w:sz w:val="20"/>
                <w:szCs w:val="20"/>
                <w:color w:val="auto"/>
              </w:rPr>
            </w:pPr>
          </w:p>
        </w:tc>
      </w:tr>
      <w:tr>
        <w:trPr>
          <w:trHeight w:val="4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 Michael Chalkias</w:t>
            </w:r>
          </w:p>
        </w:tc>
        <w:tc>
          <w:tcPr>
            <w:tcW w:w="79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Michael Chalkias</w:t>
            </w:r>
          </w:p>
        </w:tc>
        <w:tc>
          <w:tcPr>
            <w:tcW w:w="1200" w:type="dxa"/>
            <w:vAlign w:val="bottom"/>
            <w:tcBorders>
              <w:top w:val="single" w:sz="8" w:color="auto"/>
            </w:tcBorders>
          </w:tcPr>
          <w:p>
            <w:pPr>
              <w:spacing w:after="0"/>
              <w:rPr>
                <w:sz w:val="20"/>
                <w:szCs w:val="20"/>
                <w:color w:val="auto"/>
              </w:rPr>
            </w:pPr>
          </w:p>
        </w:tc>
        <w:tc>
          <w:tcPr>
            <w:tcW w:w="6740" w:type="dxa"/>
            <w:vAlign w:val="bottom"/>
          </w:tcPr>
          <w:p>
            <w:pPr>
              <w:spacing w:after="0"/>
              <w:rPr>
                <w:sz w:val="20"/>
                <w:szCs w:val="20"/>
                <w:color w:val="auto"/>
              </w:rPr>
            </w:pPr>
          </w:p>
        </w:tc>
      </w:tr>
      <w:tr>
        <w:trPr>
          <w:trHeight w:val="4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 Yoram (Rami) Neugeborn</w:t>
            </w:r>
          </w:p>
        </w:tc>
        <w:tc>
          <w:tcPr>
            <w:tcW w:w="79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Yoram (Rami) Neugeborn</w:t>
            </w:r>
          </w:p>
        </w:tc>
        <w:tc>
          <w:tcPr>
            <w:tcW w:w="1200" w:type="dxa"/>
            <w:vAlign w:val="bottom"/>
            <w:tcBorders>
              <w:top w:val="single" w:sz="8" w:color="auto"/>
            </w:tcBorders>
          </w:tcPr>
          <w:p>
            <w:pPr>
              <w:spacing w:after="0"/>
              <w:rPr>
                <w:sz w:val="20"/>
                <w:szCs w:val="20"/>
                <w:color w:val="auto"/>
              </w:rPr>
            </w:pPr>
          </w:p>
        </w:tc>
        <w:tc>
          <w:tcPr>
            <w:tcW w:w="6740" w:type="dxa"/>
            <w:vAlign w:val="bottom"/>
          </w:tcPr>
          <w:p>
            <w:pPr>
              <w:spacing w:after="0"/>
              <w:rPr>
                <w:sz w:val="20"/>
                <w:szCs w:val="20"/>
                <w:color w:val="auto"/>
              </w:rPr>
            </w:pPr>
          </w:p>
        </w:tc>
      </w:tr>
      <w:tr>
        <w:trPr>
          <w:trHeight w:val="4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 Alain Pitner</w:t>
            </w:r>
          </w:p>
        </w:tc>
        <w:tc>
          <w:tcPr>
            <w:tcW w:w="79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Alain Pitner</w:t>
            </w:r>
          </w:p>
        </w:tc>
        <w:tc>
          <w:tcPr>
            <w:tcW w:w="1200" w:type="dxa"/>
            <w:vAlign w:val="bottom"/>
            <w:tcBorders>
              <w:top w:val="single" w:sz="8" w:color="auto"/>
            </w:tcBorders>
          </w:tcPr>
          <w:p>
            <w:pPr>
              <w:spacing w:after="0"/>
              <w:rPr>
                <w:sz w:val="20"/>
                <w:szCs w:val="20"/>
                <w:color w:val="auto"/>
              </w:rPr>
            </w:pPr>
          </w:p>
        </w:tc>
        <w:tc>
          <w:tcPr>
            <w:tcW w:w="6740" w:type="dxa"/>
            <w:vAlign w:val="bottom"/>
          </w:tcPr>
          <w:p>
            <w:pPr>
              <w:spacing w:after="0"/>
              <w:rPr>
                <w:sz w:val="20"/>
                <w:szCs w:val="20"/>
                <w:color w:val="auto"/>
              </w:rPr>
            </w:pPr>
          </w:p>
        </w:tc>
      </w:tr>
      <w:tr>
        <w:trPr>
          <w:trHeight w:val="4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 Menno van Lacum</w:t>
            </w:r>
          </w:p>
        </w:tc>
        <w:tc>
          <w:tcPr>
            <w:tcW w:w="79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Menno van Lacum</w:t>
            </w:r>
          </w:p>
        </w:tc>
        <w:tc>
          <w:tcPr>
            <w:tcW w:w="1200" w:type="dxa"/>
            <w:vAlign w:val="bottom"/>
            <w:tcBorders>
              <w:top w:val="single" w:sz="8" w:color="auto"/>
            </w:tcBorders>
          </w:tcPr>
          <w:p>
            <w:pPr>
              <w:spacing w:after="0"/>
              <w:rPr>
                <w:sz w:val="20"/>
                <w:szCs w:val="20"/>
                <w:color w:val="auto"/>
              </w:rPr>
            </w:pPr>
          </w:p>
        </w:tc>
        <w:tc>
          <w:tcPr>
            <w:tcW w:w="6740" w:type="dxa"/>
            <w:vAlign w:val="bottom"/>
          </w:tcPr>
          <w:p>
            <w:pPr>
              <w:spacing w:after="0"/>
              <w:rPr>
                <w:sz w:val="20"/>
                <w:szCs w:val="20"/>
                <w:color w:val="auto"/>
              </w:rPr>
            </w:pPr>
          </w:p>
        </w:tc>
      </w:tr>
      <w:tr>
        <w:trPr>
          <w:trHeight w:val="4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 Ian J. Webber</w:t>
            </w:r>
          </w:p>
        </w:tc>
        <w:tc>
          <w:tcPr>
            <w:tcW w:w="79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Ian J. Webber</w:t>
            </w:r>
          </w:p>
        </w:tc>
        <w:tc>
          <w:tcPr>
            <w:tcW w:w="1200" w:type="dxa"/>
            <w:vAlign w:val="bottom"/>
            <w:tcBorders>
              <w:top w:val="single" w:sz="8" w:color="auto"/>
            </w:tcBorders>
          </w:tcPr>
          <w:p>
            <w:pPr>
              <w:spacing w:after="0"/>
              <w:rPr>
                <w:sz w:val="20"/>
                <w:szCs w:val="20"/>
                <w:color w:val="auto"/>
              </w:rPr>
            </w:pPr>
          </w:p>
        </w:tc>
        <w:tc>
          <w:tcPr>
            <w:tcW w:w="6740" w:type="dxa"/>
            <w:vAlign w:val="bottom"/>
          </w:tcPr>
          <w:p>
            <w:pPr>
              <w:spacing w:after="0"/>
              <w:rPr>
                <w:sz w:val="20"/>
                <w:szCs w:val="20"/>
                <w:color w:val="auto"/>
              </w:rPr>
            </w:pPr>
          </w:p>
        </w:tc>
      </w:tr>
      <w:tr>
        <w:trPr>
          <w:trHeight w:val="394"/>
        </w:trPr>
        <w:tc>
          <w:tcPr>
            <w:tcW w:w="3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 of the Securities Act of 1933, the undersigned, the duly undersigned representative in the United States of the aforementioned Registrant, has signed this Registration Statement in Newark, Delaware on March 16, 2026.</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PUGLISI &amp; ASSOCIATES</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Donald J. Puglisi</w:t>
      </w:r>
    </w:p>
    <w:p>
      <w:pPr>
        <w:spacing w:after="0" w:line="22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Donald J. Puglisi</w:t>
      </w:r>
    </w:p>
    <w:p>
      <w:pPr>
        <w:spacing w:after="0" w:line="2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320" w:top="115" w:right="99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156845</wp:posOffset>
            </wp:positionV>
            <wp:extent cx="6969125" cy="15087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696912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Ship Lease,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GSL Enterprises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Irodou Attikou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Kifisia, Athens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Greece, 14561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Global Ship Lease,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acted as counsel to Global Ship Lease,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Marshall Islands corporation, in connection with the filing of the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with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 or about the date hereof under the U.S.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including a reoffer prospectus contained therein (the “</w:t>
      </w:r>
      <w:r>
        <w:rPr>
          <w:rFonts w:ascii="Times New Roman" w:cs="Times New Roman" w:eastAsia="Times New Roman" w:hAnsi="Times New Roman"/>
          <w:sz w:val="18"/>
          <w:szCs w:val="18"/>
          <w:b w:val="1"/>
          <w:bCs w:val="1"/>
          <w:color w:val="auto"/>
        </w:rPr>
        <w:t>Reoffer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such Registration Statement relating to the registration by the Company of Class A common shares, par value $0.01 per share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that may be issued pursuant to the Company’s 2019 Omnibus Incentive Plan, as amended and restated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and such shares, the “</w:t>
      </w:r>
      <w:r>
        <w:rPr>
          <w:rFonts w:ascii="Times New Roman" w:cs="Times New Roman" w:eastAsia="Times New Roman" w:hAnsi="Times New Roman"/>
          <w:sz w:val="18"/>
          <w:szCs w:val="18"/>
          <w:b w:val="1"/>
          <w:bCs w:val="1"/>
          <w:color w:val="auto"/>
        </w:rPr>
        <w:t>Plan Shares</w:t>
      </w:r>
      <w:r>
        <w:rPr>
          <w:rFonts w:ascii="Times New Roman" w:cs="Times New Roman" w:eastAsia="Times New Roman" w:hAnsi="Times New Roman"/>
          <w:sz w:val="18"/>
          <w:szCs w:val="18"/>
          <w:color w:val="auto"/>
        </w:rPr>
        <w:t>”), and Common Shares that may be reoffered and resold by the selling securityholders named in the Reoffer Prospectus that have been 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Issued Reoffer Shares</w:t>
      </w:r>
      <w:r>
        <w:rPr>
          <w:rFonts w:ascii="Times New Roman" w:cs="Times New Roman" w:eastAsia="Times New Roman" w:hAnsi="Times New Roman"/>
          <w:sz w:val="18"/>
          <w:szCs w:val="18"/>
          <w:color w:val="auto"/>
        </w:rPr>
        <w:t>”) or may be acquired (the “</w:t>
      </w:r>
      <w:r>
        <w:rPr>
          <w:rFonts w:ascii="Times New Roman" w:cs="Times New Roman" w:eastAsia="Times New Roman" w:hAnsi="Times New Roman"/>
          <w:sz w:val="18"/>
          <w:szCs w:val="18"/>
          <w:b w:val="1"/>
          <w:bCs w:val="1"/>
          <w:color w:val="auto"/>
        </w:rPr>
        <w:t>Issuable Reoffer Shares</w:t>
      </w:r>
      <w:r>
        <w:rPr>
          <w:rFonts w:ascii="Times New Roman" w:cs="Times New Roman" w:eastAsia="Times New Roman" w:hAnsi="Times New Roman"/>
          <w:sz w:val="18"/>
          <w:szCs w:val="18"/>
          <w:color w:val="auto"/>
        </w:rPr>
        <w:t>”) pursuant to awards or grants under the Plan and instruments executed pursuant to the Plan which govern the awards or grants to which the Issued Reoffer Shares and/or Issuable Reoffer Shares relate, and which may include certain vesting and other conditions.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examined the Registration Statement, including the Reoffer Prospectus, the Plan, and the originals, or copies identified to our satisfaction, of such corporate records and corporate actions of the Company, certificates of public officials, officers of the Company and other persons, and such other documents, agreements and instruments as we have deemed necessary as a basis for the opinions expressed below. In our examination, we have assumed the authenticity of all documents submitted to us as originals, the conformity with the originals of all documents submitted to us as copies, the genuineness of the signatures of persons signing all documents, the persons identified as officers of the Company are serving as such and, as to factual matters, the truth, accuracy and completeness of the information, representations and warranties contained in the Registration Statement.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assumptions and limitations stated herein, we are of the opinion that (i) the Issued Reoffer Shares, have been duly authorized and are validly issued, fully paid, and non-assessable, and (ii) the Plan Shares and the Issuable Reoffer Shares have been duly authorized, and upon issuance and delivery of such shares in accordance with the Plan and the instruments executed pursuant to the Plan, as applicable, which govern the awards or grants to which the Plan Shares or Issuable Reoffer Shares relate, the Plan Shares and Issuable Reoffer Shares, as applicable, will be validly issued, fully paid and non-assessable.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opinion is limited to the laws of the Republic of the Marshall Islands and is as of the date hereof. We expressly disclaim any responsibility to advise of any development or circumstance of any kind, including any change of law or fact that may occur after the date of this opinion letter that might affect the opinion expressed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523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32320" cy="52324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4"/>
          <w:szCs w:val="14"/>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117475</wp:posOffset>
            </wp:positionV>
            <wp:extent cx="1268730" cy="3683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126873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filed with the Commission, and to each reference to our firm in the Reoffer Prospectus, without admitting we are “experts” within the meaning of the Securities Act or the rules and regulations of the Commission promulgated thereunder with respect to any part of the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Watson Farley &amp; Williams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Watson Farley &amp; Williams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Global Ship Lease, Inc. of our report dated March 16, 2026 relating to the consolidated financial statements and the effectiveness of internal control over financial reporting, which appears in Global Ship Lease, Inc.'s Annual Report on Form 20-F for the year ended December 31, 2025. We also consent to the reference to us under the heading "Experts" in such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S.A.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Athens, Greece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6" w:name="page27"/>
    <w:bookmarkEnd w:id="26"/>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857250" cy="6261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85725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GSL Enterprises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Irodou Attikou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Kifisia, Athens 14561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Greece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16,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Reference is made to the registration statement on Form S-8, including any amendments or supplements thereto and the reoffer prospectus contained therein (the “Registration Statement”) of Global Ship Lease, Inc. (the “Company”) to be filed with the U.S. Securities and Exchange Commission pursuant to the U.S. Securities Act of 1933, as amended. We hereby consent to all references to our name in the Registration Statement and to the use of the statistical information and industry and market data supplied by us as set forth in the Registration Statement, including by incorporation by reference to the Company’s Annual Report on Form 20-F for the year ended December 31, 2025. We further advise the Company that our role has been limited to the provision of such statistical information and industry and market data supplied by us. With respect to such information and data, we advise you that:</w:t>
      </w:r>
    </w:p>
    <w:p>
      <w:pPr>
        <w:spacing w:after="0" w:line="189" w:lineRule="exact"/>
        <w:rPr>
          <w:sz w:val="20"/>
          <w:szCs w:val="20"/>
          <w:color w:val="auto"/>
        </w:rPr>
      </w:pPr>
    </w:p>
    <w:p>
      <w:pPr>
        <w:ind w:right="20" w:firstLine="656"/>
        <w:spacing w:after="0" w:line="282" w:lineRule="auto"/>
        <w:tabs>
          <w:tab w:leader="none" w:pos="91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accurately described the information and data of the container shipping industry, subject to the availability and reliability of the data supporting the statistical and graphical information presented; and</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1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methodologies for collecting information and data may differ from those of other sources and does not reflect all or even necessarily a comprehensive set of the actual transactions occurring in the container shipping industry.</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letter as an exhibit to the Registration Statement and to the references to our firm in the section of the Registration Statement entitled “Experts.”</w:t>
      </w:r>
    </w:p>
    <w:p>
      <w:pPr>
        <w:spacing w:after="0" w:line="162"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Maritime Strategies International Ltd.</w:t>
      </w:r>
    </w:p>
    <w:p>
      <w:pPr>
        <w:spacing w:after="0" w:line="225"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/s/ Adam Kent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26035</wp:posOffset>
            </wp:positionV>
            <wp:extent cx="213423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3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Name: Adam Kent</w:t>
      </w:r>
    </w:p>
    <w:p>
      <w:pPr>
        <w:spacing w:after="0" w:line="36" w:lineRule="exact"/>
        <w:rPr>
          <w:sz w:val="20"/>
          <w:szCs w:val="20"/>
          <w:color w:val="auto"/>
        </w:rPr>
      </w:pPr>
    </w:p>
    <w:p>
      <w:pPr>
        <w:ind w:left="7880"/>
        <w:spacing w:after="0"/>
        <w:tabs>
          <w:tab w:leader="none" w:pos="8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26035</wp:posOffset>
            </wp:positionV>
            <wp:extent cx="178308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1783080" cy="171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-127635</wp:posOffset>
            </wp:positionV>
            <wp:extent cx="178308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17830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7" w:name="page28"/>
    <w:bookmarkEnd w:id="27"/>
    <w:p>
      <w:pPr>
        <w:ind w:left="103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Table 1: Newly Registered Securities</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260" w:type="dxa"/>
            <w:vAlign w:val="bottom"/>
            <w:tcBorders>
              <w:top w:val="single" w:sz="8" w:color="auto"/>
              <w:left w:val="single" w:sz="8" w:color="auto"/>
              <w:right w:val="single" w:sz="8" w:color="auto"/>
            </w:tcBorders>
          </w:tcPr>
          <w:p>
            <w:pPr>
              <w:spacing w:after="0"/>
              <w:rPr>
                <w:sz w:val="20"/>
                <w:szCs w:val="20"/>
                <w:color w:val="auto"/>
              </w:rPr>
            </w:pPr>
          </w:p>
        </w:tc>
        <w:tc>
          <w:tcPr>
            <w:tcW w:w="2480" w:type="dxa"/>
            <w:vAlign w:val="bottom"/>
            <w:tcBorders>
              <w:top w:val="single" w:sz="8" w:color="auto"/>
              <w:right w:val="single" w:sz="8" w:color="auto"/>
            </w:tcBorders>
          </w:tcPr>
          <w:p>
            <w:pPr>
              <w:spacing w:after="0"/>
              <w:rPr>
                <w:sz w:val="20"/>
                <w:szCs w:val="20"/>
                <w:color w:val="auto"/>
              </w:rPr>
            </w:pPr>
          </w:p>
        </w:tc>
        <w:tc>
          <w:tcPr>
            <w:tcW w:w="1320" w:type="dxa"/>
            <w:vAlign w:val="bottom"/>
            <w:tcBorders>
              <w:top w:val="single" w:sz="8" w:color="auto"/>
              <w:right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40" w:type="dxa"/>
            <w:vAlign w:val="bottom"/>
            <w:tcBorders>
              <w:top w:val="single" w:sz="8" w:color="auto"/>
              <w:right w:val="single" w:sz="8" w:color="auto"/>
            </w:tcBorders>
          </w:tcPr>
          <w:p>
            <w:pPr>
              <w:spacing w:after="0"/>
              <w:rPr>
                <w:sz w:val="20"/>
                <w:szCs w:val="20"/>
                <w:color w:val="auto"/>
              </w:rPr>
            </w:pPr>
          </w:p>
        </w:tc>
        <w:tc>
          <w:tcPr>
            <w:tcW w:w="128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6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24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0" w:type="dxa"/>
            <w:vAlign w:val="bottom"/>
          </w:tcPr>
          <w:p>
            <w:pPr>
              <w:spacing w:after="0"/>
              <w:rPr>
                <w:sz w:val="1"/>
                <w:szCs w:val="1"/>
                <w:color w:val="auto"/>
              </w:rPr>
            </w:pPr>
          </w:p>
        </w:tc>
      </w:tr>
      <w:tr>
        <w:trPr>
          <w:trHeight w:val="68"/>
        </w:trPr>
        <w:tc>
          <w:tcPr>
            <w:tcW w:w="1260" w:type="dxa"/>
            <w:vAlign w:val="bottom"/>
            <w:tcBorders>
              <w:left w:val="single" w:sz="8" w:color="auto"/>
              <w:right w:val="single" w:sz="8" w:color="auto"/>
            </w:tcBorders>
          </w:tcPr>
          <w:p>
            <w:pPr>
              <w:spacing w:after="0"/>
              <w:rPr>
                <w:sz w:val="5"/>
                <w:szCs w:val="5"/>
                <w:color w:val="auto"/>
              </w:rPr>
            </w:pPr>
          </w:p>
        </w:tc>
        <w:tc>
          <w:tcPr>
            <w:tcW w:w="2480" w:type="dxa"/>
            <w:vAlign w:val="bottom"/>
            <w:tcBorders>
              <w:right w:val="single" w:sz="8" w:color="auto"/>
            </w:tcBorders>
          </w:tcPr>
          <w:p>
            <w:pPr>
              <w:spacing w:after="0"/>
              <w:rPr>
                <w:sz w:val="5"/>
                <w:szCs w:val="5"/>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Fee Calculation</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40" w:type="dxa"/>
            <w:vAlign w:val="bottom"/>
            <w:tcBorders>
              <w:right w:val="single" w:sz="8" w:color="auto"/>
            </w:tcBorders>
          </w:tcPr>
          <w:p>
            <w:pPr>
              <w:spacing w:after="0"/>
              <w:rPr>
                <w:sz w:val="5"/>
                <w:szCs w:val="5"/>
                <w:color w:val="auto"/>
              </w:rPr>
            </w:pPr>
          </w:p>
        </w:tc>
        <w:tc>
          <w:tcPr>
            <w:tcW w:w="12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1260" w:type="dxa"/>
            <w:vAlign w:val="bottom"/>
            <w:tcBorders>
              <w:left w:val="single" w:sz="8" w:color="auto"/>
              <w:right w:val="single" w:sz="8" w:color="auto"/>
            </w:tcBorders>
          </w:tcPr>
          <w:p>
            <w:pPr>
              <w:spacing w:after="0"/>
              <w:rPr>
                <w:sz w:val="16"/>
                <w:szCs w:val="16"/>
                <w:color w:val="auto"/>
              </w:rPr>
            </w:pPr>
          </w:p>
        </w:tc>
        <w:tc>
          <w:tcPr>
            <w:tcW w:w="248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vMerge w:val="continue"/>
          </w:tcPr>
          <w:p>
            <w:pPr>
              <w:spacing w:after="0"/>
              <w:rPr>
                <w:sz w:val="16"/>
                <w:szCs w:val="16"/>
                <w:color w:val="auto"/>
              </w:rPr>
            </w:pPr>
          </w:p>
        </w:tc>
        <w:tc>
          <w:tcPr>
            <w:tcW w:w="1240" w:type="dxa"/>
            <w:vAlign w:val="bottom"/>
            <w:tcBorders>
              <w:right w:val="single" w:sz="8" w:color="auto"/>
            </w:tcBorders>
            <w:vMerge w:val="continue"/>
          </w:tcPr>
          <w:p>
            <w:pPr>
              <w:spacing w:after="0"/>
              <w:rPr>
                <w:sz w:val="16"/>
                <w:szCs w:val="16"/>
                <w:color w:val="auto"/>
              </w:rPr>
            </w:pPr>
          </w:p>
        </w:tc>
        <w:tc>
          <w:tcPr>
            <w:tcW w:w="1220" w:type="dxa"/>
            <w:vAlign w:val="bottom"/>
            <w:tcBorders>
              <w:right w:val="single" w:sz="8" w:color="auto"/>
            </w:tcBorders>
            <w:vMerge w:val="continue"/>
          </w:tcPr>
          <w:p>
            <w:pPr>
              <w:spacing w:after="0"/>
              <w:rPr>
                <w:sz w:val="16"/>
                <w:szCs w:val="16"/>
                <w:color w:val="auto"/>
              </w:rPr>
            </w:pPr>
          </w:p>
        </w:tc>
        <w:tc>
          <w:tcPr>
            <w:tcW w:w="1220" w:type="dxa"/>
            <w:vAlign w:val="bottom"/>
            <w:tcBorders>
              <w:right w:val="single" w:sz="8" w:color="auto"/>
            </w:tcBorders>
            <w:vMerge w:val="continue"/>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Registration</w:t>
            </w:r>
          </w:p>
        </w:tc>
        <w:tc>
          <w:tcPr>
            <w:tcW w:w="0" w:type="dxa"/>
            <w:vAlign w:val="bottom"/>
          </w:tcPr>
          <w:p>
            <w:pPr>
              <w:spacing w:after="0"/>
              <w:rPr>
                <w:sz w:val="1"/>
                <w:szCs w:val="1"/>
                <w:color w:val="auto"/>
              </w:rPr>
            </w:pPr>
          </w:p>
        </w:tc>
      </w:tr>
      <w:tr>
        <w:trPr>
          <w:trHeight w:val="270"/>
        </w:trPr>
        <w:tc>
          <w:tcPr>
            <w:tcW w:w="1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Security Type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 Class Title</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240" w:type="dxa"/>
            <w:vAlign w:val="bottom"/>
            <w:tcBorders>
              <w:bottom w:val="single" w:sz="8" w:color="auto"/>
              <w:right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5"/>
              </w:rPr>
              <w:t>Registered</w:t>
            </w:r>
            <w:r>
              <w:rPr>
                <w:rFonts w:ascii="Times New Roman" w:cs="Times New Roman" w:eastAsia="Times New Roman" w:hAnsi="Times New Roman"/>
                <w:sz w:val="29"/>
                <w:szCs w:val="29"/>
                <w:b w:val="1"/>
                <w:bCs w:val="1"/>
                <w:color w:val="auto"/>
                <w:w w:val="95"/>
                <w:vertAlign w:val="superscript"/>
              </w:rPr>
              <w:t>(1)</w:t>
            </w:r>
          </w:p>
        </w:tc>
        <w:tc>
          <w:tcPr>
            <w:tcW w:w="1220" w:type="dxa"/>
            <w:vAlign w:val="bottom"/>
            <w:tcBorders>
              <w:bottom w:val="single" w:sz="8" w:color="auto"/>
              <w:right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5"/>
              </w:rPr>
              <w:t>Per Unit</w:t>
            </w:r>
            <w:r>
              <w:rPr>
                <w:rFonts w:ascii="Times New Roman" w:cs="Times New Roman" w:eastAsia="Times New Roman" w:hAnsi="Times New Roman"/>
                <w:sz w:val="29"/>
                <w:szCs w:val="29"/>
                <w:b w:val="1"/>
                <w:bCs w:val="1"/>
                <w:color w:val="auto"/>
                <w:w w:val="95"/>
                <w:vertAlign w:val="superscript"/>
              </w:rPr>
              <w:t>(4)</w:t>
            </w:r>
          </w:p>
        </w:tc>
        <w:tc>
          <w:tcPr>
            <w:tcW w:w="1220" w:type="dxa"/>
            <w:vAlign w:val="bottom"/>
            <w:tcBorders>
              <w:bottom w:val="single" w:sz="8" w:color="auto"/>
              <w:right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2"/>
              </w:rPr>
              <w:t>Price</w:t>
            </w:r>
            <w:r>
              <w:rPr>
                <w:rFonts w:ascii="Times New Roman" w:cs="Times New Roman" w:eastAsia="Times New Roman" w:hAnsi="Times New Roman"/>
                <w:sz w:val="29"/>
                <w:szCs w:val="29"/>
                <w:b w:val="1"/>
                <w:bCs w:val="1"/>
                <w:color w:val="auto"/>
                <w:w w:val="92"/>
                <w:vertAlign w:val="superscript"/>
              </w:rPr>
              <w:t>(4)</w:t>
            </w:r>
          </w:p>
        </w:tc>
        <w:tc>
          <w:tcPr>
            <w:tcW w:w="124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0" w:type="dxa"/>
            <w:vAlign w:val="bottom"/>
          </w:tcPr>
          <w:p>
            <w:pPr>
              <w:spacing w:after="0"/>
              <w:rPr>
                <w:sz w:val="1"/>
                <w:szCs w:val="1"/>
                <w:color w:val="auto"/>
              </w:rPr>
            </w:pPr>
          </w:p>
        </w:tc>
      </w:tr>
      <w:tr>
        <w:trPr>
          <w:trHeight w:val="209"/>
        </w:trPr>
        <w:tc>
          <w:tcPr>
            <w:tcW w:w="1260" w:type="dxa"/>
            <w:vAlign w:val="bottom"/>
            <w:tcBorders>
              <w:left w:val="single" w:sz="8" w:color="auto"/>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Newly Registered Securities</w:t>
            </w:r>
          </w:p>
        </w:tc>
        <w:tc>
          <w:tcPr>
            <w:tcW w:w="1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60" w:type="dxa"/>
            <w:vAlign w:val="bottom"/>
            <w:tcBorders>
              <w:left w:val="single" w:sz="8" w:color="auto"/>
              <w:right w:val="single" w:sz="8" w:color="auto"/>
            </w:tcBorders>
            <w:shd w:val="clear" w:color="auto" w:fill="CCEEFF"/>
          </w:tcPr>
          <w:p>
            <w:pPr>
              <w:spacing w:after="0"/>
              <w:rPr>
                <w:sz w:val="18"/>
                <w:szCs w:val="18"/>
                <w:color w:val="auto"/>
              </w:rPr>
            </w:pPr>
          </w:p>
        </w:tc>
        <w:tc>
          <w:tcPr>
            <w:tcW w:w="24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 Common Shares, par</w:t>
            </w:r>
          </w:p>
        </w:tc>
        <w:tc>
          <w:tcPr>
            <w:tcW w:w="13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Rule 457(c) Rule</w:t>
            </w:r>
          </w:p>
        </w:tc>
        <w:tc>
          <w:tcPr>
            <w:tcW w:w="12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2,430,000</w:t>
            </w:r>
            <w:r>
              <w:rPr>
                <w:rFonts w:ascii="Times New Roman" w:cs="Times New Roman" w:eastAsia="Times New Roman" w:hAnsi="Times New Roman"/>
                <w:sz w:val="29"/>
                <w:szCs w:val="29"/>
                <w:color w:val="auto"/>
                <w:w w:val="95"/>
                <w:vertAlign w:val="superscript"/>
              </w:rPr>
              <w:t>(2)</w:t>
            </w:r>
          </w:p>
        </w:tc>
        <w:tc>
          <w:tcPr>
            <w:tcW w:w="1220" w:type="dxa"/>
            <w:vAlign w:val="bottom"/>
            <w:tcBorders>
              <w:right w:val="single" w:sz="8" w:color="auto"/>
            </w:tcBorders>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26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4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value $0.01 per share</w:t>
            </w:r>
          </w:p>
        </w:tc>
        <w:tc>
          <w:tcPr>
            <w:tcW w:w="1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240" w:type="dxa"/>
            <w:vAlign w:val="bottom"/>
            <w:tcBorders>
              <w:bottom w:val="single" w:sz="8" w:color="auto"/>
              <w:right w:val="single" w:sz="8" w:color="auto"/>
            </w:tcBorders>
            <w:vMerge w:val="continue"/>
            <w:shd w:val="clear" w:color="auto" w:fill="CCEEFF"/>
          </w:tcPr>
          <w:p>
            <w:pPr>
              <w:spacing w:after="0"/>
              <w:rPr>
                <w:sz w:val="22"/>
                <w:szCs w:val="22"/>
                <w:color w:val="auto"/>
              </w:rPr>
            </w:pPr>
          </w:p>
        </w:tc>
        <w:tc>
          <w:tcPr>
            <w:tcW w:w="1220" w:type="dxa"/>
            <w:vAlign w:val="bottom"/>
            <w:tcBorders>
              <w:bottom w:val="single" w:sz="8" w:color="auto"/>
              <w:right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$37.82</w:t>
            </w:r>
          </w:p>
        </w:tc>
        <w:tc>
          <w:tcPr>
            <w:tcW w:w="1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$91,902,600</w:t>
            </w:r>
          </w:p>
        </w:tc>
        <w:tc>
          <w:tcPr>
            <w:tcW w:w="1240" w:type="dxa"/>
            <w:vAlign w:val="bottom"/>
            <w:tcBorders>
              <w:bottom w:val="single" w:sz="8" w:color="auto"/>
              <w:right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0.00013810</w:t>
            </w:r>
          </w:p>
        </w:tc>
        <w:tc>
          <w:tcPr>
            <w:tcW w:w="1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$12,692</w:t>
            </w:r>
          </w:p>
        </w:tc>
        <w:tc>
          <w:tcPr>
            <w:tcW w:w="0" w:type="dxa"/>
            <w:vAlign w:val="bottom"/>
          </w:tcPr>
          <w:p>
            <w:pPr>
              <w:spacing w:after="0"/>
              <w:rPr>
                <w:sz w:val="1"/>
                <w:szCs w:val="1"/>
                <w:color w:val="auto"/>
              </w:rPr>
            </w:pPr>
          </w:p>
        </w:tc>
      </w:tr>
      <w:tr>
        <w:trPr>
          <w:trHeight w:val="218"/>
        </w:trPr>
        <w:tc>
          <w:tcPr>
            <w:tcW w:w="1260" w:type="dxa"/>
            <w:vAlign w:val="bottom"/>
            <w:tcBorders>
              <w:left w:val="single" w:sz="8" w:color="auto"/>
              <w:right w:val="single" w:sz="8" w:color="auto"/>
            </w:tcBorders>
          </w:tcPr>
          <w:p>
            <w:pPr>
              <w:spacing w:after="0"/>
              <w:rPr>
                <w:sz w:val="18"/>
                <w:szCs w:val="18"/>
                <w:color w:val="auto"/>
              </w:rPr>
            </w:pPr>
          </w:p>
        </w:tc>
        <w:tc>
          <w:tcPr>
            <w:tcW w:w="2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Shares, par</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 457(c) Rule</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3,683,005</w:t>
            </w:r>
            <w:r>
              <w:rPr>
                <w:rFonts w:ascii="Times New Roman" w:cs="Times New Roman" w:eastAsia="Times New Roman" w:hAnsi="Times New Roman"/>
                <w:sz w:val="29"/>
                <w:szCs w:val="29"/>
                <w:color w:val="auto"/>
                <w:w w:val="95"/>
                <w:vertAlign w:val="superscript"/>
              </w:rPr>
              <w:t>(3)</w:t>
            </w:r>
          </w:p>
        </w:tc>
        <w:tc>
          <w:tcPr>
            <w:tcW w:w="12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value $0.01 per share</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240" w:type="dxa"/>
            <w:vAlign w:val="bottom"/>
            <w:tcBorders>
              <w:bottom w:val="single" w:sz="8" w:color="auto"/>
              <w:right w:val="single" w:sz="8" w:color="auto"/>
            </w:tcBorders>
            <w:vMerge w:val="continue"/>
          </w:tcPr>
          <w:p>
            <w:pPr>
              <w:spacing w:after="0"/>
              <w:rPr>
                <w:sz w:val="22"/>
                <w:szCs w:val="22"/>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68"/>
        </w:trPr>
        <w:tc>
          <w:tcPr>
            <w:tcW w:w="1260" w:type="dxa"/>
            <w:vAlign w:val="bottom"/>
            <w:tcBorders>
              <w:left w:val="single" w:sz="8" w:color="auto"/>
              <w:bottom w:val="single" w:sz="8" w:color="CCEEFF"/>
              <w:right w:val="single" w:sz="8" w:color="CCEEFF"/>
            </w:tcBorders>
            <w:shd w:val="clear" w:color="auto" w:fill="CCEEFF"/>
          </w:tcPr>
          <w:p>
            <w:pPr>
              <w:spacing w:after="0"/>
              <w:rPr>
                <w:sz w:val="22"/>
                <w:szCs w:val="22"/>
                <w:color w:val="auto"/>
              </w:rPr>
            </w:pPr>
          </w:p>
        </w:tc>
        <w:tc>
          <w:tcPr>
            <w:tcW w:w="2480" w:type="dxa"/>
            <w:vAlign w:val="bottom"/>
            <w:tcBorders>
              <w:bottom w:val="single" w:sz="8" w:color="CCEEFF"/>
              <w:right w:val="single" w:sz="8" w:color="CCEEFF"/>
            </w:tcBorders>
            <w:shd w:val="clear" w:color="auto" w:fill="CCEEFF"/>
          </w:tcPr>
          <w:p>
            <w:pPr>
              <w:spacing w:after="0"/>
              <w:rPr>
                <w:sz w:val="22"/>
                <w:szCs w:val="22"/>
                <w:color w:val="auto"/>
              </w:rPr>
            </w:pPr>
          </w:p>
        </w:tc>
        <w:tc>
          <w:tcPr>
            <w:tcW w:w="2560" w:type="dxa"/>
            <w:vAlign w:val="bottom"/>
            <w:tcBorders>
              <w:bottom w:val="single" w:sz="8" w:color="CCEEFF"/>
              <w:right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220" w:type="dxa"/>
            <w:vAlign w:val="bottom"/>
            <w:tcBorders>
              <w:bottom w:val="single" w:sz="8" w:color="CCEEFF"/>
              <w:right w:val="single" w:sz="8" w:color="auto"/>
            </w:tcBorders>
            <w:shd w:val="clear" w:color="auto" w:fill="CCEEFF"/>
          </w:tcPr>
          <w:p>
            <w:pPr>
              <w:spacing w:after="0"/>
              <w:rPr>
                <w:sz w:val="22"/>
                <w:szCs w:val="22"/>
                <w:color w:val="auto"/>
              </w:rPr>
            </w:pPr>
          </w:p>
        </w:tc>
        <w:tc>
          <w:tcPr>
            <w:tcW w:w="12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$91,902,600</w:t>
            </w:r>
          </w:p>
        </w:tc>
        <w:tc>
          <w:tcPr>
            <w:tcW w:w="1240" w:type="dxa"/>
            <w:vAlign w:val="bottom"/>
            <w:tcBorders>
              <w:bottom w:val="single" w:sz="8" w:color="CCEEFF"/>
              <w:right w:val="single" w:sz="8" w:color="auto"/>
            </w:tcBorders>
            <w:shd w:val="clear" w:color="auto" w:fill="CCEEFF"/>
          </w:tcPr>
          <w:p>
            <w:pPr>
              <w:spacing w:after="0"/>
              <w:rPr>
                <w:sz w:val="22"/>
                <w:szCs w:val="22"/>
                <w:color w:val="auto"/>
              </w:rPr>
            </w:pPr>
          </w:p>
        </w:tc>
        <w:tc>
          <w:tcPr>
            <w:tcW w:w="1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$12,692</w:t>
            </w:r>
          </w:p>
        </w:tc>
        <w:tc>
          <w:tcPr>
            <w:tcW w:w="0" w:type="dxa"/>
            <w:vAlign w:val="bottom"/>
          </w:tcPr>
          <w:p>
            <w:pPr>
              <w:spacing w:after="0"/>
              <w:rPr>
                <w:sz w:val="1"/>
                <w:szCs w:val="1"/>
                <w:color w:val="auto"/>
              </w:rPr>
            </w:pPr>
          </w:p>
        </w:tc>
      </w:tr>
      <w:tr>
        <w:trPr>
          <w:trHeight w:val="237"/>
        </w:trPr>
        <w:tc>
          <w:tcPr>
            <w:tcW w:w="1260" w:type="dxa"/>
            <w:vAlign w:val="bottom"/>
            <w:tcBorders>
              <w:top w:val="single" w:sz="8" w:color="auto"/>
              <w:left w:val="single" w:sz="8" w:color="auto"/>
            </w:tcBorders>
          </w:tcPr>
          <w:p>
            <w:pPr>
              <w:spacing w:after="0"/>
              <w:rPr>
                <w:sz w:val="20"/>
                <w:szCs w:val="20"/>
                <w:color w:val="auto"/>
              </w:rPr>
            </w:pPr>
          </w:p>
        </w:tc>
        <w:tc>
          <w:tcPr>
            <w:tcW w:w="2480" w:type="dxa"/>
            <w:vAlign w:val="bottom"/>
            <w:tcBorders>
              <w:top w:val="single" w:sz="8" w:color="auto"/>
            </w:tcBorders>
          </w:tcPr>
          <w:p>
            <w:pPr>
              <w:spacing w:after="0"/>
              <w:rPr>
                <w:sz w:val="20"/>
                <w:szCs w:val="20"/>
                <w:color w:val="auto"/>
              </w:rPr>
            </w:pPr>
          </w:p>
        </w:tc>
        <w:tc>
          <w:tcPr>
            <w:tcW w:w="2560" w:type="dxa"/>
            <w:vAlign w:val="bottom"/>
            <w:tcBorders>
              <w:top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1220" w:type="dxa"/>
            <w:vAlign w:val="bottom"/>
            <w:tcBorders>
              <w:top w:val="single" w:sz="8" w:color="auto"/>
              <w:right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spacing w:after="0"/>
              <w:rPr>
                <w:sz w:val="20"/>
                <w:szCs w:val="20"/>
                <w:color w:val="auto"/>
              </w:rPr>
            </w:pPr>
          </w:p>
        </w:tc>
        <w:tc>
          <w:tcPr>
            <w:tcW w:w="1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1260" w:type="dxa"/>
            <w:vAlign w:val="bottom"/>
            <w:tcBorders>
              <w:left w:val="single" w:sz="8" w:color="auto"/>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260" w:type="dxa"/>
            <w:vAlign w:val="bottom"/>
            <w:tcBorders>
              <w:left w:val="single" w:sz="8" w:color="auto"/>
              <w:bottom w:val="single" w:sz="8" w:color="CCEEFF"/>
              <w:right w:val="single" w:sz="8" w:color="CCEEFF"/>
            </w:tcBorders>
            <w:shd w:val="clear" w:color="auto" w:fill="CCEEFF"/>
          </w:tcPr>
          <w:p>
            <w:pPr>
              <w:spacing w:after="0"/>
              <w:rPr>
                <w:sz w:val="21"/>
                <w:szCs w:val="21"/>
                <w:color w:val="auto"/>
              </w:rPr>
            </w:pPr>
          </w:p>
        </w:tc>
        <w:tc>
          <w:tcPr>
            <w:tcW w:w="2480" w:type="dxa"/>
            <w:vAlign w:val="bottom"/>
            <w:tcBorders>
              <w:bottom w:val="single" w:sz="8" w:color="CCEEFF"/>
              <w:right w:val="single" w:sz="8" w:color="CCEEFF"/>
            </w:tcBorders>
            <w:shd w:val="clear" w:color="auto" w:fill="CCEEFF"/>
          </w:tcPr>
          <w:p>
            <w:pPr>
              <w:spacing w:after="0"/>
              <w:rPr>
                <w:sz w:val="21"/>
                <w:szCs w:val="21"/>
                <w:color w:val="auto"/>
              </w:rPr>
            </w:pPr>
          </w:p>
        </w:tc>
        <w:tc>
          <w:tcPr>
            <w:tcW w:w="1320" w:type="dxa"/>
            <w:vAlign w:val="bottom"/>
            <w:tcBorders>
              <w:bottom w:val="single" w:sz="8" w:color="CCEEFF"/>
              <w:right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220" w:type="dxa"/>
            <w:vAlign w:val="bottom"/>
            <w:tcBorders>
              <w:bottom w:val="single" w:sz="8" w:color="CCEEFF"/>
              <w:right w:val="single" w:sz="8" w:color="auto"/>
            </w:tcBorders>
            <w:shd w:val="clear" w:color="auto" w:fill="CCEEFF"/>
          </w:tcPr>
          <w:p>
            <w:pPr>
              <w:spacing w:after="0"/>
              <w:rPr>
                <w:sz w:val="21"/>
                <w:szCs w:val="21"/>
                <w:color w:val="auto"/>
              </w:rPr>
            </w:pPr>
          </w:p>
        </w:tc>
        <w:tc>
          <w:tcPr>
            <w:tcW w:w="1220" w:type="dxa"/>
            <w:vAlign w:val="bottom"/>
            <w:tcBorders>
              <w:bottom w:val="single" w:sz="8" w:color="CCEEFF"/>
              <w:right w:val="single" w:sz="8" w:color="auto"/>
            </w:tcBorders>
            <w:shd w:val="clear" w:color="auto" w:fill="CCEEFF"/>
          </w:tcPr>
          <w:p>
            <w:pPr>
              <w:spacing w:after="0"/>
              <w:rPr>
                <w:sz w:val="21"/>
                <w:szCs w:val="21"/>
                <w:color w:val="auto"/>
              </w:rPr>
            </w:pPr>
          </w:p>
        </w:tc>
        <w:tc>
          <w:tcPr>
            <w:tcW w:w="1240" w:type="dxa"/>
            <w:vAlign w:val="bottom"/>
            <w:tcBorders>
              <w:bottom w:val="single" w:sz="8" w:color="CCEEFF"/>
              <w:right w:val="single" w:sz="8" w:color="auto"/>
            </w:tcBorders>
            <w:shd w:val="clear" w:color="auto" w:fill="CCEEFF"/>
          </w:tcPr>
          <w:p>
            <w:pPr>
              <w:spacing w:after="0"/>
              <w:rPr>
                <w:sz w:val="21"/>
                <w:szCs w:val="21"/>
                <w:color w:val="auto"/>
              </w:rPr>
            </w:pPr>
          </w:p>
        </w:tc>
        <w:tc>
          <w:tcPr>
            <w:tcW w:w="1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$12,692</w:t>
            </w:r>
          </w:p>
        </w:tc>
        <w:tc>
          <w:tcPr>
            <w:tcW w:w="0" w:type="dxa"/>
            <w:vAlign w:val="bottom"/>
          </w:tcPr>
          <w:p>
            <w:pPr>
              <w:spacing w:after="0"/>
              <w:rPr>
                <w:sz w:val="1"/>
                <w:szCs w:val="1"/>
                <w:color w:val="auto"/>
              </w:rPr>
            </w:pPr>
          </w:p>
        </w:tc>
      </w:tr>
      <w:tr>
        <w:trPr>
          <w:trHeight w:val="20"/>
        </w:trPr>
        <w:tc>
          <w:tcPr>
            <w:tcW w:w="12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80" w:type="dxa"/>
            <w:vAlign w:val="bottom"/>
            <w:tcBorders>
              <w:right w:val="single" w:sz="8" w:color="auto"/>
            </w:tcBorders>
            <w:shd w:val="clear" w:color="auto" w:fill="000000"/>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320" w:right="400" w:hanging="312"/>
        <w:spacing w:after="0" w:line="266" w:lineRule="auto"/>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Registration Statement also covers any additional securities of Global Ship Lease,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that may be offered or issued in connection with any stock split, stock dividend, recapitalization, or pursuant to anti-dilution provisions.</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Class A Common Shares issuable under the Company’s 2019 Omnibus Incentive Plan, as amended and restated (the “</w:t>
      </w:r>
      <w:r>
        <w:rPr>
          <w:rFonts w:ascii="Times New Roman" w:cs="Times New Roman" w:eastAsia="Times New Roman" w:hAnsi="Times New Roman"/>
          <w:sz w:val="18"/>
          <w:szCs w:val="18"/>
          <w:u w:val="single" w:color="auto"/>
          <w:color w:val="auto"/>
        </w:rPr>
        <w:t>2019 Plan</w:t>
      </w:r>
      <w:r>
        <w:rPr>
          <w:rFonts w:ascii="Times New Roman" w:cs="Times New Roman" w:eastAsia="Times New Roman" w:hAnsi="Times New Roman"/>
          <w:sz w:val="18"/>
          <w:szCs w:val="18"/>
          <w:color w:val="auto"/>
        </w:rPr>
        <w:t>”).</w:t>
      </w:r>
    </w:p>
    <w:p>
      <w:pPr>
        <w:spacing w:after="0" w:line="103" w:lineRule="exact"/>
        <w:rPr>
          <w:rFonts w:ascii="Times New Roman" w:cs="Times New Roman" w:eastAsia="Times New Roman" w:hAnsi="Times New Roman"/>
          <w:sz w:val="18"/>
          <w:szCs w:val="18"/>
          <w:color w:val="auto"/>
        </w:rPr>
      </w:pPr>
    </w:p>
    <w:p>
      <w:pPr>
        <w:ind w:left="320" w:right="280" w:hanging="312"/>
        <w:spacing w:after="0" w:line="256" w:lineRule="auto"/>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covers the resale by certain selling securityholders named in the Reoffer Prospectus included in and filed with the Registration Statement, consisting of (i) 2,430,000 Class A Common Shares under the 2019 Plan for which no additional registration fee is required pursuant to Rule 457(h)(3) under the Securities Act, and (ii) 1,253,005 Class A Common Shares under the 2019 Plan for which the registration fee has been previously paid in connection with the prior registration of such shares in Registration Statements on Form S-8 (File Nos. 333-258992 and 333-264113) (collectively, the “</w:t>
      </w:r>
      <w:r>
        <w:rPr>
          <w:rFonts w:ascii="Times New Roman" w:cs="Times New Roman" w:eastAsia="Times New Roman" w:hAnsi="Times New Roman"/>
          <w:sz w:val="18"/>
          <w:szCs w:val="18"/>
          <w:u w:val="single" w:color="auto"/>
          <w:color w:val="auto"/>
        </w:rPr>
        <w:t>Prior Registration Statements</w:t>
      </w:r>
      <w:r>
        <w:rPr>
          <w:rFonts w:ascii="Times New Roman" w:cs="Times New Roman" w:eastAsia="Times New Roman" w:hAnsi="Times New Roman"/>
          <w:sz w:val="18"/>
          <w:szCs w:val="18"/>
          <w:color w:val="auto"/>
        </w:rPr>
        <w:t>”). Pursuant to Rule 429 under the Securities Act the Registration Statement is deemed to be a post-effective amendment to the Prior Registration Statements.</w:t>
      </w:r>
    </w:p>
    <w:p>
      <w:pPr>
        <w:spacing w:after="0" w:line="65" w:lineRule="exact"/>
        <w:rPr>
          <w:rFonts w:ascii="Times New Roman" w:cs="Times New Roman" w:eastAsia="Times New Roman" w:hAnsi="Times New Roman"/>
          <w:sz w:val="18"/>
          <w:szCs w:val="18"/>
          <w:color w:val="auto"/>
        </w:rPr>
      </w:pPr>
    </w:p>
    <w:p>
      <w:pPr>
        <w:ind w:left="320" w:right="260" w:hanging="312"/>
        <w:spacing w:after="0" w:line="266" w:lineRule="auto"/>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in accordance with Rule 457(c) under the Securities Act. The proposed maximum offering price per unit is estimated to be $37.82, based on the average of the high and low prices of the Class A common shares as reported on the New York Stock Exchange on March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60"/>
      </w:cols>
      <w:pgMar w:left="320" w:top="30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decimal"/>
      <w:start w:val="5"/>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1">
    <w:nsid w:val="DED7263"/>
    <w:multiLevelType w:val="hybridMultilevel"/>
    <w:lvl w:ilvl="0">
      <w:lvlJc w:val="left"/>
      <w:lvlText w:val="%1"/>
      <w:numFmt w:val="lowerLetter"/>
      <w:start w:val="1"/>
    </w:lvl>
    <w:lvl w:ilvl="1">
      <w:lvlJc w:val="left"/>
      <w:lvlText w:val="(%2)"/>
      <w:numFmt w:val="decimal"/>
      <w:start w:val="2"/>
    </w:lvl>
  </w:abstractNum>
  <w:abstractNum w:abstractNumId="12">
    <w:nsid w:val="7FDCC233"/>
    <w:multiLevelType w:val="hybridMultilevel"/>
    <w:lvl w:ilvl="0">
      <w:lvlJc w:val="left"/>
      <w:lvlText w:val="(%1)"/>
      <w:numFmt w:val="lowerLetter"/>
      <w:start w:val="2"/>
    </w:lvl>
    <w:lvl w:ilvl="1">
      <w:lvlJc w:val="left"/>
      <w:lvlText w:val="%2"/>
      <w:numFmt w:val="decimal"/>
      <w:start w:val="1"/>
    </w:lvl>
  </w:abstractNum>
  <w:abstractNum w:abstractNumId="13">
    <w:nsid w:val="1BEFD79F"/>
    <w:multiLevelType w:val="hybridMultilevel"/>
    <w:lvl w:ilvl="0">
      <w:lvlJc w:val="left"/>
      <w:lvlText w:val="(%1)"/>
      <w:numFmt w:val="lowerLetter"/>
      <w:start w:val="7"/>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jpeg"/><Relationship Id="rId50" Type="http://schemas.openxmlformats.org/officeDocument/2006/relationships/image" Target="media/image38.png"/><Relationship Id="rId51" Type="http://schemas.openxmlformats.org/officeDocument/2006/relationships/image" Target="media/image39.jpe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jpe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31" Type="http://schemas.openxmlformats.org/officeDocument/2006/relationships/hyperlink" Target="https://www.sec.gov/ix?doc=/Archives/edgar/data/1430725/000114036126009637/gsl-20251231.htm" TargetMode="External"/><Relationship Id="rId32" Type="http://schemas.openxmlformats.org/officeDocument/2006/relationships/hyperlink" Target="https://www.sec.gov/Archives/edgar/data/1430725/000119312508174927/d8a12b.htm" TargetMode="External"/><Relationship Id="rId33" Type="http://schemas.openxmlformats.org/officeDocument/2006/relationships/hyperlink" Target="https://www.sec.gov/Archives/edgar/data/1430725/000091957419002599/d8211773_8a-12ba.htm" TargetMode="External"/><Relationship Id="rId37" Type="http://schemas.openxmlformats.org/officeDocument/2006/relationships/hyperlink" Target="https://www.sec.gov/Archives/edgar/data/1430725/000091957419002599/d8213862_ex3-1.htm" TargetMode="External"/><Relationship Id="rId43" Type="http://schemas.openxmlformats.org/officeDocument/2006/relationships/hyperlink" Target="https://www.sec.gov/Archives/edgar/data/1430725/000114036126009637/exhibit4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2026-03-16T16:24:16Z</dcterms:created>
  <dcterms:modified xsi:type="dcterms:W3CDTF">2026-03-16T16:24:16Z</dcterms:modified>
</cp:coreProperties>
</file>