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20-F/A</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8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2008</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300" w:hanging="452"/>
        <w:spacing w:after="0" w:line="262" w:lineRule="auto"/>
        <w:tabs>
          <w:tab w:leader="none" w:pos="460" w:val="left"/>
        </w:tabs>
        <w:numPr>
          <w:ilvl w:val="0"/>
          <w:numId w:val="3"/>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140" w:hanging="452"/>
        <w:spacing w:after="0" w:line="262" w:lineRule="auto"/>
        <w:tabs>
          <w:tab w:leader="none" w:pos="460" w:val="left"/>
        </w:tabs>
        <w:numPr>
          <w:ilvl w:val="0"/>
          <w:numId w:val="4"/>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-8890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Republic of The Marshall Islands</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 Portland House</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26"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r>
      <w:tr>
        <w:trPr>
          <w:trHeight w:val="194"/>
        </w:trPr>
        <w:tc>
          <w:tcPr>
            <w:tcW w:w="5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Class A Common Shares, par value of $0.01 per share</w:t>
            </w:r>
          </w:p>
        </w:tc>
        <w:tc>
          <w:tcPr>
            <w:tcW w:w="240" w:type="dxa"/>
            <w:vAlign w:val="bottom"/>
          </w:tcPr>
          <w:p>
            <w:pPr>
              <w:spacing w:after="0"/>
              <w:rPr>
                <w:sz w:val="16"/>
                <w:szCs w:val="16"/>
                <w:color w:val="auto"/>
              </w:rPr>
            </w:pPr>
          </w:p>
        </w:tc>
        <w:tc>
          <w:tcPr>
            <w:tcW w:w="5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216"/>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230"/>
        </w:trPr>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33,968,361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7,405,956 Class B Common Shares, par value of $0.01 per share</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12,375,000 Class C Common Shares, par value of $0.01 per share</w:t>
      </w:r>
    </w:p>
    <w:p>
      <w:pPr>
        <w:spacing w:after="0" w:line="145" w:lineRule="exact"/>
        <w:rPr>
          <w:sz w:val="20"/>
          <w:szCs w:val="20"/>
          <w:color w:val="auto"/>
        </w:rPr>
      </w:pPr>
    </w:p>
    <w:p>
      <w:pPr>
        <w:spacing w:after="0" w:line="207" w:lineRule="exact"/>
        <w:tabs>
          <w:tab w:leader="none" w:pos="840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8" w:lineRule="exact"/>
        <w:rPr>
          <w:sz w:val="20"/>
          <w:szCs w:val="20"/>
          <w:color w:val="auto"/>
        </w:rPr>
      </w:pPr>
    </w:p>
    <w:p>
      <w:pPr>
        <w:ind w:right="720"/>
        <w:spacing w:after="0" w:line="232"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2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3" w:lineRule="exact"/>
        <w:rPr>
          <w:sz w:val="20"/>
          <w:szCs w:val="20"/>
          <w:color w:val="auto"/>
        </w:rPr>
      </w:pPr>
    </w:p>
    <w:p>
      <w:pPr>
        <w:ind w:left="3060"/>
        <w:spacing w:after="0" w:line="207" w:lineRule="exact"/>
        <w:tabs>
          <w:tab w:leader="none" w:pos="5020" w:val="left"/>
          <w:tab w:leader="none" w:pos="66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45"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International Financial Reporting Standards as Issued by the International Accounting Standards Board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Other </w:t>
      </w:r>
      <w:r>
        <w:rPr>
          <w:rFonts w:ascii="MS PGothic" w:cs="MS PGothic" w:eastAsia="MS PGothic" w:hAnsi="MS PGothic"/>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45" w:lineRule="exact"/>
        <w:rPr>
          <w:sz w:val="20"/>
          <w:szCs w:val="20"/>
          <w:color w:val="auto"/>
        </w:rPr>
      </w:pPr>
    </w:p>
    <w:p>
      <w:pPr>
        <w:ind w:left="460"/>
        <w:spacing w:after="0" w:line="207" w:lineRule="exact"/>
        <w:tabs>
          <w:tab w:leader="none" w:pos="1420" w:val="left"/>
        </w:tabs>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Amendment No. 1 on Form 20-F/A amends and restates in its entirety the annual report of Global Ship Lease, Inc. on Form 20-F for the year ended December 31, 2008 as filed with the Securities and Exchange Commission on June 25, 2009 to reflect the material developments, including consequences of the Credit Facility Amendment dated August 20, 2009.</w:t>
      </w:r>
    </w:p>
    <w:p>
      <w:pPr>
        <w:sectPr>
          <w:pgSz w:w="11900" w:h="16838" w:orient="portrait"/>
          <w:cols w:equalWidth="0" w:num="1">
            <w:col w:w="11280"/>
          </w:cols>
          <w:pgMar w:left="240" w:top="455"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REPORT ON FORM 20-F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gridSpan w:val="2"/>
            <w:vMerge w:val="restart"/>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PART I</w:t>
              </w:r>
            </w:hyperlink>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Identity of Directors, Senior Management and Advisors</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3920" w:type="dxa"/>
            <w:vAlign w:val="bottom"/>
            <w:tcBorders>
              <w:top w:val="single" w:sz="8" w:color="0000EE"/>
            </w:tcBorders>
            <w:gridSpan w:val="2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Offer Statistics and Expected Timetable</w:t>
              </w:r>
            </w:hyperlink>
          </w:p>
        </w:tc>
        <w:tc>
          <w:tcPr>
            <w:tcW w:w="260" w:type="dxa"/>
            <w:vAlign w:val="bottom"/>
            <w:gridSpan w:val="2"/>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28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Key Information</w:t>
              </w:r>
            </w:hyperlink>
          </w:p>
        </w:tc>
        <w:tc>
          <w:tcPr>
            <w:tcW w:w="1380" w:type="dxa"/>
            <w:vAlign w:val="bottom"/>
            <w:gridSpan w:val="8"/>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5"/>
              </w:rPr>
            </w:pPr>
            <w:hyperlink w:anchor="page7">
              <w:r>
                <w:rPr>
                  <w:rFonts w:ascii="Times New Roman" w:cs="Times New Roman" w:eastAsia="Times New Roman" w:hAnsi="Times New Roman"/>
                  <w:sz w:val="18"/>
                  <w:szCs w:val="18"/>
                  <w:color w:val="0000EE"/>
                  <w:w w:val="95"/>
                </w:rPr>
                <w:t>Selected Financial Data</w:t>
              </w:r>
            </w:hyperlink>
          </w:p>
        </w:tc>
        <w:tc>
          <w:tcPr>
            <w:tcW w:w="2180" w:type="dxa"/>
            <w:vAlign w:val="bottom"/>
            <w:gridSpan w:val="18"/>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Capitalization and Indebtedness</w:t>
              </w:r>
            </w:hyperlink>
          </w:p>
        </w:tc>
        <w:tc>
          <w:tcPr>
            <w:tcW w:w="1600" w:type="dxa"/>
            <w:vAlign w:val="bottom"/>
            <w:gridSpan w:val="12"/>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0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Reasons for the Offer and Use of Proceeds</w:t>
              </w:r>
            </w:hyperlink>
          </w:p>
        </w:tc>
        <w:tc>
          <w:tcPr>
            <w:tcW w:w="840" w:type="dxa"/>
            <w:vAlign w:val="bottom"/>
            <w:gridSpan w:val="4"/>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Risk Factors</w:t>
              </w:r>
            </w:hyperlink>
          </w:p>
        </w:tc>
        <w:tc>
          <w:tcPr>
            <w:tcW w:w="2960" w:type="dxa"/>
            <w:vAlign w:val="bottom"/>
            <w:gridSpan w:val="27"/>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Information on the Company</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History and Development of the Company</w:t>
              </w:r>
            </w:hyperlink>
          </w:p>
        </w:tc>
        <w:tc>
          <w:tcPr>
            <w:tcW w:w="860" w:type="dxa"/>
            <w:vAlign w:val="bottom"/>
            <w:gridSpan w:val="5"/>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3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Business Overview</w:t>
              </w:r>
            </w:hyperlink>
          </w:p>
        </w:tc>
        <w:tc>
          <w:tcPr>
            <w:tcW w:w="2480" w:type="dxa"/>
            <w:vAlign w:val="bottom"/>
            <w:gridSpan w:val="22"/>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5"/>
              </w:rPr>
            </w:pPr>
            <w:hyperlink w:anchor="page42">
              <w:r>
                <w:rPr>
                  <w:rFonts w:ascii="Times New Roman" w:cs="Times New Roman" w:eastAsia="Times New Roman" w:hAnsi="Times New Roman"/>
                  <w:sz w:val="18"/>
                  <w:szCs w:val="18"/>
                  <w:color w:val="0000EE"/>
                  <w:w w:val="95"/>
                </w:rPr>
                <w:t>Organizational Structure</w:t>
              </w:r>
            </w:hyperlink>
          </w:p>
        </w:tc>
        <w:tc>
          <w:tcPr>
            <w:tcW w:w="2120" w:type="dxa"/>
            <w:vAlign w:val="bottom"/>
            <w:gridSpan w:val="16"/>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Property, Plants and Equipment</w:t>
              </w:r>
            </w:hyperlink>
          </w:p>
        </w:tc>
        <w:tc>
          <w:tcPr>
            <w:tcW w:w="1620" w:type="dxa"/>
            <w:vAlign w:val="bottom"/>
            <w:gridSpan w:val="13"/>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3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Operating and Financial Review and Prospects</w:t>
              </w:r>
            </w:hyperlink>
          </w:p>
        </w:tc>
        <w:tc>
          <w:tcPr>
            <w:tcW w:w="880" w:type="dxa"/>
            <w:vAlign w:val="bottom"/>
            <w:gridSpan w:val="6"/>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Results of Operations</w:t>
              </w:r>
            </w:hyperlink>
          </w:p>
        </w:tc>
        <w:tc>
          <w:tcPr>
            <w:tcW w:w="2320" w:type="dxa"/>
            <w:vAlign w:val="bottom"/>
            <w:gridSpan w:val="19"/>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Liquidity and Capital Resources</w:t>
              </w:r>
            </w:hyperlink>
          </w:p>
        </w:tc>
        <w:tc>
          <w:tcPr>
            <w:tcW w:w="1580" w:type="dxa"/>
            <w:vAlign w:val="bottom"/>
            <w:gridSpan w:val="11"/>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840" w:type="dxa"/>
            <w:vAlign w:val="bottom"/>
            <w:gridSpan w:val="2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Research and Development</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9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Trend Information</w:t>
              </w:r>
            </w:hyperlink>
          </w:p>
        </w:tc>
        <w:tc>
          <w:tcPr>
            <w:tcW w:w="1920" w:type="dxa"/>
            <w:vAlign w:val="bottom"/>
            <w:gridSpan w:val="14"/>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840" w:type="dxa"/>
            <w:vAlign w:val="bottom"/>
            <w:gridSpan w:val="29"/>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Off-Balance Sheet Arrangements</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7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Contractual Obligations</w:t>
              </w:r>
            </w:hyperlink>
          </w:p>
        </w:tc>
        <w:tc>
          <w:tcPr>
            <w:tcW w:w="620" w:type="dxa"/>
            <w:vAlign w:val="bottom"/>
            <w:tcBorders>
              <w:top w:val="single" w:sz="8" w:color="0000EE"/>
            </w:tcBorders>
            <w:gridSpan w:val="7"/>
          </w:tcPr>
          <w:p>
            <w:pPr>
              <w:spacing w:after="0"/>
              <w:rPr>
                <w:sz w:val="24"/>
                <w:szCs w:val="24"/>
                <w:color w:val="auto"/>
              </w:rPr>
            </w:pPr>
          </w:p>
        </w:tc>
        <w:tc>
          <w:tcPr>
            <w:tcW w:w="1520" w:type="dxa"/>
            <w:vAlign w:val="bottom"/>
            <w:gridSpan w:val="10"/>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Directors, Senior Management and Employees</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294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Directors and Senior Management</w:t>
              </w:r>
            </w:hyperlink>
          </w:p>
        </w:tc>
        <w:tc>
          <w:tcPr>
            <w:tcW w:w="900" w:type="dxa"/>
            <w:vAlign w:val="bottom"/>
            <w:gridSpan w:val="7"/>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Compensation</w:t>
              </w:r>
            </w:hyperlink>
          </w:p>
        </w:tc>
        <w:tc>
          <w:tcPr>
            <w:tcW w:w="1440" w:type="dxa"/>
            <w:vAlign w:val="bottom"/>
            <w:gridSpan w:val="9"/>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Board Practices</w:t>
              </w:r>
            </w:hyperlink>
          </w:p>
        </w:tc>
        <w:tc>
          <w:tcPr>
            <w:tcW w:w="2740" w:type="dxa"/>
            <w:vAlign w:val="bottom"/>
            <w:gridSpan w:val="25"/>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Employees</w:t>
              </w:r>
            </w:hyperlink>
          </w:p>
        </w:tc>
        <w:tc>
          <w:tcPr>
            <w:tcW w:w="3000" w:type="dxa"/>
            <w:vAlign w:val="bottom"/>
            <w:gridSpan w:val="28"/>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1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Share Ownership</w:t>
              </w:r>
            </w:hyperlink>
          </w:p>
        </w:tc>
        <w:tc>
          <w:tcPr>
            <w:tcW w:w="2560" w:type="dxa"/>
            <w:vAlign w:val="bottom"/>
            <w:gridSpan w:val="23"/>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Major Shareholders and Related Party Transactions</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328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Major Shareholders</w:t>
              </w:r>
            </w:hyperlink>
          </w:p>
        </w:tc>
        <w:tc>
          <w:tcPr>
            <w:tcW w:w="560" w:type="dxa"/>
            <w:vAlign w:val="bottom"/>
            <w:gridSpan w:val="3"/>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5"/>
              </w:rPr>
            </w:pPr>
            <w:hyperlink w:anchor="page64">
              <w:r>
                <w:rPr>
                  <w:rFonts w:ascii="Times New Roman" w:cs="Times New Roman" w:eastAsia="Times New Roman" w:hAnsi="Times New Roman"/>
                  <w:sz w:val="18"/>
                  <w:szCs w:val="18"/>
                  <w:color w:val="0000EE"/>
                  <w:w w:val="95"/>
                </w:rPr>
                <w:t>Related Party Transactions</w:t>
              </w:r>
            </w:hyperlink>
          </w:p>
        </w:tc>
        <w:tc>
          <w:tcPr>
            <w:tcW w:w="1960" w:type="dxa"/>
            <w:vAlign w:val="bottom"/>
            <w:gridSpan w:val="15"/>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Information</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380" w:type="dxa"/>
            <w:vAlign w:val="bottom"/>
            <w:gridSpan w:val="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7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Financial Statements and Other Financial Information</w:t>
              </w:r>
            </w:hyperlink>
          </w:p>
        </w:tc>
        <w:tc>
          <w:tcPr>
            <w:tcW w:w="60" w:type="dxa"/>
            <w:vAlign w:val="bottom"/>
          </w:tcPr>
          <w:p>
            <w:pPr>
              <w:spacing w:after="0"/>
              <w:rPr>
                <w:sz w:val="24"/>
                <w:szCs w:val="24"/>
                <w:color w:val="auto"/>
              </w:rPr>
            </w:pPr>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840" w:type="dxa"/>
            <w:vAlign w:val="bottom"/>
            <w:gridSpan w:val="29"/>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Significant Changes</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40" w:type="dxa"/>
            <w:vAlign w:val="bottom"/>
            <w:gridSpan w:val="20"/>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4180" w:type="dxa"/>
            <w:vAlign w:val="bottom"/>
            <w:gridSpan w:val="3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The Offer and Listing</w:t>
              </w:r>
            </w:hyperlink>
          </w:p>
        </w:tc>
        <w:tc>
          <w:tcPr>
            <w:tcW w:w="5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83"/>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3"/>
          </w:tcPr>
          <w:p>
            <w:pPr>
              <w:jc w:val="right"/>
              <w:ind w:right="570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gridSpan w:val="24"/>
            <w:vMerge w:val="restart"/>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Additional Information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460" w:type="dxa"/>
            <w:vAlign w:val="bottom"/>
            <w:gridSpan w:val="3"/>
            <w:vMerge w:val="continue"/>
          </w:tcPr>
          <w:p>
            <w:pPr>
              <w:spacing w:after="0"/>
              <w:rPr>
                <w:sz w:val="14"/>
                <w:szCs w:val="14"/>
                <w:color w:val="auto"/>
              </w:rPr>
            </w:pPr>
          </w:p>
        </w:tc>
        <w:tc>
          <w:tcPr>
            <w:tcW w:w="9680" w:type="dxa"/>
            <w:vAlign w:val="bottom"/>
            <w:gridSpan w:val="2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13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Share Capital</w:t>
              </w:r>
            </w:hyperlink>
          </w:p>
        </w:tc>
        <w:tc>
          <w:tcPr>
            <w:tcW w:w="804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gridSpan w:val="2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hyperlink w:anchor="page68">
              <w:r>
                <w:rPr>
                  <w:rFonts w:ascii="Times New Roman" w:cs="Times New Roman" w:eastAsia="Times New Roman" w:hAnsi="Times New Roman"/>
                  <w:sz w:val="18"/>
                  <w:szCs w:val="18"/>
                  <w:color w:val="0000EE"/>
                </w:rPr>
                <w:t>Memorandum and Articles of Association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94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Material Contracts</w:t>
              </w:r>
            </w:hyperlink>
          </w:p>
        </w:tc>
        <w:tc>
          <w:tcPr>
            <w:tcW w:w="64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5"/>
              </w:rPr>
            </w:pPr>
            <w:hyperlink w:anchor="page68">
              <w:r>
                <w:rPr>
                  <w:rFonts w:ascii="Times New Roman" w:cs="Times New Roman" w:eastAsia="Times New Roman" w:hAnsi="Times New Roman"/>
                  <w:sz w:val="18"/>
                  <w:szCs w:val="18"/>
                  <w:color w:val="0000EE"/>
                  <w:w w:val="95"/>
                </w:rPr>
                <w:t>Exchange Controls</w:t>
              </w:r>
            </w:hyperlink>
          </w:p>
        </w:tc>
        <w:tc>
          <w:tcPr>
            <w:tcW w:w="800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340" w:type="dxa"/>
            <w:vAlign w:val="bottom"/>
            <w:gridSpan w:val="2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Taxation</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9340" w:type="dxa"/>
            <w:vAlign w:val="bottom"/>
            <w:gridSpan w:val="23"/>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Dividends and Paying Agents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20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Statements by Experts</w:t>
              </w:r>
            </w:hyperlink>
          </w:p>
        </w:tc>
        <w:tc>
          <w:tcPr>
            <w:tcW w:w="726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5"/>
              </w:rPr>
            </w:pPr>
            <w:hyperlink w:anchor="page76">
              <w:r>
                <w:rPr>
                  <w:rFonts w:ascii="Times New Roman" w:cs="Times New Roman" w:eastAsia="Times New Roman" w:hAnsi="Times New Roman"/>
                  <w:sz w:val="18"/>
                  <w:szCs w:val="18"/>
                  <w:color w:val="0000EE"/>
                  <w:w w:val="95"/>
                </w:rPr>
                <w:t>Documents on Display</w:t>
              </w:r>
            </w:hyperlink>
          </w:p>
        </w:tc>
        <w:tc>
          <w:tcPr>
            <w:tcW w:w="774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4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Quantitative and Qualitative Disclosures About Market Risk</w:t>
              </w:r>
            </w:hyperlink>
          </w:p>
        </w:tc>
        <w:tc>
          <w:tcPr>
            <w:tcW w:w="542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gridSpan w:val="24"/>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Description of Securities Other than Equity Securities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2"/>
              </w:rPr>
            </w:pPr>
            <w:hyperlink w:anchor="page78">
              <w:r>
                <w:rPr>
                  <w:rFonts w:ascii="Times New Roman" w:cs="Times New Roman" w:eastAsia="Times New Roman" w:hAnsi="Times New Roman"/>
                  <w:sz w:val="18"/>
                  <w:szCs w:val="18"/>
                  <w:color w:val="0000EE"/>
                  <w:w w:val="92"/>
                </w:rPr>
                <w:t>PART II</w:t>
              </w:r>
            </w:hyperlink>
          </w:p>
        </w:tc>
        <w:tc>
          <w:tcPr>
            <w:tcW w:w="860" w:type="dxa"/>
            <w:vAlign w:val="bottom"/>
            <w:gridSpan w:val="2"/>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gridSpan w:val="24"/>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Defaults, Dividend Arrearages and Delinquencies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Material Modifications to the Rights of Security Holders and Use of Proceeds</w:t>
              </w:r>
            </w:hyperlink>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15.</w:t>
            </w:r>
          </w:p>
        </w:tc>
        <w:tc>
          <w:tcPr>
            <w:tcW w:w="17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Controls and Procedures</w:t>
              </w:r>
            </w:hyperlink>
          </w:p>
        </w:tc>
        <w:tc>
          <w:tcPr>
            <w:tcW w:w="794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16A.</w:t>
            </w:r>
          </w:p>
        </w:tc>
        <w:tc>
          <w:tcPr>
            <w:tcW w:w="9680" w:type="dxa"/>
            <w:vAlign w:val="bottom"/>
            <w:gridSpan w:val="24"/>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Audit Committee Financial Expert</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16B.</w:t>
            </w:r>
          </w:p>
        </w:tc>
        <w:tc>
          <w:tcPr>
            <w:tcW w:w="10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Code of Ethics</w:t>
              </w:r>
            </w:hyperlink>
          </w:p>
        </w:tc>
        <w:tc>
          <w:tcPr>
            <w:tcW w:w="1380" w:type="dxa"/>
            <w:vAlign w:val="bottom"/>
            <w:tcBorders>
              <w:top w:val="single" w:sz="8" w:color="0000EE"/>
            </w:tcBorders>
            <w:gridSpan w:val="10"/>
          </w:tcPr>
          <w:p>
            <w:pPr>
              <w:spacing w:after="0"/>
              <w:rPr>
                <w:sz w:val="24"/>
                <w:szCs w:val="24"/>
                <w:color w:val="auto"/>
              </w:rPr>
            </w:pPr>
          </w:p>
        </w:tc>
        <w:tc>
          <w:tcPr>
            <w:tcW w:w="724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16C.</w:t>
            </w:r>
          </w:p>
        </w:tc>
        <w:tc>
          <w:tcPr>
            <w:tcW w:w="2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Principal Accountant Fees and Services</w:t>
              </w:r>
            </w:hyperlink>
          </w:p>
        </w:tc>
        <w:tc>
          <w:tcPr>
            <w:tcW w:w="688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16D.</w:t>
            </w:r>
          </w:p>
        </w:tc>
        <w:tc>
          <w:tcPr>
            <w:tcW w:w="4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Exemptions from the Listing Standards for Audit Committees</w:t>
              </w:r>
            </w:hyperlink>
          </w:p>
        </w:tc>
        <w:tc>
          <w:tcPr>
            <w:tcW w:w="532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16E.</w:t>
            </w:r>
          </w:p>
        </w:tc>
        <w:tc>
          <w:tcPr>
            <w:tcW w:w="49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Purchases of Equity Securities by the Issuer and Affiliated Purchasers</w:t>
              </w:r>
            </w:hyperlink>
          </w:p>
        </w:tc>
        <w:tc>
          <w:tcPr>
            <w:tcW w:w="47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16F.</w:t>
            </w:r>
          </w:p>
        </w:tc>
        <w:tc>
          <w:tcPr>
            <w:tcW w:w="3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Change in Registrants’ Certifying Accountant</w:t>
              </w:r>
            </w:hyperlink>
          </w:p>
        </w:tc>
        <w:tc>
          <w:tcPr>
            <w:tcW w:w="644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16G.</w:t>
            </w:r>
          </w:p>
        </w:tc>
        <w:tc>
          <w:tcPr>
            <w:tcW w:w="9680" w:type="dxa"/>
            <w:vAlign w:val="bottom"/>
            <w:gridSpan w:val="24"/>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PART III</w:t>
              </w:r>
            </w:hyperlink>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17.</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80">
              <w:r>
                <w:rPr>
                  <w:rFonts w:ascii="Times New Roman" w:cs="Times New Roman" w:eastAsia="Times New Roman" w:hAnsi="Times New Roman"/>
                  <w:sz w:val="18"/>
                  <w:szCs w:val="18"/>
                  <w:color w:val="0000EE"/>
                  <w:w w:val="98"/>
                </w:rPr>
                <w:t>Financial Statements</w:t>
              </w:r>
            </w:hyperlink>
          </w:p>
        </w:tc>
        <w:tc>
          <w:tcPr>
            <w:tcW w:w="818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18.</w:t>
            </w:r>
          </w:p>
        </w:tc>
        <w:tc>
          <w:tcPr>
            <w:tcW w:w="1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80">
              <w:r>
                <w:rPr>
                  <w:rFonts w:ascii="Times New Roman" w:cs="Times New Roman" w:eastAsia="Times New Roman" w:hAnsi="Times New Roman"/>
                  <w:sz w:val="18"/>
                  <w:szCs w:val="18"/>
                  <w:color w:val="0000EE"/>
                  <w:w w:val="96"/>
                </w:rPr>
                <w:t>Financial Statements</w:t>
              </w:r>
            </w:hyperlink>
          </w:p>
        </w:tc>
        <w:tc>
          <w:tcPr>
            <w:tcW w:w="8200" w:type="dxa"/>
            <w:vAlign w:val="bottom"/>
            <w:gridSpan w:val="1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Item 19.</w:t>
            </w:r>
          </w:p>
        </w:tc>
        <w:tc>
          <w:tcPr>
            <w:tcW w:w="9680" w:type="dxa"/>
            <w:vAlign w:val="bottom"/>
            <w:gridSpan w:val="24"/>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Exhibits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83"/>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Global Ship Lease’s disclosure concerning its operations, cash flows, financial position, dividend policy and likelihood of success in acquiring additional vessels to expand its business.</w:t>
      </w:r>
    </w:p>
    <w:p>
      <w:pPr>
        <w:spacing w:after="0" w:line="135"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48"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or financial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future growth of the container shipping industry, including the rates of annual demand and supply growth;</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CMA CGM, our charterer and sole source of operating revenue, and its ability to pay charterhire in accordance with the charters;</w:t>
      </w:r>
    </w:p>
    <w:p>
      <w:pPr>
        <w:spacing w:after="0" w:line="38"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including the two newbuildings to be purchased from German interests in the fourth quarter of 2010, and other general corporate purposes;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ability to meet its financial covenants and repay its credit facility;</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business strategy and expected capital spending;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availability of crew, number of off-hire days, drydocking and survey requirements and insurance costs;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shipping industry trends, including charter rates and factors affecting supply and demand;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interest rates and inflation;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growth of global and various regional economies;</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incidental to vessel operation, including piracy, discharge of pollutants and vessel accidents and damage including total or constructive total loss;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capital expenditures needed to preserve its capital base;</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expectations about the availability of ships to purchase, the time that it may take to construct new ships, or the useful lives of its ships;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continued ability to enter into or renew long-term, fixed-rate charters;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performance of existing long-term, fixed-rate time charters;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ability to capitalize on its management team’s and board of directors’ relationships and reputations in the containership industry to its advantage;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and classification societies’ rules and regulations or actions taken by regulatory authorities;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availability of insurance on commercially reasonable terms;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laws and regulations including taxation;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“Risk Factors.”</w:t>
      </w:r>
    </w:p>
    <w:p>
      <w:pPr>
        <w:spacing w:after="0" w:line="16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455" w:right="3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Global Ship Lease’s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Global Ship Lease undertakes no obligation to publicly revise any forward-looking statement to reflect circumstances or events after the date of this Annual Report or to reflect the occurrence of unanticipated events. You should, however, review the factors and risks Global Ship Lease describes in the reports it will file from time to time with the Securities and Exchange Commission, or SEC, after the date of this Annual Report.</w:t>
      </w:r>
    </w:p>
    <w:p>
      <w:pPr>
        <w:spacing w:after="0" w:line="134"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“us” or “our” refers to Global Ship Lease, Inc.; “CMA CGM” refers to CMA CGM S.A., “initial Charterer” refers to CMA CGM in its capacity as a charterer of our vessels; and “Ship Manager” refers to CMA Ships, a wholly-owned subsidiary of CMA CGM and our current ship manager.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Global Ship Lease’s containerships, which we also refer to as vessels. Unless otherwise indicated, we calculate the average age of Global Ship Lease’s vessels on a weighted average basis, based on TEU capacity.</w:t>
      </w:r>
    </w:p>
    <w:p>
      <w:pPr>
        <w:spacing w:after="0" w:line="25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Offer Statistics and Expected Timetable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92"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You should read the information set forth below in conjunction with “Management’s Discussion and Analysis of Financial Condition and Results of Operations” and Global Ship Lease’s combined financial statements and notes thereto, which are referred to as Global Ship Lease’s combined financial statements, included elsewhere in this Annual Report.</w:t>
      </w:r>
    </w:p>
    <w:p>
      <w:pPr>
        <w:spacing w:after="0" w:line="132" w:lineRule="exact"/>
        <w:rPr>
          <w:sz w:val="20"/>
          <w:szCs w:val="20"/>
          <w:color w:val="auto"/>
        </w:rPr>
      </w:pPr>
    </w:p>
    <w:p>
      <w:pPr>
        <w:ind w:right="360" w:firstLine="456"/>
        <w:spacing w:after="0" w:line="289" w:lineRule="auto"/>
        <w:rPr>
          <w:sz w:val="20"/>
          <w:szCs w:val="20"/>
          <w:color w:val="auto"/>
        </w:rPr>
      </w:pPr>
      <w:r>
        <w:rPr>
          <w:rFonts w:ascii="Times New Roman" w:cs="Times New Roman" w:eastAsia="Times New Roman" w:hAnsi="Times New Roman"/>
          <w:sz w:val="16"/>
          <w:szCs w:val="16"/>
          <w:color w:val="auto"/>
        </w:rPr>
        <w:t>This selected historical combined financial and operating information gives effect to the Merger as at August 14, 2008 and consequently the combined financial statements up to December 31, 2008 include two distinct reporting periods (i) January 1, 2004 through August 14, 2008 (“Predecessor”) and</w:t>
      </w:r>
    </w:p>
    <w:p>
      <w:pPr>
        <w:spacing w:after="0" w:line="1" w:lineRule="exact"/>
        <w:rPr>
          <w:sz w:val="20"/>
          <w:szCs w:val="20"/>
          <w:color w:val="auto"/>
        </w:rPr>
      </w:pPr>
    </w:p>
    <w:p>
      <w:pPr>
        <w:ind w:right="60" w:firstLine="8"/>
        <w:spacing w:after="0" w:line="25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15, 2008 through December 31, 2008 (“Successor”), which relate to the period preceding the Merger and the period succeeding the Merger, respectively. Further, the company derived virtually all of its revenue in 2008 from chartering out its vessels under its continuing business of long-term fixed rate time charters whereas for periods before 2008, under predecessor accounting rules, it earned virtually all of its revenue from carrying containerized cargo. Global Ship Lease uses the term “Predecessor Group” to mean the container shipping services provided by the 10 secondhand vessels, which it purchased in December 2007, and two newly built vessels, which it purchased in January 2008, in Global Ship Lease’s initial fleet when these vessels were owned and operated by CMA CGM and its subsidiaries rather than to mean any particular entity or entities.</w:t>
      </w:r>
    </w:p>
    <w:p>
      <w:pPr>
        <w:spacing w:after="0" w:line="14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There are significant differences between Global Ship Lease’s business after the acquisition of its initial fleet in December 2007 and January 2008, when it started its time charter business, and the business of Global Ship Lease’s Predecessor Group when the vessels earned revenue from carrying cargo for customers. Accordingly, the selected historical combined financial data prior to January 2008, which includes mainly the Predecessor Group’s trading activities of the vessels earning freight rates or revenue from carrying cargo for third party customers, are not indicative of the results Global Ship Lease would have achieved had it historically operated as an independent shipowning company earning charterhire or of Global Ship Lease’s future results.</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for the Successor period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the company becoming listed on the New York Stock Exchange.</w:t>
      </w:r>
    </w:p>
    <w:p>
      <w:pPr>
        <w:spacing w:after="0" w:line="136"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historical selected combined financial data as of December 31, 2008 (that includes two distinct reporting periods before and after the Merger), 2007 and 2006 and for each of the years then ended together with such information for the year ended December 31, 2005 have been derived from audited and unaudited combined financial statements of Global Ship Lease, Inc. The historical selected combined financial data as of December 31, 2005 and 2004 and for the year ended December 31, 2004 is derived from carve-out information of the Predecessor Group prepared by management of CMA CGM. Certain financial information has been rounded,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certain totals shown in this Annual Report may not equal the arithmetic sum of the figures that should otherwise aggregate to those totals.</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selected financial information should be read together with, and is qualified in its entirety by, Global Ship Lease’s combined financial statements and the notes thereto included elsewhere in this Annual Report.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Selected combined financial information</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August 15 to</w:t>
            </w:r>
          </w:p>
        </w:tc>
        <w:tc>
          <w:tcPr>
            <w:tcW w:w="4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gridSpan w:val="3"/>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August 14</w:t>
            </w: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6"/>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w w:val="96"/>
              </w:rPr>
              <w:t>(in millions of U.S. dollars, except per share data)</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 revenue (1)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Time charter revenue (2)</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(3)</w:t>
            </w:r>
          </w:p>
        </w:tc>
        <w:tc>
          <w:tcPr>
            <w:tcW w:w="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 (expense)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(24.2)</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(96.2)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operating income/ (expense)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 on interest rate derivatives</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w:t>
            </w:r>
          </w:p>
        </w:tc>
        <w:tc>
          <w:tcPr>
            <w:tcW w:w="40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16.8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 in thousand $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Class A common share in $</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number of Class A common shares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in millions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Class B common share in $</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Nil</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number of Class B common shares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in millions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5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5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vessels</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906.9</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966.6</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674.6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(current and non-current portion)</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542.1</w:t>
            </w:r>
          </w:p>
        </w:tc>
        <w:tc>
          <w:tcPr>
            <w:tcW w:w="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 (6)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Selected combined financial information</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00" w:type="dxa"/>
            <w:vAlign w:val="bottom"/>
            <w:tcBorders>
              <w:right w:val="single" w:sz="8" w:color="auto"/>
            </w:tcBorders>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August 15 to</w:t>
            </w:r>
          </w:p>
        </w:tc>
        <w:tc>
          <w:tcPr>
            <w:tcW w:w="340" w:type="dxa"/>
            <w:vAlign w:val="bottom"/>
          </w:tcPr>
          <w:p>
            <w:pPr>
              <w:spacing w:after="0"/>
              <w:rPr>
                <w:sz w:val="10"/>
                <w:szCs w:val="10"/>
                <w:color w:val="auto"/>
              </w:rPr>
            </w:pPr>
          </w:p>
        </w:tc>
        <w:tc>
          <w:tcPr>
            <w:tcW w:w="126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January 1 to</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400" w:type="dxa"/>
            <w:vAlign w:val="bottom"/>
            <w:tcBorders>
              <w:right w:val="single" w:sz="8" w:color="auto"/>
            </w:tcBorders>
            <w:gridSpan w:val="2"/>
            <w:vMerge w:val="restart"/>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Pr>
          <w:p>
            <w:pPr>
              <w:spacing w:after="0"/>
              <w:rPr>
                <w:sz w:val="7"/>
                <w:szCs w:val="7"/>
                <w:color w:val="auto"/>
              </w:rPr>
            </w:pPr>
          </w:p>
        </w:tc>
        <w:tc>
          <w:tcPr>
            <w:tcW w:w="126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August 14</w:t>
            </w:r>
          </w:p>
        </w:tc>
        <w:tc>
          <w:tcPr>
            <w:tcW w:w="7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gridSpan w:val="4"/>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400" w:type="dxa"/>
            <w:vAlign w:val="bottom"/>
            <w:tcBorders>
              <w:right w:val="single" w:sz="8" w:color="auto"/>
            </w:tcBorders>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6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2007</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40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Pr>
          <w:p>
            <w:pPr>
              <w:spacing w:after="0"/>
              <w:rPr>
                <w:sz w:val="21"/>
                <w:szCs w:val="21"/>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 of U.S. dollars, except per share data)</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87.5</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4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 (time charter business)</w:t>
            </w:r>
          </w:p>
        </w:tc>
        <w:tc>
          <w:tcPr>
            <w:tcW w:w="76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Number of vessels in operation at period end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days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Utilization (7)</w:t>
            </w:r>
          </w:p>
        </w:tc>
        <w:tc>
          <w:tcPr>
            <w:tcW w:w="140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line item reports revenue earned by the Predecessor Group from carrying cargo on the vessels.</w:t>
      </w:r>
    </w:p>
    <w:p>
      <w:pPr>
        <w:spacing w:after="0" w:line="2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line item reports revenues earned from Global Ship Lease’s chartering business following the purchase of its initial fleet of 10 secondhand vessels in December 2007.</w:t>
      </w: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line item reports the voyage related expenses of carrying cargo by the Predecessor Group.</w:t>
      </w:r>
    </w:p>
    <w:p>
      <w:pPr>
        <w:spacing w:after="0" w:line="9"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combined financial statements include the general and administrative expenses incurred by its Predecessor Group related to its operations and such costs incurred by Global Ship Lease as a wholly owned subsidiary of CMA CGM in the predecessor period prior to the Merger. Subsequent to the completion of the Merger, Global Ship Lease will incur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2"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shares outstanding of Global Ship Lease as of June 30, 2008 has been used for purposes of computing earnings per share for all presented prior periods.</w:t>
      </w: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the former shareholder were not assumed by Global Ship Lease following completion of the Merger.</w:t>
      </w:r>
    </w:p>
    <w:p>
      <w:pPr>
        <w:spacing w:after="0" w:line="9"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is used to measure our efficiency in operating the fleet and is calculated by dividing the total number of operating days by the total number of ownership days, with the result expressed as a percentage. Operating days represent the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combined financial statements prepared under U.S. GAAP.</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b w:val="1"/>
          <w:bCs w:val="1"/>
          <w:color w:val="auto"/>
        </w:rPr>
        <w:t>Global Ship Lease’s credit facility contains restrictive covenants including a maximum leverage ratio based on borrowings under the credit facility expressed as a percentage of charter-free market value of its secured vessels. As a result of an amendment to the credit facility effective as of August 20, 2009 (the “Credit Facility Amendment”), regular testing of the leverage ratio covenant has been suspended effectively until April 30, 2011 and prepayment of outstanding borrowings commencing November 30, 2009 is required. If the leverage ratio tested as of April 30, 2011, or earlier in certain circumstances set forth in the credit facility, exceeds the permitted level, or if the company fails to meet the minimum scheduled prepayments, the lenders under the credit facility may require the company to make a prepayment of the borrowings or provide additional security, which would likely cause a default under the credit facility and which would raise substantial doubt about the company’s ability to continue as a going concern.</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Global Ship Lease entered into its current credit facility with Fortis Bank (Nederland) N.V. (the “Agent”), Citibank Global Markets Limited, HSH Nordbank AG, Sumitomo Mitsui Banking Corporation, Brussels Branch, KFW, DnB Nor Bank ASA and Bank of Scotland in order to acquire its current fleet, additional vessels and fund working capital, among other things. As of December 31, 2008, outstanding borrowings under the credit facility were $542.1 million. Subsequently, the company borrowed an additional $57.0 million under the credit facility to partially finance the purchase of the </w:t>
      </w:r>
      <w:r>
        <w:rPr>
          <w:rFonts w:ascii="Times New Roman" w:cs="Times New Roman" w:eastAsia="Times New Roman" w:hAnsi="Times New Roman"/>
          <w:sz w:val="18"/>
          <w:szCs w:val="18"/>
          <w:i w:val="1"/>
          <w:iCs w:val="1"/>
          <w:color w:val="auto"/>
        </w:rPr>
        <w:t>CMA CGM Berlioz</w:t>
      </w:r>
      <w:r>
        <w:rPr>
          <w:rFonts w:ascii="Times New Roman" w:cs="Times New Roman" w:eastAsia="Times New Roman" w:hAnsi="Times New Roman"/>
          <w:sz w:val="18"/>
          <w:szCs w:val="18"/>
          <w:color w:val="auto"/>
        </w:rPr>
        <w:t>. The credit facility contains restrictive covenants including minimum cash, minimum net worth, minimum EBITDA to debt service, maximum net debt to total capital and maximum leverage ratio, which is the ratio of borrowings under credit facility to the charter-free market value of security posted. If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Global Ship Lease exceeds the maximum permitted leverage ratio of 75%, the Agent may require a prepayment of borrowings or the delivery of additional security to the extent necessary to reduce the leverage ratio to 75%.</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Due to the global economic downturn and significantly reduced demand for container shipping services and containerships, combined with continued delivery of newbuildings, containership values have experienced dramatic declines in recent months.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Due to the possibility that Global Ship Lease could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Times New Roman" w:cs="Times New Roman" w:eastAsia="Times New Roman" w:hAnsi="Times New Roman"/>
          <w:sz w:val="18"/>
          <w:szCs w:val="18"/>
          <w:i w:val="1"/>
          <w:iCs w:val="1"/>
          <w:color w:val="auto"/>
        </w:rPr>
        <w:t>CMA CGM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Berlioz </w:t>
      </w:r>
      <w:r>
        <w:rPr>
          <w:rFonts w:ascii="Times New Roman" w:cs="Times New Roman" w:eastAsia="Times New Roman" w:hAnsi="Times New Roman"/>
          <w:sz w:val="18"/>
          <w:szCs w:val="18"/>
          <w:color w:val="auto"/>
        </w:rPr>
        <w:t>for $82.0 million, which was completed in August 2009, the Credit Facility Amendment permitted drawings of up to $42.0 million under the main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leverage ratio at the next test date scheduled for April 30, 2011 exceeds 75% or if the company fails to meet its scheduled prepayments under the credit facility or is otherwise in potential default under the credit facility, and if a further amendment to or waiver under the credit facility or other relief is not obtained, the Agent may require a prepayment of borrowings or the delivery of additional security. In such an event, Global Ship Lease is likely to go into default under the credit facility, which would raise substantial doubt about its ability to continue as a going concern.</w:t>
      </w:r>
    </w:p>
    <w:p>
      <w:pPr>
        <w:spacing w:after="0" w:line="13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credit facility also imposes additional operating and financial restrictions on Global Ship Lease. These restrictions may limit its ability to, among other things:</w:t>
      </w:r>
    </w:p>
    <w:p>
      <w:pPr>
        <w:spacing w:after="0" w:line="39"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in the vessel owning subsidiaries, including through the issuance of guarantees;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management of its vessels without the prior consent of the lender;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liens on its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its vessels or change the ownership of its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or transfer all or substantially all its assets to, another person;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charters.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Therefore, Global Ship Lease may need to seek consent from its lenders in order to engage in certain corporate actions. Its lenders’ interests may be different from Global Ship Lease’s and it cannot guarantee that it will be able to obtain its lenders’ consent when needed. This may limit its ability to pay dividends, finance its future operations, make acquisitions or pursue business opportunities. Please see Item 4B “Business 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Global Ship Lease Credit Facility” for more information.</w:t>
      </w:r>
    </w:p>
    <w:p>
      <w:pPr>
        <w:spacing w:after="0" w:line="13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b w:val="1"/>
          <w:bCs w:val="1"/>
          <w:color w:val="auto"/>
        </w:rPr>
        <w:t>The Credit Facility Amendment provides that Global Ship Lease may not declare or pay common dividends before November 30, 2010 or until the leverage ratio is no more than 75%, whichever is later.</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 Additionally, Global Ship Lease’s credit facility provides that it may not pay dividends if there is a continuing default under the facility. Global Ship Lease is also prohibited from paying dividends if the payment of the dividend would result in a default and any payments to be made into the retention account are not fully up to date. The charter-free market value of Global Ship Lease’s vessels can fluctuate substantially depending on market supply and demand for vessels. In recent months, due to an excess of containership capacity as described above, vessel values have fallen significantly. In addition, it is probable that the market value of Global Ship Lease’s vessels will decrease over time, as vessels generally decrease in value as they age. Consequently, the leverage ratio is volatile and will likely increase over time, which will negatively affect Global Ship Lease’s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comply with its leverage ratio covenants. This, in turn, will impact Global Ship Lease’s ability to resume dividend payments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cannot assure you that it will be able to refinance any indebtedness incurred under its credit facility.</w:t>
      </w:r>
    </w:p>
    <w:p>
      <w:pPr>
        <w:spacing w:after="0" w:line="17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Global Ship Lease cannot assure you that at the credit facility’s final maturity date in August 2016 or when otherwise required, it will be able to refinance its indebtedness on terms that are acceptable to Global Ship Lease or at all. The actual or perceived credit quality of its charterers, any defaults by them, and the market value of its fleet, among other things, may materially affect its ability to obtain new or replacement debt financing. If Global Ship Lease is not able to refinance its indebtedness, it will have to dedicate cash flow from operations not already committed to prepay borrowings to pay the principal and interest of its indebtedness. Global Ship Lease cannot assure you that it will be able to generate cash flow in amounts that are sufficient for these purposes. If Global Ship Lease is not able to satisfy its debt service obligations with its cash flow from operations, Global Ship Lease may have to sell some or all of its assets, which may not be possible and which would have an adverse effect on its cash flows and results of operations. If Global Ship Lease is unable to meet its debt obligations for any reason, its lenders could declare its debt, together with accrued interest and fees, to be immediately due and payable and foreclose on vessels in its fleet.</w:t>
      </w:r>
    </w:p>
    <w:p>
      <w:pPr>
        <w:spacing w:after="0" w:line="11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Under the Credit Facility Amendment, all undrawn commitments of approximately $200.0 million was cancelled and consequently Global Ship Lease does not have any capacity under the credit facility to pay for any further vessel acquisitions, including the two 4,250 TEU newbuildings scheduled to be delivered in the fourth quarter of 2010. If Global Ship Lease is unable to secure sufficient financing, it will not be able to meet its obligations under the purchase contracts and Global Ship Lease may be exposed to legal action by the sellers for damages.</w:t>
      </w:r>
    </w:p>
    <w:p>
      <w:pPr>
        <w:spacing w:after="0" w:line="13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On September 11, 2008, Global Ship Lease entered into contracts to purchase from German interests two 4,250 TEU containerships for a price of approximately $77.4 million each. The vessels are expected to be delivered in October and December 2010 and are to be chartered to Zim Integrated Shipping Services Limited (“Zim”) for seven to eight years.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Although the purchase contracts contain a clause to limit liability in the event of buyer default to the forfeiture of the previously paid deposit, this limitation on liability may not be effective. Unless Global Ship Lease can secure additional financing or an amendment to the purchase contracts, Global Ship Lease may be exposed to legal action by the sellers for damages which may exceed the deposit already paid.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status of Global Ship Lease’s agreements to charter the two 4,250 TEU newbuildings is uncertain due to the financial restructuring of Zim.</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Global Ship Lease has an agreement with Zim to charter the two 4,250 TEU newbuildings upon their delivery for a term of seven to eight years at a net rate of $28,000 per vessel per day. However, Zim has been engaged in a financial restructuring in order to reduce its cashflow burden, including seeking a reduction in charter payments under long-term charter agreements. The details of the financial restructuring have not been made public. Meanwhile, Zim has unilaterally reduced by 35% long-term charter payments with effect from September 1, 2009. Although Global Ship Lease has not agreed to any reduction in charterhire, Zim could unilaterally fail to perform under the charters when the charters are due to go into effect, such that Global Ship Lease could become the owner of the vessels with no effective charters in place.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is highly dependent on charter payments from CMA CGM.</w:t>
      </w:r>
    </w:p>
    <w:p>
      <w:pPr>
        <w:spacing w:after="0" w:line="9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All of Global Ship Lease’s vessels in its fleet are chartered to its initial Charterer, CMA CGM. The initial Charterer’s payments to Global Ship Lease under the charters are currently its sole source of revenue. Global Ship Lease is highly dependent on the performance by the initial Charterer of its obligation under the charters. The container shipping industry is suffering a significant cyclical downturn with a substantial amount of excess ship capacity and many container shipping companies, including CMA CGM, have reported substantial losses in 2009. Further, CMA CGM announced in September 2009 that CMA CGM and its lenders are exploring a potential financial restructuring to address its short and medium term financing requirements and that CMA CGM is seeking to reduce and in some cases cancel certain ship deliveries. Global Ship Lease is not involved in these discussions and it is impossible to predict the outcome of these discussions. In addition, there have been increasing delays in Global Ship Lease receiving charterhire payments from the initial Charterer, which under the charter contracts are due to be paid every 15 days in advance. If the initial Charterer ceases doing business or fails to perform its obligations under Global Ship Lease’s charters, Global Ship Lease’s business, financial position and results of operations would be materially adversely affected as it is probable that, even if the company was able to find replacement charters, such replacement charters would be at significantly lower daily rates and shorter durations.</w:t>
      </w:r>
    </w:p>
    <w:p>
      <w:pPr>
        <w:spacing w:after="0" w:line="334"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Lease’s Ship Manager and CMA CGM, its initial Charterer, are privately held companies and there is little or no publicly available information about them.</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CMA CGM is Global Ship Lease’s initial sole Charterer and its wholly owned subsidiary, CMA Ships, is Global Ship Lease’s initial Ship Manager. CMA CGM’s ability to continue to pay charterhire and CMA Ships’ ability to render ship management services will depend in part on their own financial strength. CMA CGM has guaranteed the performance of CMA Ships under the ship management agreements. As described above, the container shipping sector is suffering a severe cyclical downturn and has been incurring substantial losses. Furthermore, many containership operators, including CMA CGM, have commitments to purchase newbuildings for delivery over the next three to four years which may not be fully funded with committed financing.</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Circumstances beyond their control could impair CMA CGM’s and CMA Ships’ financial strength, and because they are privately held companies, information about their financial strength is not publicly available. As a result, Global Ship Lease and an investor in its securities might have little advance warning of financial or other problems affecting CMA CGM or their wholly owned subsidiaries even though their financial or other problems could have a material adverse effect on Global Ship Lease.</w:t>
      </w:r>
    </w:p>
    <w:p>
      <w:pPr>
        <w:spacing w:after="0" w:line="13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b w:val="1"/>
          <w:bCs w:val="1"/>
          <w:color w:val="auto"/>
        </w:rPr>
        <w:t>CMA CGM and Global Ship Lease’s Ship Manager have conflicts of interest with Global Ship Lease and limited contractual duties, which may make them favor their own interests to Global Ship Lease’s detriment.</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Conflicts of interest may arise between Global Ship Lease, on the one hand, and CMA CGM, Global Ship Lease’s initial Charterer, and CMA Ships, its Ship Manager, on the other hand. As a result of these conflicts, Global Ship Lease’s Ship Manager may favor its own or its parent company’s interests over Global Ship Lease’s interests. These conflicts may have unfavorable consequences for Global Ship Lease. For example, Global Ship Lease’s Ship Manager could be encouraged to incur unnecessary costs, for which it would seek reimbursement from Global Ship Lease. Although Global Ship Lease’s ship management agreements expressly prohibit its Ship Manager from giving preferential treatment when performing any of its ship management services to any other vessel that is affiliated with it, or otherwise controlled by CMA CGM, conflicts of interest may arise between Global Ship Lease, and its Ship Manager and its initial Charterer.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Lease’s financial reporting is dependent on CMA CGM.</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ship management agreement with CMA Ships, the Ship Manager is obligated to provide Global Ship Lease with requisite financial information on a timely basis so that Global Ship Lease can meet its own reporting obligations under U.S. securities laws. CMA Ships and its parent company CMA CGM are privately held French corporations with financial reporting schedules different from Global Ship Lease. If CMA Ships or any of its affiliates is delayed in providing Global Ship Lease with key financial information, Global Ship Lease could fail to meet its financial reporting deadlines.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CMA CGM could compete with Global Ship Lease.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Along with many other vessel-owning companies, CMA CGM, currently Global Ship Lease’s sole Charterer and largest holder of its common shares, could compete with Global Ship Lease in its search to purchase newbuildings and secondhand vessels. Further, CMA CGM is not precluded from acting as an owner in the direct chartering market. While Global Ship Lease understands that CMA CGM currently has no intention of doing so, competition from CMA CGM may potentially harm Global Ship Lease’s ability to grow the business and may decrease its results of operations.</w:t>
      </w:r>
    </w:p>
    <w:p>
      <w:pPr>
        <w:spacing w:after="0" w:line="13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b w:val="1"/>
          <w:bCs w:val="1"/>
          <w:color w:val="auto"/>
        </w:rPr>
        <w:t>Certain terms in Global Ship Lease’s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2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asset purchase agreement, the charters, the ship management agreements and the other contractual agreements Global Ship Lease entered into with CMA CGM and its wholly owned subsidiaries were made in the context of an affiliated relationship and were negotiated in the overall context of the previously contemplated public offering of its Class A common shares in 2007, the Merger in August 2008 and other related transactions. Global Ship Lease’s agreements with CMA CGM may include terms that could not have been obtained from arms-length negotiations with unaffiliated third parties for similar services and assets. As a result, its future operating results may be negatively affected if Global Ship Lease does not receive terms as favorable in future negotiations with unaffiliated third parties or has to enter into lengthy and costly negotiations with third parties in connection with entering into such agreements.</w:t>
      </w:r>
    </w:p>
    <w:p>
      <w:pPr>
        <w:spacing w:after="0" w:line="10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Lease’s growth depends on its ability to purchase further vessels, obtain new charters and maintain and potentially expand its relationship with CMA CGM. Global Ship Lease will require additional financing to be able to grow and will face substantial competition.</w:t>
      </w:r>
    </w:p>
    <w:p>
      <w:pPr>
        <w:spacing w:after="0" w:line="118"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One of Global Ship Lease’s objectives is to grow by acquiring additional vessels and chartering them out to container shipping companies including potentially CMA CGM. This will be particularly challenging since Global Ship Lease will need to obtain additional financing in order to acquire vessels. Due to the global banking crisis and the severe cyclical downturn in the containership</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industry, financing for investment in containerships, whether newbuildings or existing vessels, is severely limited. Further, demand for new long-term or medium-term charters of containerships has significantly reduced due to the current excess of capacity.</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process of obtaining new charterers is highly competitive and often takes several months. Charters are awarded based upon a variety of factors relating to the vessel owner, including:</w:t>
      </w:r>
    </w:p>
    <w:p>
      <w:pPr>
        <w:spacing w:after="0" w:line="39"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overall price;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committed financing;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containership experience and quality of ship operations (including cost effectiveness);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reliability, customer service and safety;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seafaring crew;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containerships at competitive rates and financial stability generally;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 for newbuildings;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management experience, including the ability to obtain on-time delivery of new vessels according to customer specifications.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Global Ship Lease will face substantial competition in expanding its business, including with respect to obtaining new containership charters, from a number of experienced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139"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may be unable to make or realize expected benefits from vessel acquisitions, and implementing its growth strategy through acquisitions may harm its business, financial condition and operating results.</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Global Ship Lease’s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Global Ship Lease cannot give any assurance that it will be successful in executing its growth plans, that Global Ship Lease will be able to employ any acquired vessels under long-term charters or have ship management agreements with similar or better terms than those Global Ship Lease has obtained from its Ship Manager or that it will not incur significant expenses and losses in connection with its future growth.</w:t>
      </w:r>
    </w:p>
    <w:p>
      <w:pPr>
        <w:spacing w:after="0" w:line="13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Factors that may limit Global Ship Lease’s ability to acquire additional vessels include availability of financing, shipyard capacity for newbuildings, the relatively small number of independent fleet owners and the limited number of modern vessels with appropriate characteristics not subject to existing long-term or other charters. Competition from other purchasers could reduce Global Ship Lease’s acquisition opportunities or cause Global Ship Lease to pay higher prices.</w:t>
      </w:r>
    </w:p>
    <w:p>
      <w:pPr>
        <w:spacing w:after="0" w:line="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Any acquisition of a vessel may not be profitable to Global Ship Lease and may not generate cash flow sufficient to justify Global Ship Lease’s investment. In addition, Global Ship Lease’s acquisition growth strategy exposes Global Ship Lease to risks that may harm its business, financial condition and operating results, including risks that Global Ship Lease may:</w:t>
      </w:r>
    </w:p>
    <w:p>
      <w:pPr>
        <w:spacing w:after="0" w:line="5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financing, ship management agreements and charters on acceptable terms;</w:t>
      </w:r>
    </w:p>
    <w:p>
      <w:pPr>
        <w:spacing w:after="0" w:line="90"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including through its ship managers, to hire, train or retain qualified shore and seafaring personnel to manage and operate its growing business and fleet;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anticipated benefits of cost savings or cash flow enhancements;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its liquidity by using a significant portion of its available cash or borrowing capacity to finance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its interest expense or financial leverage if Global Ship Lease incurs additional debt to finance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unanticipated liabilities, losses or costs associated with the vessels acquired;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pay dividends.</w:t>
      </w:r>
    </w:p>
    <w:p>
      <w:pPr>
        <w:spacing w:after="0" w:line="171"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Unlike newbuildings, secondhand vessels typically do not carry warranties as to their condition at the time of acquisition. While Global Ship Lease would generally inspect existing containerships prior to purchase, such an inspection would normally not provide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Global Ship Lease with as much knowledge of a containership’s condition as if it had been built for Global Ship Lease and operated by Global Ship Lease during its life. Future repairs and maintenance costs for existing vessels are difficult to predict and may be substantially higher than for equivalent vessels of which Global Ship Lease has had direct experience. These additional costs could decrease Global Ship Lease’s cash flow and reduce its liquidity.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Lease’s business depends upon certain individuals who may not necessarily continue to be affiliated with Global Ship Lease.</w:t>
      </w:r>
    </w:p>
    <w:p>
      <w:pPr>
        <w:spacing w:after="0" w:line="173"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Global Ship Lease’s current performance and future success depends to a significant extent upon its Chief Executive Officer, Ian J. Webber, its Chief Financial Officer, Susan J. Cook, its Chief Commercial Officer, Thomas A. Lister and its Chief Technical Officer, Vivek Puri. Mr. Webber, Ms. Cook, Mr. Lister and</w:t>
      </w:r>
    </w:p>
    <w:p>
      <w:pPr>
        <w:spacing w:after="0" w:line="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Mr. Puri have an aggregate of over 80 years of experience in the shipping industry and have worked with several of the world’s largest shipping companies. They and members of the board of directors are crucial to the execution of the company’s business strategies and to the growth and development of its business. If these individuals were no longer to be affiliated with Global Ship Lease, or if Global Ship Lease were to otherwise cease to receive advisory services from them, Global Ship Lease may be unable to recruit other employees with equivalent talent and experience, and its business and financial condition may suffer as a result.</w:t>
      </w:r>
    </w:p>
    <w:p>
      <w:pPr>
        <w:spacing w:after="0" w:line="107"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is a recently formed company with a limited separate operating history and its historical financial and operating data are not representative of its future results.</w:t>
      </w:r>
    </w:p>
    <w:p>
      <w:pPr>
        <w:spacing w:after="0" w:line="11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Global Ship Lease is a recently formed company with limited operating history. The historical combined financial statements included in this Annual Report include, mainly as comparatives, its Predecessor Group’s historical business activities as a container shipping company earning revenue from transporting shippers’ cargo and incurring both vessel and voyage expenses, including fuel costs and all costs related to handling of containers for its vessels while the vessels were owned and operated by CMA CGM until the date of the individual transfer of each of 10 vessels in December 2007 and two further vessels in January 2008. These historical combined financial statements reflect the results of Global Ship Lease under its fixed-rate long-term charters, ship management agreements and its financing arrangements only from the date of the individual transfer to it of each vessel in December 2007 and January 2008 and subsequently in December 2008. Further, Global Ship Lease’s capital and legal structure changed significantly as a result of the Merger in August 2008, including it becoming listed on the New York Stock Exchange. Consequently, historical financial information is not a meaningful representation of its future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has not performed and does not intend to perform underwater inspections of its vessels.</w:t>
      </w:r>
    </w:p>
    <w:p>
      <w:pPr>
        <w:spacing w:after="0" w:line="173"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Although Global Ship Lease performed physical inspections of the vessels, Global Ship Lease has not performed and does not intend to perform any underwater inspections either prior to or after their purchase. As a result, Global Ship Lease will not be aware of any damage to a vessel that may exist at the time of delivery and which could only be discovered through an underwater inspection. Global Ship Lease purchased the vessels and newbuildings from CMA CGM on an “as is” basis, subject to CMA CGM being responsible for any class condition or recommendation that existed at the date of delivery of the vessels. However, if any damage is subsequently found, Global Ship Lease could incur substantial costs to repair the damage which would not be recoverable from the sellers.</w:t>
      </w:r>
    </w:p>
    <w:p>
      <w:pPr>
        <w:spacing w:after="0" w:line="106"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is a holding company and it depends on the ability of its subsidiaries to distribute funds to Global Ship Lease in order to satisfy its financial and other obligations.</w:t>
      </w:r>
    </w:p>
    <w:p>
      <w:pPr>
        <w:spacing w:after="0" w:line="11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Global Ship Lease is a holding company and has no significant assets other than the equity interests in its subsidiaries. Global Ship Lease’s subsidiaries own all of its vessels and payments under charters are made to the subsidiaries. As a result, its ability to pay dividends depends on the performance of its subsidiaries and their ability to distribute funds to it. The ability of its subsidiaries to make these distributions could be affected by a claim or other action by a third party, including a creditor, or by Marshall Islands law or the laws of any jurisdiction which regulates the payment of dividends by companies. If Global Ship Lease is unable to obtain funds from its subsidiaries, Global Ship Lease may not be able to meet its own liabilities or pay dividends, including on its preferred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its fleet ages, Global Ship Lease may incur increased operating costs, which would adversely affect its earnings.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general, the day-to-day cost of operating and maintaining a vessel in good operating condition increases with age. In addition, older vessels are typically less fuel efficient and would attract lower charter rates compared to modern more fuel efficient vessels. Governmental regulations and safety or other equipment standards may also require expenditures for alterations, or the addition of new equipment, to its vessels and may restrict the type of activities in which its vessels may engage. Global Ship Lease cannot assure you that, as its vessels age, market conditions will justify those expenditures or expenditures to otherwise improve fuel efficiency to enable it to operate its vessels profitably during the remainder of their useful lives.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Lease’s insurance may be insufficient to cover losses that may occur to its property or result from its operations.</w:t>
      </w:r>
    </w:p>
    <w:p>
      <w:pPr>
        <w:spacing w:after="0" w:line="1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The shipping industry has inherent operational risks. Although Global Ship Lease carries hull and machinery insurance, war risks insurance and protection and indemnity insurance (which includes environmental damage and pollution insurance), Global Ship Lease may not be adequately insured against all risks or its insurers may not pay every claim. Even if its insurance coverage is adequate to cover its losses, Global Ship Lease may not be able to obtain a replacement vessel in the event of a total or constructive total loss in a timely manner. Further, under the terms of its credit facility, Global Ship Lease is subject to restrictions on the use of any proceeds Global Ship Lease may receive from claims in the event of a total or constructive total loss under its insurance policies. Furthermore, in the future, Global Ship Lease may not be able to obtain adequate insurance coverage at reasonable rates for its fleet. Global Ship Lease may also be subject to calls, or premiums, in amounts based not only on its own claim records but also the claim records of all other members of the protection and indemnity associations through which Global Ship Lease receives indemnity insurance coverage for tort liability. In addition, insurers typically charge additional premiums if vessels transit certain “excluded areas” which may be subject to higher risk of piracy, war or terrorism. Global Ship Lease cannot be certain that its insurers will continue to provide such cover, or that it will be able to pass these increased costs to its charterers. Its insurance policies also contain deductibles, limitations and exclusions which, although Global Ship Lease believes are standard in the shipping industry, may nevertheless increase its costs.</w:t>
      </w:r>
    </w:p>
    <w:p>
      <w:pPr>
        <w:spacing w:after="0" w:line="331"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In addition, Global Ship Lease does not presently carry loss-of-hire insurance, which covers the loss of revenue during extended vessel off-hire periods, such as those that might occur during an unscheduled drydocking due to damage to the vessel from an accident. Accordingly, any vessel that is off-hire for an extended period of time, due to an accident or otherwise, could have a material adverse effect on the company’s business, results of operations and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is incorporated in the Republic of the Marshall Islands, which does not have a well-developed body of corporate law.</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Global Ship Lease’s corporate affairs are governed by its articles of incorporation and bylaws and by the Business Corporations Act of the Republic of the Marshall Islands, or BCA. The provisions of the BCA resemble provisions of the corporation laws of a number of states in the United States.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Global Ship Lease’s shareholders may have more difficulty in protecting their interests in the face of actions by the management, directors or controlling shareholders than would shareholders of a corporation incorporated in a United States jurisdiction.</w:t>
      </w:r>
    </w:p>
    <w:p>
      <w:pPr>
        <w:spacing w:after="0" w:line="13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Because Global Ship Lease is organized under the laws of the Republic of the Marshall Islands, it may be difficult to serve Global Ship Lease with legal process or enforce judgments against it, its directors or its management.</w:t>
      </w:r>
    </w:p>
    <w:p>
      <w:pPr>
        <w:spacing w:after="0" w:line="118"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Global Ship Lease is organized under the laws of the Republic of the Marshall Islands, and substantially all of its assets are located outside of the United States. Its principal executive offices are located outside the United States and most of its directors and officers reside outside the United States. As a result, it may be difficult or impossible for you to bring an action against Global Ship Lease or against its directors or its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Global Ship Lease’s assets or its directors and officers.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cannot assure you if and when Global Ship Lease will resume paying dividends.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 result of the Credit Facility Amendment, the credit facility prohibits the declaration or payment of any common dividend until the later of November 30, 2010 or when the leverage ratio is no more than 75%. The declaration and payment of dividends is also subject at all times to the discretion of Global Ship Lease’s board of directors. When permitted by the credit facility and other contractual obligations, Global Ship Lease may resume the distribution of a portion of its cash flow to its shareholders, while retaining the remaining cash flow for reinvestment in its business, to fund vessel or fleet acquisitions, make debt repayments and for other purposes, as determined by Global Ship Lease’s management and board of directors. There can be no assurance that its actual results will be as anticipated, that its board of directors will not increase the level of cash reserves or otherwise change its dividend policy or that Global Ship Lease will not have additional cash expenses or liabilities, including extraordinary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restrictions imposed by the credit facility, the timing and amount of future dividends, if any, could also be affected by various factors, including:</w:t>
      </w:r>
    </w:p>
    <w:p>
      <w:pPr>
        <w:spacing w:after="0" w:line="113"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earnings, financial condition and anticipated cash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repairs to, or required expenditures on, vessels or drydocking costs in excess of those anticipated;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acquisitions of vessels;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vessel;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00" w:hanging="325"/>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under Marshall Islands law affecting distributions to shareholders, which generally prohibit the payment of dividends other than from surplus (retained earnings and the excess of consideration received from the sale of shares above the par value of the shares) or while a company is insolvent or would be rendered insolvent by the payment of such dividend.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has anti-takeover provisions in its organizational documents that may discourage a change of control.</w:t>
      </w:r>
    </w:p>
    <w:p>
      <w:pPr>
        <w:spacing w:after="0" w:line="17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Certain provisions of Global Ship Lease’s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certain interested shareholders;</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only to be removed for cause and only with the affirmative vote of holders of at least a majority of the common shares entitled to vote in the election of directors;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shareholders and for shareholders to include matters to be considered at annual meetings;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ability for shareholders to call special shareholder meetings.</w:t>
      </w:r>
    </w:p>
    <w:p>
      <w:pPr>
        <w:spacing w:after="0" w:line="17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Global Ship Lease, even if the third party’s offer may be considered beneficial by many shareholders. As a result, shareholders may be limited in their ability to obtain a premium for their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Global Ship Lease’s securities may be volatile.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Global Ship Lease’s common shares, units and warrants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quarterly and annual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counterparty risk;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Global Ship Lease’s quarterly revenues and earnings and those of publicly held containership owners or operators;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Global Ship Lease’s operating results from levels forecasted by securities analysts;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Global Ship Lease or other containership owners or operators;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strategic alliances in the shipping industry;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the securities markets.</w:t>
      </w:r>
    </w:p>
    <w:p>
      <w:pPr>
        <w:spacing w:after="0" w:line="17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international containership industry has been highly unpredictable and volatile. The market for common shares in companies operating in this industry may be equally volatile.</w:t>
      </w:r>
    </w:p>
    <w:p>
      <w:pPr>
        <w:spacing w:after="0" w:line="11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There will be a substantial number of Global Ship Lease’s common shares available for sale in the future that may adversely affect the market price of Global Ship Lease’s Class A common shares.</w:t>
      </w:r>
    </w:p>
    <w:p>
      <w:pPr>
        <w:spacing w:after="0" w:line="11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common shares (not including the common shares underlying the sponsors warrants nor the common shares purchased by Mr. Gross and CMA CGM on the closing date of the Merger pursuant to assignment and acceptance agreements with Marathon) issued in the Merger to Marathon’s initial stockholders and CMA CGM were subject to transfer restrictions set forth in the stockholders agreement. Generally, such shares could not be sold for one year from the date of the Merger. Furthermore, in connection with the Credit Facility Amendment, CMA CGM has agreed not to reduce its holding of common shares below the present level of approximately 24.4 million Class A and B common shares before November 30, 2010. Pursuant to the registration rights agreement entered into at the effective time of the Merger, Marathon’s initial stockholders and CMA CGM can demand that Global Ship Lease register the resale of their common shares at any time after the one year anniversary of the Merger. Holders of the sponsor warrants were also entitled to request at any time after the Merger and did so request that we register the Class A common shares underlying the sponsor warrants on a shelf registration statement. The registration and availability of such a significant number of securities for trading in the public market may have an adverse effect on the market price of Global Ship Lease’s Class A common shares.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The outstanding warrants may be exercised in the future, which would increase the number of shares eligible for future resale in the public market and result in dilution to our shareholders.</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are 5,500,000 sponsor warrants with an exercise price of $6.00 which expire August 14, 2010. The sponsor warrants must be exercised on a cashless basis. There are 6,188,088 Class A warrants expiring September 1, 2011 with an exercise price of $9.25. These are owned by CMA CGM, Michael Gross and other initial stockholders of Marathon. In addition, there are outstanding public warrants to purchase an aggregate of 39,531,348 Class A common shares that expire August 14, 2010. These warrants would likely only be exercised if the $6.00 or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3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Global Ship Lease has swapped the majority of its anticipated core debt from floating rate based on LIBOR to fixed rate debt until at least March 2013 and therefore is locked into a base borrowing rate to which the applicable spread is added to determine the effective rate. Accordingly, Global Ship Lease has removed most of the volatility from its interest charge, other than for changes in the applicable margin, and is unable to benefit from falling LIBOR rates.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part of its risk management strategy and in order to avoid volatility in its interest expense as well as meet the requirement of the credit facility to fix the interest rate on at least 50% of drawn debt, Global Ship Lease has swapped the majority of its anticipated core debt from floating rate based on LIBOR to fixed rate debt until at least March 2013. Approximately $580 million of debt has been swapped into a fixed rate of 3.59%. Global Ship Lease is therefore unable to benefit from falling LIBOR rates. Further, under the terms of the Credit Facility Amendment, prepayment of outstanding borrowings has been accelerated and it is likely that Global Ship Lease will be in an over-hedged position.</w:t>
      </w:r>
    </w:p>
    <w:p>
      <w:pPr>
        <w:spacing w:after="0" w:line="137"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Depending on fluctuations in LIBOR, our interest rate swap agreements and their accounting treatment in our combined financial statements could result in deceases in our reported net income.</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entered into certain financial instrument contracts to hedge our exposure to interest rate fluctuations. These derivative instruments are accounted for under the relevant U.S. GAAP guidance at market value, as none of the derivatives qualify for hedge accounting, with changes in the value being recognized directly in our combined statement of income. During the year ended December 31, 2008, LIBOR and the related forward interest rate curve experienced significant downward movement which significantly impacted the estimated market value of our financial instruments, resulting in a non-cash loss amounting to $54.9 million for the period from August 15, 2008 to December 31, 2008.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interest rate volatility may expose our net income to significant variations.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Industry of Global Ship Lease</w:t>
      </w:r>
    </w:p>
    <w:p>
      <w:pPr>
        <w:spacing w:after="0" w:line="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Global Ship Lease’s growth and long term profitability depend mainly upon growth in demand for containerships and the condition of the charter market. The container shipping industry is cyclical and volatile and the industry is currently experiencing a severe cyclical downturn. There is an excess of vessel capacity and demand for containerships has fallen. Charter rates and vessel values have dropped, thus reducing the company’s ability to secure new charterers at attractive rates.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container shipping industry is both cyclical and volatile in terms of charter rates and profitability. Fluctuations in charter rates result from changes in the supply and demand for ship capacity, which is driven mainly by changes in the supply and demand for world trade container shipping services. There is currently an oversupply of ship capacity which has caused freight rates, charter rates and asset values, to fall. Charter rates have decreased significantly since mid 2008 and rates may decrease further in the future. The factors affecting the supply and demand for containerships and container shipping services are outside Global Ship Lease’s control, and the nature, timing and degree of changes in industry conditions are unpredictable.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products suitable for shipping in containers;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pattern of global production of products transported by containerships;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globalization of manufacturing;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economic and political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international trade;</w:t>
      </w:r>
    </w:p>
    <w:p>
      <w:pPr>
        <w:spacing w:after="0" w:line="90"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legal and regulatory developments;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oil and economics of slow steaming;• the availability of trade finance and currency exchange rates;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containership newbuilding orderbook;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scrapping rate of older containerships;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containerships off-hire;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steel and other raw materials;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other laws and regulations that may limit the useful life of containerships;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shipyard capacity;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and canal congestion;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oil, economics of slow steaming and number of vessels laid-up.</w:t>
      </w:r>
    </w:p>
    <w:p>
      <w:pPr>
        <w:spacing w:after="0" w:line="171"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Global Ship Lease’s ability to re-charter its fleet upon the expiration or termination of its charters, and the charter rates receivable under and the duration of any renewal or replacement charters will depend upon, among other things, the then state of the containership market and how the then age and quality of Global Ship Lease’s fleet are perceived by the market. If the containership market is in a period of depression when Global Ship Lease’s vessels’ charters expire for whatever reason, including an oversupply of containership capacity, Global Ship Lease may be forced to re-charter its vessels at reduced or unprofitable rates, which may reduce or eliminate its earnings or make its earnings increasingly volatile, or it may not be able to re-charter its vessels at all. The same issues will exist if Global Ship Lease acquires additional vessels without charter arrangements in place, or at the expiration of charters that may be in place, obliging Global Ship Lease to try to fix employment of the additional vessels in the spot market while attempting to subject them to a long-term time charter arrangement.</w:t>
      </w:r>
    </w:p>
    <w:p>
      <w:pPr>
        <w:spacing w:after="0" w:line="1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If the market value of vessels or charter rates substantially declines then Global Ship Lease may incur a financial loss if it attempts to sell one or more of its vessels.</w:t>
      </w:r>
    </w:p>
    <w:p>
      <w:pPr>
        <w:spacing w:after="0" w:line="118"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Containership values can fluctuate substantially over time and have recently declined significantly. A number of factors may contribute to a decrease in the market value of containerships, including:</w:t>
      </w:r>
    </w:p>
    <w:p>
      <w:pPr>
        <w:spacing w:after="0" w:line="39"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conditions in the market in which the containership trades;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world trade growth leading to reduced demand for container shipping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an oversupply in global containership capacity; and</w:t>
      </w:r>
    </w:p>
    <w:p>
      <w:pPr>
        <w:spacing w:after="0" w:line="90"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 charter terminates when the charter market for containerships is depressed, Global Ship Lease may be unable to re-charter the vessel at attractive rates and, rather than continue to incur costs to maintain and finance the vessel, Global Ship Lease may seek to dispose of it. It is likely that in such circumstances asset values will also be depressed. Inability to dispose of the containership at a reasonable price could result in a loss on the vessel’s sale and adversely affect Global Ship Lease’s results of operations and financial condition.</w:t>
      </w:r>
    </w:p>
    <w:p>
      <w:pPr>
        <w:spacing w:after="0" w:line="13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Future fluctuations in charter rates and vessel values may trigger a possible impairment of Global Ship Lease’s vessels as described in “Management’s Discussion and Analysis of Financial Condition and Results of Operations of Global Ship Lease—Critical Accounting Policies and Estimates.”</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Charter-free market values of Global Ship Lease’s vessels pledged as security under the credit facility may also impact its ability to satisfy its leverage ratio covenant under the credit facility.</w:t>
      </w:r>
    </w:p>
    <w:p>
      <w:pPr>
        <w:spacing w:after="0" w:line="11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may have more difficulty entering into long-term charters if a more active and cheaper short-term or spot container shipping market develops.</w:t>
      </w:r>
    </w:p>
    <w:p>
      <w:pPr>
        <w:spacing w:after="0" w:line="1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the expiration of Global Ship Lease’s charters, if a charter terminates early for any reason or if Global Ship Lease acquires vessels charter-free, Global Ship Lease will need to charter or re-charter its vessels. Should more vessels be available on the spot or short-term market at the time Global Ship Lease is seeking to fix new long-term charters, Global Ship Lease may have difficulty entering into such charters at profitable rates and for any term other than short term and, as a result, Global Ship Lease’s cash flow may be subject to instability in the long-term. In addition, it would be more difficult to fix relatively older vessels should there be an oversupply of</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younger vessels on the market. A more active short-term or spot market may require Global Ship Lease to enter into spot or short-term charters based on prevailing market rates, as opposed to long-term contracts based on a fixed rate, which could result in a decrease in Global Ship Lease’s cash flow in periods when charter rates are depressed.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Acts of piracy on ocean-going vessels have recently increased in frequency, which could adversely affect our business.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Piracy is an inherent risk in the operation of ocean-going vessels and has recently affected vessels trading in several regions of the world such as the South China Sea, the Gulf of Aden and off the coast of Somalia. Throughout 2008, the frequency of piracy incidents against commercial shipping vessels has increased significantly, particularly in the Gulf of Aden and off the coast of Somalia. For example, in November 2008, the M/V Sirius Star, a tanker vessel not affiliated with us, was captured by pirates in the Indian Ocean while carrying crude oil estimated to be worth $100 million. The M/V Sirius Star is classified as a very large crude carrier and has the capacity to carry over 2.0 million barrels of crude oil. Pirate attacks on any of our vessels could result in loss of life, the kidnapping of our crew or the theft, damage or destruction of our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impairing their ability to make payments to us under our charters.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Terrorist attacks and international hostilities could affect its results of operations and financial condition.</w:t>
      </w:r>
    </w:p>
    <w:p>
      <w:pPr>
        <w:spacing w:after="0" w:line="17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Terrorist attacks, such as the attacks on the United States on September 11, 2001, and the continuing response of the United States and other countries to these attacks, as well as the threat of future terrorist attacks, continue to cause uncertainty in the world financial markets and may affect Global Ship Lease’s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Global Ship Lease’s ability to obtain additional financing on terms acceptable to Global Ship Lease or at all.</w:t>
      </w:r>
    </w:p>
    <w:p>
      <w:pPr>
        <w:spacing w:after="0" w:line="108" w:lineRule="exact"/>
        <w:rPr>
          <w:sz w:val="20"/>
          <w:szCs w:val="20"/>
          <w:color w:val="auto"/>
        </w:rPr>
      </w:pPr>
    </w:p>
    <w:p>
      <w:pPr>
        <w:jc w:val="both"/>
        <w:ind w:right="360"/>
        <w:spacing w:after="0" w:line="256" w:lineRule="auto"/>
        <w:rPr>
          <w:sz w:val="20"/>
          <w:szCs w:val="20"/>
          <w:color w:val="auto"/>
        </w:rPr>
      </w:pPr>
      <w:r>
        <w:rPr>
          <w:rFonts w:ascii="Times New Roman" w:cs="Times New Roman" w:eastAsia="Times New Roman" w:hAnsi="Times New Roman"/>
          <w:sz w:val="18"/>
          <w:szCs w:val="18"/>
          <w:color w:val="auto"/>
        </w:rPr>
        <w:t>Terrorist attacks targeted at oceangoing vessels may also negatively affect Global Ship Lease’s future operations and financial condition from, for example, increased insurance costs, and directly impact its containerships or its customers. Future terrorist attacks could result in increased market volatility or even a recession in the United States or elsewhere or negatively affect global financial markets, and could further increase inspection and security requirements and regulation that could slow its operations and negatively affect its profitability. Any of these occurrences could have a material adverse impact on Global Ship Lease’s operating results, revenue and costs.</w:t>
      </w:r>
    </w:p>
    <w:p>
      <w:pPr>
        <w:spacing w:after="0" w:line="13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Risks inherent in the operation of containerships could impair the ability of the initial Charterer to make payments to Global Ship Lease, increase its costs or reduce the value of Global Ship Lease’s assets.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Global Ship Lease’s containerships and its cargoes are at risk of being damaged or lost because of events such as marine accidents, bad weather, mechanical failures, human error, war, terrorism, piracy, environmental accidents and other circumstances or events. Any of these events connected to Global Ship Lease’s vessels or other vessels under the initial Charterer’s control, or any other factor which negatively affects the initial Charterer’s business such as the current economic downturn and significant cyclical depression in the container shipping industry, could impair the ability of the initial Charterer to make payments to Global Ship Lease pursuant to its charters. Although the initial Charterer is obligated to pay Global Ship Lease charterhire regardless of the amount of cargo being carried on board, it is possible that generally low cargo volumes and low freight rates or events noted above may render the initial Charterer financially unable to pay Global Ship Lease its hire. Furthermore, there is a risk that a vessel may become damaged, lost or destroyed during normal operations and any such occurrence may cause Global Ship Lease additional expenses to repair or substitute the vessel or may render Global Ship Lease unable to provide the vessel for chartering, which will cause Global Ship Lease to lose charter revenue.</w:t>
      </w:r>
    </w:p>
    <w:p>
      <w:pPr>
        <w:spacing w:after="0" w:line="14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Global Ship Lease’s reputation and customer relationships generally. Any of these circumstances or events could increase its costs or lower Global Ship Lease’s revenues, which could result in reduction in the market price of its Class A common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Maritime claimants could arrest Global Ship Lease’s vessels, which could interrupt the initial Charterer’s or Global Ship Lease’s cash flow.</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Global Ship Lease’s vessels, for valid or invalid reasons, could interrupt the initial Charterer’s or Global Ship Lease’s cash flow and require the initial Charterer or Global Ship Lease or Global Ship Lease’s insurance to pay a significant amount to have the arrest lifted. In addition, in some jurisdictions,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its fleet for claims relating to another vessel in its fleet. In any event, any lien imposed may adversely affect its results of operations by delaying the revenue gained from ships.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Governments could requisition Global Ship Lease’s vessels during a period of war or emergency without adequate compensation.</w:t>
      </w:r>
    </w:p>
    <w:p>
      <w:pPr>
        <w:spacing w:after="0" w:line="173"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A government could requisition one or more of Global Ship Lease’s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Global Ship Lease would likely be entitled to compensation in the event of a requisition of one or more of its vessels, the amount and timing of payment would be uncertain. Government requisition of one or more of Global Ship Lease’s vessels may negatively impact its revenues and cash flow.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innovation could reduce Global Ship Lease’s charter income and the value of Global Ship Lease’s vessels.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charter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with draft or other physical considerations, utilize related dock facilities, such as cranes, load or unload with on-board cranes, carry temperature controlled containers and pass through canals and straits. Physical condition is related to the original design and construction, maintenance and the impact of the stress of operations. If new containerships are built that are more efficient or more flexible or have longer physical lives than Global Ship Lease’s vessels, competition from these more technologically advanced containerships could adversely affect the amount of charterhire Global Ship Lease receives for its vessels once their initial charters expire and the resale value of its vessels could significantly decrease.</w:t>
      </w:r>
    </w:p>
    <w:p>
      <w:pPr>
        <w:spacing w:after="0" w:line="13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Compliance with safety and other vessel requirements imposed by classification societies may be costly and may adversely affect Global Ship Lease’s business and operating results.</w:t>
      </w:r>
    </w:p>
    <w:p>
      <w:pPr>
        <w:spacing w:after="0" w:line="11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the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Please see “Business Overview— Inspection by Classification Societies” for more information regarding annual surveys, intermediate surveys and special surveys. Bureau Veritas, Lloyd’s Register and Germanischer Lloyd, the classification societies for the vessels in Global Ship Lease’s fleet, may approve and carry out in-water inspections of the underwater parts of its vessels once every three to five years, in lieu of drydocking inspections. In-water inspections are typically less expensive than drydocking inspections and Global Ship Lease intends to conduct in-water inspections when that option is available to it.</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Global Ship Lease could also be in violation of provisions in its charters, insurance coverage, covenants in its loan agreements and ship registration requirements and its revenues and future profitability would be negatively affected.</w:t>
      </w:r>
    </w:p>
    <w:p>
      <w:pPr>
        <w:spacing w:after="0" w:line="134"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is subject to regulation and liability under environmental laws that could require significant expenditures and affect Global Ship Lease’s cash flows and net income.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shipping industry, and the operations of containerships, are materially affected by environmental regulation in the form of international conventions, national, state and local laws and regulations in force in the jurisdictions in which Global Ship Lease’s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Global Ship Lease cannot predict the cost of complying with such requirements or the impact thereof on the value or useful life of its containerships. Additional conventions, laws and regulations may be adopted that could limit Global Ship Lease’s ability to do business or increase the cost of its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doing business and which may materially adversely affect Global Ship Lease’s operations. Global Ship Lease is required by various governmental and quasi-governmental agencies to obtain certain permits, licenses, certificates and financial assurances with respect to its operations. Many environmental requirements are designed to reduce the risk of pollution, such as oil spills, and compliance with these requirements can be costly.</w:t>
      </w:r>
    </w:p>
    <w:p>
      <w:pPr>
        <w:spacing w:after="0" w:line="13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Global Ship Lease could incur material liabilities, including cleanup obligations and natural resource damages, in the event that there is a release of oil-based products or other hazardous materials from its vessels or otherwise in connection with its operations. Global Ship Lease could also become subject to personal injury or property damage claims relating to the release of hazardous materials associated with its existing or historic operations. Violations of, or liabilities under, environmental requirements can result in substantial penalties, fines and other sanctions, including in certain instances, criminal liabilities or seizure or detention of its vessels.</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significant compliance costs could be incurred due to existing environmental laws and regulations and those that may be adopted, which could require new maintenance and inspection procedures and new restrictions on air emissions from its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Global Ship Lease to incur significant capital expenditures on its vessels to keep them in compliance, or even to scrap or sell certain vessels altogether. Global Ship Lease believes that regulation of the shipping industry will continue to become more stringent and more expensive for Global Ship Lease and its competitors. Substantial violations of applicable requirements or a catastrophic release of bunker fuel from one of its containerships, among other events, could have a material adverse impact on its business, financial condition and results of operations. For additional information on these and other environmental requirements, you should carefully review the information contained in “Business Overview— Environmental and Other Regulations.”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Lease’s operating income could fail to qualify for an exemption from U.S. federal income taxation, which will reduce its cash flow.</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Global Ship Lease does not expect to be engaged in a United States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its business, financial condition and results of operations. Under the charter agreements, the initial Charterer has agreed to provide reimbursement for any such taxes as the initial Charterer determines where each vessel trades.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Global Ship Lease may qualify for the tax exemption provided by Section 883 of the Code. However, there are factual circumstances beyond its control that could cause Global Ship Lease not to have the benefit of this exemption and thereby be subject to the 4% tax described above. For example, if shareholders with a 5% or greater interest in its Class A common shares were collectively to own 50% or more of its outstanding common shares on more than half the days during a taxable year, Global Ship Lease would probably not be able to qualify for the exemption provided under Section 883 of the Code. Based on information that Marathon had as to its shareholders, it appears that if such shareholders were to retain the Global Ship Lease Class A common shares that they received in the Merger, Global Ship Lease likely would not qualify for the Section 883 exemption. Because this, as well as other factors relevant to the availability of the Section 883 exemption, will depend on future facts over which Global Ship Lease has no control, Global Ship Lease can give no assurances that it will qualify for the Section 883 exemption. See “Material U.S. Federal Income Tax Consequences—Taxation of Global Ship Lease—The Section 883 exemption” for a more comprehensive discussion of the transportation income exemption.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 could be taxed as a United States corporation.</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Akin Gump Strauss Hauer &amp; Feld LLP has given a legal opinion that this rule should not apply to Global Ship Lease. Such opinion relied, in part, on assumptions, representations and other information as to certain factual matters, including valuation. Valuation is a question of fact and is subjective. There can be no assurance that the Internal Revenue Service (the “IRS”) would not seek to challenge the correctness of such assumptions, representations or other information or the conclusion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reached in such legal opinion, or that such a challenge would not be successful. Akin Gump Strauss Hauer &amp; Feld LLP has not undertaken any obligation to update its opinion.</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Global Ship Lease were to be treated as a U.S. corporation, its net income would be subject to U.S. federal corporate income tax, with the highest statutory rate currently being 35%. The imposition of this tax would likely have a negative effect on its business, financial condition and results of operations. Please see “Material U.S. Federal Income Tax Consequences—Taxation of Global Ship Lease—Possibility of taxation as a U.S. corporation” for a more comprehensive discussion of the tax consequences to Global Ship Lease being taxed as a U.S. corporation.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adverse U.S. federal income tax consequences could arise for United States holders.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Shareholders of a “passive foreign investment company,” or PFIC, that are United States persons within the meaning of the Code, which Global Ship Lease refers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foreign corporation is treated as a PFIC if either (1) 75% or more of its gross income for any taxable year consists of certain types of “passive income” or</w:t>
      </w:r>
    </w:p>
    <w:p>
      <w:pPr>
        <w:spacing w:after="0" w:line="21" w:lineRule="exact"/>
        <w:rPr>
          <w:sz w:val="20"/>
          <w:szCs w:val="20"/>
          <w:color w:val="auto"/>
        </w:rPr>
      </w:pPr>
    </w:p>
    <w:p>
      <w:pPr>
        <w:ind w:right="60" w:firstLine="8"/>
        <w:spacing w:after="0" w:line="254"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3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While there are legal uncertainties involved in this determination, based on representations made by Global Ship Lease, GSL Holdings and Marathon, Simpson Thacher &amp; Bartlett LLP, or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Global Ship Lease owns for the production of this income should not constitute passive assets. Based on this opinion, Global Ship Lease does not expect that it will constitute a PFIC with respect to the current or any future taxable year.</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however, no direct legal authority under the PFIC rules addressing its current and projected future operations. In addition, Simpson Thacher’s opinion was based on certain representations made by Global Ship Lease, GSL Holdings and Marathon, and such representations were not and will not be presented for review to the IRS. Accordingly, no assurance can be given that the IRS will not assert that Global Ship Lease is a PFIC with respect to any taxable year, nor that a court would not uphold any such assertion. Moreover, no assurance can be given that Global Ship Lease will be able to avoid PFIC classification for any future taxable year if Global Ship Lease decides to change the nature and/or extent of its operations. Simpson Thacher has not undertaken any obligation to update its opinion.</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Global Ship Lease’s time charters. No assurance can be given that the IRS or a court of law would accept Global Ship Lease’s position, and there is a risk that the IRS or a court of law could determine that the company is a PFIC.</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IRS were to determine that Global Ship Lease is or has been a PFIC for any taxable year, its United States shareholders will face adverse United States tax consequences. Distributions paid by Global Ship Lease with respect to its shares will not constitute qualified dividend income if Global Ship Lease were a PFIC in the year Global Ship Lease pays a dividend or in the prior taxable year and, hence, will not be eligible for the preferential rate of tax that applies to qualified dividend income. In addition, its United States shareholders (other than shareholders who have made a “qualified electing fund” or “mark-to-market” election) will be subject to special rules relating to the taxation of “excess distributions”—with excess distributions being defined to include certain distributions Global Ship Lease may make on its Class A common shares as well as gain recognized by a U.S. holder on a disposition of its Class A common shares. In general, the amount of any “excess distribution” will be allocated ratably to each day of the U.S. holder’s holding period for its Class A common shares. The amount allocated to the current year and any taxable year prior to the first taxable year for which Global Ship Lease was a PFIC will be included in the U.S. holder’s gross income for the current year as ordinary income. With respect to amounts allocated to prior years for which Global Ship Lease was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“Material U.S. Federal Income Tax Consequences—Tax Consequences of Holding Class A Common Shares—U.S. holders—Consequences of possible passive foreign investment company classification” for a more comprehensive discussion of the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U.S. federal income tax consequences to United States shareholders if Global Ship Lease were treated as a PFIC (including those applicable to United States shareholders who make a qualified electing fund or mark-to-market election).</w:t>
      </w:r>
    </w:p>
    <w:p>
      <w:pPr>
        <w:spacing w:after="0" w:line="118"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b w:val="1"/>
          <w:bCs w:val="1"/>
          <w:color w:val="auto"/>
        </w:rPr>
        <w:t>Global Ship Lease may be subject to taxation on all or part of its income in the United Kingdom, which could have a material adverse effect on its results of operations.</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Global Ship Lease were considered to be a resident of the United Kingdom or to have a permanent establishment in the United Kingdom, all or a part of its profits could be subject to UK corporate tax, which currently has a maximum rate of 28%. Global Ship Lease is managed and controlled from outside the United Kingdom and restricts its activities within the United Kingdom so that its UK taxes will be minimized. Certain intra-group services may be provided from within the United Kingdom, in which case UK corporate tax will be payable on the arms-length price for those services. The appropriate arms-length price in these circumstances is likely to be a matter of negotiation with the UK taxing authorities.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some administrative and executive services will be provided to Global Ship Lease by a subsidiary company located in the United Kingdom and certain of its directors may reside in the United Kingdom, and because UK statutory and case law fail to definitively identify the activities that constitute a trade being carried on in the United Kingdom through a permanent establishment, the UK taxing authorities may contend that Global Ship Lease is subject to UK corporate tax on all of its income, or on a greater portion of its income than Global Ship Lease currently expects to be taxed. If the UK taxing authorities made such a contention, Global Ship Lease could incur substantial legal costs defending its position, and, if Global Ship Lease was unsuccessful in its defense, its results of operations would be materially adversely affected.</w:t>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Global Ship Lease is a Republic of the Marshall Islands corporation that owns a fleet of modern containerships of diverse sizes and charters the vessels out under long-term, fixed-rate charters to reputable container shipping companies to generate stable revenues.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an asset purchase agreement (the “asset purchase agreement”) with CMA CGM and certain of its vessel-owning subsidiaries, Global Ship Lease acquired from CMA CGM its current fleet of 14 secondhand vessels and three newly built vessels. All of the vessels are time chartered to CMA CGM (which, in such capacity, is sometimes referred to as the “initial Charterer”) for terms between five and 17 years equal to a non-weighted average term of 9.9 years remaining at December 31, 2008 for the 16 vessels in the fleet at that date. Global Ship Lease’s management team undertakes all management of, and strategy for, its fleet and supervises the day-to-day ship management of its vessels which is currently provided by CMA Ships (the “Ship Manager”), a wholly owned subsidiary of CMA CGM, pursuant to ship management agreements.</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21, 2008, Global Ship Lease entered into a merger agreement pursuant to which Marathon Acquisition Corp. (“Marathon”) and Global Ship Lease, Inc.,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3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are subordinated to those of holders of Class A common shares until at least the third quarter of 2011. The Class C common shares automatically converted into Class A common shares on a one-for-one basis on January 1, 2009.</w:t>
      </w:r>
    </w:p>
    <w:p>
      <w:pPr>
        <w:spacing w:after="0" w:line="11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Class A common shares, warrants to purchase Class A common shares and units (each unit consisting of one Class A common share and one warrant to purchase one Class A common share) are listed on the NYSE under the symbols GSL for the Class A common shares, GSL.WS for the warrants and GSL.U for the units.</w:t>
      </w:r>
    </w:p>
    <w:p>
      <w:pPr>
        <w:spacing w:after="0" w:line="1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current mailing address of Global Ship Lease’s principal executive office is c/o Global Ship Lease Services Limited, Portland House, Stag Place, London SW1E 5RS, United Kingdom, and its telephone number is 44 (0) 20 7869 8006.</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Global Ship Lease’s fleet, as of September 30, 2009, consisted of 17 containerships, including three newly built vessels, with an aggregate capacity of 66,297 TEU and a weighted average age of approximately 5.6 years and a non-weighted average age of 6.6 years. All of these vessels were acquired from CMA CGM or its subsidiaries pursuant to the asset purchase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Global Ship Lease’s current fleet. Each vessel is on charter to CMA CGM: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Size</w:t>
            </w:r>
          </w:p>
        </w:tc>
        <w:tc>
          <w:tcPr>
            <w:tcW w:w="3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Classification</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47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(TEU)</w:t>
            </w:r>
          </w:p>
        </w:tc>
        <w:tc>
          <w:tcPr>
            <w:tcW w:w="300" w:type="dxa"/>
            <w:vAlign w:val="bottom"/>
          </w:tcPr>
          <w:p>
            <w:pPr>
              <w:spacing w:after="0"/>
              <w:rPr>
                <w:sz w:val="14"/>
                <w:szCs w:val="14"/>
                <w:color w:val="auto"/>
              </w:rPr>
            </w:pPr>
          </w:p>
        </w:tc>
        <w:tc>
          <w:tcPr>
            <w:tcW w:w="3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Built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Society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Ville d’Orion</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4,113</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Ville d’Aquarius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4,113</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Matisse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2,262</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CMA CGM Utrillo</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2,262</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Delmas Keta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Julie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2,207</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Kumasi</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Marie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2,207</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La Tour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2,272</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CMA CGM Manet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2,272</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Alcazar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5,100</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CMA CGM Château d’If</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5,100</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Thalassa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10,960</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CMA CGM Jamaica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4,298</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Germanischer Lloyd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Sambhar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4,045</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CMA CGM America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4,045</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Berlioz</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6,627</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4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addition, Global Ship Lease has contracted to purchase two further containerships as set out below:</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Size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Estimated Delivery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40" w:type="dxa"/>
            <w:vAlign w:val="bottom"/>
          </w:tcPr>
          <w:p>
            <w:pPr>
              <w:spacing w:after="0"/>
              <w:rPr>
                <w:sz w:val="24"/>
                <w:szCs w:val="24"/>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Net Daily</w:t>
            </w:r>
          </w:p>
        </w:tc>
        <w:tc>
          <w:tcPr>
            <w:tcW w:w="0" w:type="dxa"/>
            <w:vAlign w:val="bottom"/>
          </w:tcPr>
          <w:p>
            <w:pPr>
              <w:spacing w:after="0"/>
              <w:rPr>
                <w:sz w:val="1"/>
                <w:szCs w:val="1"/>
                <w:color w:val="auto"/>
              </w:rPr>
            </w:pPr>
          </w:p>
        </w:tc>
      </w:tr>
      <w:tr>
        <w:trPr>
          <w:trHeight w:val="165"/>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(TEU)</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Year Built</w:t>
            </w:r>
          </w:p>
        </w:tc>
        <w:tc>
          <w:tcPr>
            <w:tcW w:w="60" w:type="dxa"/>
            <w:vAlign w:val="bottom"/>
          </w:tcPr>
          <w:p>
            <w:pPr>
              <w:spacing w:after="0"/>
              <w:rPr>
                <w:sz w:val="14"/>
                <w:szCs w:val="14"/>
                <w:color w:val="auto"/>
              </w:rPr>
            </w:pPr>
          </w:p>
        </w:tc>
        <w:tc>
          <w:tcPr>
            <w:tcW w:w="11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Date to GSL</w:t>
            </w:r>
          </w:p>
        </w:tc>
        <w:tc>
          <w:tcPr>
            <w:tcW w:w="2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2"/>
              </w:rPr>
              <w:t>Charterer</w:t>
            </w:r>
          </w:p>
        </w:tc>
        <w:tc>
          <w:tcPr>
            <w:tcW w:w="1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Period (years)</w:t>
            </w: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Hull 789 </w:t>
            </w:r>
            <w:r>
              <w:rPr>
                <w:rFonts w:ascii="Times New Roman" w:cs="Times New Roman" w:eastAsia="Times New Roman" w:hAnsi="Times New Roman"/>
                <w:sz w:val="11"/>
                <w:szCs w:val="11"/>
                <w:color w:val="auto"/>
              </w:rPr>
              <w:t>(1)</w:t>
            </w:r>
          </w:p>
        </w:tc>
        <w:tc>
          <w:tcPr>
            <w:tcW w:w="5540" w:type="dxa"/>
            <w:vAlign w:val="bottom"/>
            <w:gridSpan w:val="3"/>
            <w:shd w:val="clear" w:color="auto" w:fill="CCEEFF"/>
          </w:tcPr>
          <w:p>
            <w:pPr>
              <w:jc w:val="center"/>
              <w:ind w:left="5053"/>
              <w:spacing w:after="0"/>
              <w:rPr>
                <w:sz w:val="20"/>
                <w:szCs w:val="20"/>
                <w:color w:val="auto"/>
              </w:rPr>
            </w:pPr>
            <w:r>
              <w:rPr>
                <w:rFonts w:ascii="Times New Roman" w:cs="Times New Roman" w:eastAsia="Times New Roman" w:hAnsi="Times New Roman"/>
                <w:sz w:val="18"/>
                <w:szCs w:val="18"/>
                <w:color w:val="auto"/>
                <w:w w:val="98"/>
              </w:rPr>
              <w:t>4,250</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w:t>
            </w:r>
          </w:p>
        </w:tc>
        <w:tc>
          <w:tcPr>
            <w:tcW w:w="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October 2010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Zim</w:t>
            </w:r>
          </w:p>
        </w:tc>
        <w:tc>
          <w:tcPr>
            <w:tcW w:w="1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1"/>
                <w:szCs w:val="11"/>
                <w:color w:val="auto"/>
              </w:rPr>
              <w:t>(2)</w:t>
            </w:r>
          </w:p>
        </w:tc>
        <w:tc>
          <w:tcPr>
            <w:tcW w:w="72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Hull 790 </w:t>
            </w:r>
            <w:r>
              <w:rPr>
                <w:rFonts w:ascii="Times New Roman" w:cs="Times New Roman" w:eastAsia="Times New Roman" w:hAnsi="Times New Roman"/>
                <w:sz w:val="11"/>
                <w:szCs w:val="11"/>
                <w:color w:val="auto"/>
              </w:rPr>
              <w:t>(1)</w:t>
            </w:r>
          </w:p>
        </w:tc>
        <w:tc>
          <w:tcPr>
            <w:tcW w:w="5540" w:type="dxa"/>
            <w:vAlign w:val="bottom"/>
            <w:gridSpan w:val="3"/>
          </w:tcPr>
          <w:p>
            <w:pPr>
              <w:jc w:val="center"/>
              <w:ind w:left="5053"/>
              <w:spacing w:after="0"/>
              <w:rPr>
                <w:sz w:val="20"/>
                <w:szCs w:val="20"/>
                <w:color w:val="auto"/>
              </w:rPr>
            </w:pPr>
            <w:r>
              <w:rPr>
                <w:rFonts w:ascii="Times New Roman" w:cs="Times New Roman" w:eastAsia="Times New Roman" w:hAnsi="Times New Roman"/>
                <w:sz w:val="18"/>
                <w:szCs w:val="18"/>
                <w:color w:val="auto"/>
                <w:w w:val="98"/>
              </w:rPr>
              <w:t>4,250</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2010</w:t>
            </w:r>
          </w:p>
        </w:tc>
        <w:tc>
          <w:tcPr>
            <w:tcW w:w="6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December 2010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Zim</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1"/>
                <w:szCs w:val="11"/>
                <w:color w:val="auto"/>
              </w:rPr>
              <w:t>(2)</w:t>
            </w:r>
          </w:p>
        </w:tc>
        <w:tc>
          <w:tcPr>
            <w:tcW w:w="7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Contracted to be purchased from German interests</w:t>
      </w:r>
    </w:p>
    <w:p>
      <w:pPr>
        <w:spacing w:after="0" w:line="23"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Seven to eight year charter at charterer’s option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Charters</w:t>
      </w:r>
    </w:p>
    <w:p>
      <w:pPr>
        <w:spacing w:after="0" w:line="9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w:t>
      </w:r>
    </w:p>
    <w:p>
      <w:pPr>
        <w:spacing w:after="0" w:line="9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Each of the vessels in our current fleet is subject to a long-term time charter with CMA CGM. Global Ship Lease has separate subsidiaries to own each vessel in its fleet. Global Ship Lease guarantees the obligations of each of its subsidiaries under the charters. Each of Global Ship Lease’s charters commenced on each vessel’s delivery. Due to different delivery dates and durations, its charters will expire on different dates and over a period of time. Global Ship Lease believes the staggered expirations of its charters will reduce its exposure to re-chartering risk upon expiration of its initial charters and may mitigate the impact of the cyclical nature of the container shipping industry. The charters have initial terms of five to 17 years and its fleet has a non-weighted average charter period of 9.9 years remaining at December 31, 2008 for the 16 vessels in the fleet at that date. The initial charter periods for Global Ship Lease’s current fleet are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2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Commencement of Charter</w:t>
            </w:r>
          </w:p>
        </w:tc>
        <w:tc>
          <w:tcPr>
            <w:tcW w:w="10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Charter Period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Ville d’Orion</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Ville d’Aquarius</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Matisse</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Utrillo</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Delmas Keta</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Julie Delmas</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Marie Delmas</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Kumasi</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La Tour</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Manet</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2007</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Alcazar</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January 2008</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Château d’If</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January 2008</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Thalassa</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Jamaica</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2008</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Sambhar</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America</w:t>
            </w:r>
          </w:p>
        </w:tc>
        <w:tc>
          <w:tcPr>
            <w:tcW w:w="39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December 2008</w:t>
            </w:r>
          </w:p>
        </w:tc>
        <w:tc>
          <w:tcPr>
            <w:tcW w:w="238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Berlioz</w:t>
            </w:r>
          </w:p>
        </w:tc>
        <w:tc>
          <w:tcPr>
            <w:tcW w:w="39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August 2009</w:t>
            </w:r>
          </w:p>
        </w:tc>
        <w:tc>
          <w:tcPr>
            <w:tcW w:w="2380" w:type="dxa"/>
            <w:vAlign w:val="bottom"/>
            <w:gridSpan w:val="2"/>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Daily Rate</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“Net daily rate” refers to the basic payment by the charterer to the owner for the use of the vessel, net of any chartering commission (if applicable). Under all of the time charters for its current fleet, hire is payable to Global Ship Lease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to compensate Global Ship Lease for any vessel in its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shows the net daily hire rate that CMA CGM has agreed to pay for each vessel:</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 xml:space="preserve">Net Daily Rate </w:t>
            </w: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Ville d’Orion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Ville d’Aquarius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Matisse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Utrillo</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Delmas Keta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Julie Delmas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Marie Delmas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La Tour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Manet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Kumasi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Alcazar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Château d’If</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Thalassa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Jamaica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Sambhar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America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Berlioz</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Expenses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owner, Global Ship Lease is required to maintain each vessel in class and in an efficient state of hull and machinery and is responsible for vessel costs such as crewing, lubricating oil, maintenance, insurance and drydocking. The charterer is responsible for the voyage costs, which includes bunker fuel, stevedoring, port charges and towage. As described below, Global Ship Lease has entered into ship management agreements and the global expense agreement with its Ship Manager.</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For vessels in the current fleet, costs incurred due to structural changes because of changes in legal, classification society or regulatory requirements regarding the vessel shall be paid by Global Ship Lease although if the annual costs aggregate to more than $100,000 for each vessel impacted by such changes, the initial Charterer will compensate Global Ship Lease through an increase in charterhire from the year the aggregate amount is reached.</w:t>
      </w:r>
    </w:p>
    <w:p>
      <w:pPr>
        <w:spacing w:after="0" w:line="13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charter agreements for vessels in the current fleet stipulate that the initial Charterer should re-imburse Global Ship Lease for any costs of war risks insurance additional premiums and additional crew expenses, if any, that are applicable if the initial Charterer acts outside the insurance limits and for entering areas which are specified by the insurance underwriters as being subject to additional premiums.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terms of the time charter, the initial Charterer of the current fleet has a right of first refusal to purchase the vessel at matching terms to any offer of any third party if Global Ship Lease decides to sell the vessel during, or at the end of, the charter period. Should the initial Charterer not exercise its right of first refusal in case of a sale during the charter period, Global Ship Lease will be entitled to sell the vessel, subject to the initial Charterer’s approval, which shall not be unreasonably withheld. The initial Charterer has the right to reject a sale of a vessel to owners whose business or shareholding is determined to be detrimental or contrary to the initial Charterer’s interest.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9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time charter, when the vessel is not available for service, or “off-hire,” the initial Charterer generally is not required to pay charter hire (unless the initial Charterer is responsible for the circumstances giving rise to the ship’s unavailability), and Global Ship Lease is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55"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drydocking for repairs, maintenance or classification society inspection;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defect, breakdown or deficiency of the ship’s hull, machinery or equipment or repairs or maintenance thereto;</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deviation, other than to save life or property, which results in initial Charterer’s lost time;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crewing labor boycotts or certain vessel arrests;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failure to maintain the vessel in compliance with the charter’s requirements, such as maintaining operational certificates.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Management and Maintenance</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Under each of its time charters, Global Ship Lease is responsible for the operation and technical management of each vessel, which includes crewing, provision of lubricating oils, maintaining the vessel, periodic drydocking and performing work required by regulations. The day-to-day crewing and technical management of its vessels are provided by its Ship Manager pursuant to the terms of the ship management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Withdrawal</w:t>
      </w:r>
    </w:p>
    <w:p>
      <w:pPr>
        <w:spacing w:after="0" w:line="9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If a vessel in the current fleet is off-hire for more than 90 consecutive days, then the initial Charterer may cancel the charter without any further consequential claims provided the vessel is free of cargo.</w:t>
      </w:r>
    </w:p>
    <w:p>
      <w:pPr>
        <w:spacing w:after="0" w:line="1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its or the vessel’s control, the initial Charterer may request that Global Ship Lease cures the deficiency. If the deficiency is not cured within 30 days after Global Ship Lease receives notice, then the initial Charterer may terminate the charter.</w:t>
      </w:r>
    </w:p>
    <w:p>
      <w:pPr>
        <w:spacing w:after="0" w:line="13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Ship Lease may suspend the performance of its obligations under the charter if the initial Charterer defaults on its payment obligations under the charter.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Management Agreements</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the current fleet Global Ship Lease’s Ship Manager, 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Global Ship Lease’s business. CMA CGM guarantees the performance of all services and any payment due to Global Ship Lease by its Ship Manager pursuant to the ship management agreements.</w:t>
      </w:r>
    </w:p>
    <w:p>
      <w:pPr>
        <w:spacing w:after="0" w:line="13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Pursuant to its ship management agreements, Global Ship Lease expects to pay its Ship Manager for its services an annual management fee of $114,000 per vessel. Under the ship management agreements, its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Global Ship Lease will reimburse the Ship Manager for costs it incurs on Global Ship Lease’s behalf. However, such cost reimbursement is capped on a quarterly basis pursuant to the global expense agreement described in more detail below in “Global Expense Agreement.” Each ship management agreement provides that Global Ship Lease has the right to audit the accounts of its Ship Manager to verify the costs incurred. The Ship Manager has agreed to maintain Global Ship Lease’s vessels so that they remain in class with valid certification. In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addition, the Ship Manager will be responsible for Global Ship Lease’s current fleet’s compliance with all government and other regulations, and compliance with class certifications.</w:t>
      </w:r>
    </w:p>
    <w:p>
      <w:pPr>
        <w:spacing w:after="0" w:line="120"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The Ship Manager has established an accounting system and maintains the records of all costs and expenditures incurred as well as data necessary for the settlement of accounts between parties.</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Ship Manager is required to use its best endeavors to provide the services specified in the ship management agreements. Pursuant to the terms of the ship management agreements, Global Ship Lease will indemnify its Ship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Global Ship Lease’s Ship Manager will not be permitted to sub-contract its obligations under the ship management agreements without Global Ship Lease’s consent, which Global Ship Lease will not unreasonably withhold. With Global Ship Lease’s consent, the Ship Manager has sub-contracted all of its management services under its ship management agreements to its UK subsidiary, CMA Ships UK. Global Ship Lease’s ship management agreements with the Ship Manager have a term of three years from delivery of each vessel subject to the termination rights set forth below.</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ship management agreements are cancelable by Global Ship Lease if its Ship Manager fails to meet its obligations under the ship management agreements for any reason within its control and fails to remedy the default. In addition, after a ship management agreement has been in effect for one year, Global Ship Lease has the option of terminating the ship management agreement upon three months notice if Global Ship Lease can secure more competitive pricing from a recognized third party, approved by CMA CGM as charterer of the vessels, such approval not to be unduly withheld, subject to CMA Ships’ right to match the third party’s terms.</w:t>
      </w:r>
    </w:p>
    <w:p>
      <w:pPr>
        <w:spacing w:after="0" w:line="13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Global Ship Lease’s Ship Manager can terminate the agreement prior to the end of its term if, among other things: (a) it has not been paid within 30 days of a written request for payment (and Global Ship Lease fails to remedy such default) or (b) Global Ship Lease undergoes a change in control.</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3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Global Ship Lease intends that the ship management of newbuilding hulls 789 and 790, scheduled for delivery in the fourth quarter of 2010 for timecharter to Zim, will be subcontracted to a third party ship manager unrelated to CMA CGM.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Global Ship Lease arranges for insurance coverage for each of its vessels, including hull and machinery insurance, protection and indemnity insurance and war risk insurance. Global Ship Lease is responsible for the payment of all premiums.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Expense Agreement</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ship management agreements with CMA Ships, ship operating expenses incurred by the Ship Manager on Global Ship Lease’s behalf in the operation of its fleet on charter to CMA CGM will be reimbursed. Pursuant to the global expense agreement that Global Ship Lease entered into with its Ship Manager, these expenses will be subject to a quarterly cap. Drydocking expenses and insurance premiums are not included in the cap arrangements. For each quarterly period, its Ship Manager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 xml:space="preserve">Per Diem Cap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Ville d’Orion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Ville d’Aquarius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Matisse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Utrillo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Delmas Keta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Julie Delmas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Marie Delmas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La Tour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Kumasi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Alcazar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Château d’If</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Thalassa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Jamaica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Sambhar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America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Berlioz</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Once its ship management agreements and the global expense agreement with its Ship Manager expire or are terminated, Global Ship Lease may not be able to negotiate similar terms in replacement agreements.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in the global expense agreement, CMA CGM has agreed, effective as of the fourth year of each charter agreement, to compensate Global Ship Lease, for any vessel in its current fleet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92"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included as borrowers and guarantors jointly and severally guaranteeing Global Ship Lease’s obligations under the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Amendment</w:t>
      </w:r>
    </w:p>
    <w:p>
      <w:pPr>
        <w:spacing w:after="0" w:line="94"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7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Due to the global economic downturn and significantly reduced demand for container shipping services and containerships, combined with continued delivery of newbuildings, containership values have experienced dramatic declines in recent months.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Times New Roman" w:cs="Times New Roman" w:eastAsia="Times New Roman" w:hAnsi="Times New Roman"/>
          <w:sz w:val="18"/>
          <w:szCs w:val="18"/>
          <w:i w:val="1"/>
          <w:iCs w:val="1"/>
          <w:color w:val="auto"/>
        </w:rPr>
        <w:t>CMA CGM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Berlioz </w:t>
      </w:r>
      <w:r>
        <w:rPr>
          <w:rFonts w:ascii="Times New Roman" w:cs="Times New Roman" w:eastAsia="Times New Roman" w:hAnsi="Times New Roman"/>
          <w:sz w:val="18"/>
          <w:szCs w:val="18"/>
          <w:color w:val="auto"/>
        </w:rPr>
        <w:t>for $82.0 million, which was completed in August 2009, the Credit Facility Amendment permitted drawings of up to $42.0 million under the main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3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Further, the undrawn portion of the credit facility amounting to approximately $200.0 million was cancelled and Global Ship Lease has agreed that it will not declare or pay any dividends to common shareholders during the waiver period or thereafter until the leverage ratio falls to 75% or below.</w:t>
      </w:r>
    </w:p>
    <w:p>
      <w:pPr>
        <w:spacing w:after="0" w:line="12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In connection with the Credit Facility Amendment, CMA CGM has agreed not to reduce its holding of common shares in Global Ship Lease below the current level of approximately 24.4 million common shares and to defer the redemption of the $48.0 million preferred shares until after the final maturity of the credit facility in August 2016.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Borrowing Terms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credit facility provides that borrowings under the credit facility are secured by the following:</w:t>
      </w:r>
    </w:p>
    <w:p>
      <w:pPr>
        <w:spacing w:after="0" w:line="90" w:lineRule="exact"/>
        <w:rPr>
          <w:sz w:val="20"/>
          <w:szCs w:val="20"/>
          <w:color w:val="auto"/>
        </w:rPr>
      </w:pPr>
    </w:p>
    <w:p>
      <w:pPr>
        <w:ind w:left="90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pledge over Global Ship Lease’s bank accounts, and those of Global Ship Lease’s subsidiaries’ owning vessels in the security package, which are held with the Agent;</w:t>
      </w:r>
    </w:p>
    <w:p>
      <w:pPr>
        <w:spacing w:after="0" w:line="38"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cross-collateralized first priority mortgages on each of the vessels in the security package registered or flagged in a jurisdiction acceptable to the lenders;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and war risks insurance covering a minimum of 110% of the outstanding credit facility amount;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time charter contracts, in respect of the vessels in the security package;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insurances in respect of each of the vessels in the security package;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pledge over the shares of Global Ship Lease’s borrowing or guaranteeing subsidiaries;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guarantees for Global Ship Lease’s obligations from guarantors being Global Ship Lease’s non-borrowing subsidiaries under this credit facility;</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the unconditional and irrevocable corporate guarantee from CMA CGM to Global Ship Lease for the obligations of the initial Charterer, under the time charters, in cases where the initial Charterer is a subsidiary of CMA CGM;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the management agreements for the vessels in the security package;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(general) assignment of the earnings of the vessels in the security package.</w:t>
      </w:r>
    </w:p>
    <w:p>
      <w:pPr>
        <w:spacing w:after="0" w:line="171"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auto"/>
        </w:rPr>
        <w:t>In the event of either the sale or total loss of a vessel, the amount available for Global Ship Lease to borrow under its credit facility will be reduced so that its borrowings under the credit facility does not exceed 70% of the market value of the remaining vessels that secure its obligations under the credit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credit facility contains covenants that require Global Ship Lease to ensure, among other things, that:</w:t>
      </w:r>
    </w:p>
    <w:p>
      <w:pPr>
        <w:spacing w:after="0" w:line="9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details of additional vessels that Global Ship Lease acquires are given to the Agent;</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accounts, the operating account and retention account in relation to the vessels are held with the Agent;</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is only to be involved in the business of ownership of vessels, technical and commercial management of such vessels and related activities;</w:t>
      </w:r>
    </w:p>
    <w:p>
      <w:pPr>
        <w:spacing w:after="0" w:line="38"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may not charter-in vessels, lease vessels or enter into any similar arrangement without the prior written approval of the Agent, other than time chartering up to three months, such consent not to be unreasonably withheld, unless the arrangement is with or to Global Ship Lease or its subsidiaries, in which case no approval from the Agent shall be required;</w:t>
      </w:r>
    </w:p>
    <w:p>
      <w:pPr>
        <w:spacing w:after="0" w:line="5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supplies a list of acceptable flags approved by the Agent. Global Ship Lease may change flag to another approved flag provided the Agent receives the required documentation;</w:t>
      </w:r>
    </w:p>
    <w:p>
      <w:pPr>
        <w:spacing w:after="0" w:line="38"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is restricted from certain asset acquisitions and disposals with respect to its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restrictions on the ability of Global Ship Lease’s subsidiaries to incur additional indebtedness;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50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will at all times comply with the International Maritime Code for the Safe Operation of Ships and for Pollution Prevention adopted by the IMO;</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of ownership of any of Global Ship Lease’s subsidiaries;</w:t>
      </w:r>
    </w:p>
    <w:p>
      <w:pPr>
        <w:spacing w:after="0" w:line="90"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1" w:lineRule="exact"/>
        <w:rPr>
          <w:rFonts w:ascii="Times New Roman" w:cs="Times New Roman" w:eastAsia="Times New Roman" w:hAnsi="Times New Roman"/>
          <w:sz w:val="18"/>
          <w:szCs w:val="18"/>
          <w:color w:val="auto"/>
        </w:rPr>
      </w:pPr>
    </w:p>
    <w:p>
      <w:pPr>
        <w:ind w:left="900" w:right="44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shall, at the same time the audited annual consolidated accounts and management accounts are due, provide the Agent with compliance certificates showing the calculation of the financial covenants. A listing of charter rates may also be included;</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cannot dispose of net assets in excess of $300.0 million (of which a maximum of $200.0 million in aggregate should be in respect of its initial and contracted fleet) over any period of three consecutive calendar years other than with the consent of the Agent; and</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may pay dividends if (1) no event of default has occurred or is continuing, (2) the payment of such a dividend does not trigger an event of default and (3) any payments to be made into the retention account are fully up to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cash balance on a consolidated basis must be a minimum of $15.0 million or six months’ net interest expense at all times;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financial net debt to total capitalization ratio shall not exceed 75%;</w:t>
      </w:r>
    </w:p>
    <w:p>
      <w:pPr>
        <w:spacing w:after="0" w:line="90"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 maintains a minimum net worth of $200.0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Among other things, each of the following events with respect to Global Ship Lease or any of its subsidiaries, in some cases after the passage of time or notice or both, is an event of default under the credit facility agreement:</w:t>
      </w:r>
    </w:p>
    <w:p>
      <w:pPr>
        <w:spacing w:after="0" w:line="39"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amounts due and payable under this credit facility within four business days of the due date;</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or its subsidiaries’ breach of Global Ship Lease’s non-financial covenants and failure to remedy within seven business days of receipt of a notice;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breach of a financial covenant;</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 default with respect to Global Ship Lease’s and its subsidiaries’ other obligations for any amount in excess of $15.0 million (with respect to Global Ship Lease) and $10.0 million (with respect to its subsidiaries);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other than CMA CGM, and not agreed to by the lenders, acquires more than 51% of its outstanding voting shares; and</w:t>
      </w:r>
    </w:p>
    <w:p>
      <w:pPr>
        <w:spacing w:after="0" w:line="90"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of the initial Charterer or the Charter Guarantor which is continuing in respect of three or more of the time charter contracts associated with its initial and contracted fleet or default of more than half by number of the time charters associated with any approved charterer (provided such charterer is the charterer of at least 25% of Global Ship Lease’s vessels).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credit facility agreement provides that upon the occurrence of an event of default, the lenders may require that all amounts outstanding under the credit facility be repaid immediately and terminate Global Ship Lease’s ability to borrow under the credit facility and foreclose on the mortgages over the vessels and the related collateral.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by Classification Societies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240" w:top="455" w:right="3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9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For maintenance of the class, regular and extraordinary surveys of hull, machinery, including the electrical plant, and any special equipment classed, are required to be performed as follows:</w:t>
      </w:r>
    </w:p>
    <w:p>
      <w:pPr>
        <w:spacing w:after="0" w:line="37" w:lineRule="exact"/>
        <w:rPr>
          <w:sz w:val="20"/>
          <w:szCs w:val="20"/>
          <w:color w:val="auto"/>
        </w:rPr>
      </w:pPr>
    </w:p>
    <w:p>
      <w:pPr>
        <w:ind w:left="1480" w:right="200" w:hanging="446"/>
        <w:spacing w:after="0" w:line="277" w:lineRule="auto"/>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Surveys</w:t>
      </w:r>
      <w:r>
        <w:rPr>
          <w:rFonts w:ascii="Times New Roman" w:cs="Times New Roman" w:eastAsia="Times New Roman" w:hAnsi="Times New Roman"/>
          <w:sz w:val="18"/>
          <w:szCs w:val="18"/>
          <w:color w:val="auto"/>
        </w:rPr>
        <w:t>. For seagoing ships, annual surveys are conducted for the hull and the machinery, including the electrical plant, and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for special equipment classed.</w:t>
      </w:r>
    </w:p>
    <w:p>
      <w:pPr>
        <w:spacing w:after="0" w:line="35"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Intermediate Surveys</w:t>
      </w:r>
      <w:r>
        <w:rPr>
          <w:rFonts w:ascii="Times New Roman" w:cs="Times New Roman" w:eastAsia="Times New Roman" w:hAnsi="Times New Roman"/>
          <w:sz w:val="16"/>
          <w:szCs w:val="16"/>
          <w:color w:val="auto"/>
        </w:rPr>
        <w:t>. Also referred to as extended annual surveys, intermediate surveys are typically conducted two and one-half years after</w:t>
      </w:r>
    </w:p>
    <w:p>
      <w:pPr>
        <w:spacing w:after="0" w:line="46" w:lineRule="exact"/>
        <w:rPr>
          <w:rFonts w:ascii="Times New Roman" w:cs="Times New Roman" w:eastAsia="Times New Roman" w:hAnsi="Times New Roman"/>
          <w:sz w:val="16"/>
          <w:szCs w:val="16"/>
          <w:color w:val="auto"/>
        </w:rPr>
      </w:pPr>
    </w:p>
    <w:p>
      <w:pPr>
        <w:ind w:left="14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Global Ship Lease intends to conduct in-water inspections when that option is available to it.</w:t>
      </w:r>
    </w:p>
    <w:p>
      <w:pPr>
        <w:spacing w:after="0" w:line="57" w:lineRule="exact"/>
        <w:rPr>
          <w:rFonts w:ascii="Times New Roman" w:cs="Times New Roman" w:eastAsia="Times New Roman" w:hAnsi="Times New Roman"/>
          <w:sz w:val="16"/>
          <w:szCs w:val="16"/>
          <w:color w:val="auto"/>
        </w:rPr>
      </w:pPr>
    </w:p>
    <w:p>
      <w:pPr>
        <w:ind w:left="1480" w:right="40" w:hanging="446"/>
        <w:spacing w:after="0" w:line="289" w:lineRule="auto"/>
        <w:tabs>
          <w:tab w:leader="none" w:pos="14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Class Renewal Surveys</w:t>
      </w:r>
      <w:r>
        <w:rPr>
          <w:rFonts w:ascii="Times New Roman" w:cs="Times New Roman" w:eastAsia="Times New Roman" w:hAnsi="Times New Roman"/>
          <w:sz w:val="16"/>
          <w:szCs w:val="16"/>
          <w:color w:val="auto"/>
        </w:rPr>
        <w:t>. Class renewal surveys, also known as special surveys, are carried out typically every five years on the ship’s hull,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firth year anniversary to inspect underwater parts. The process of continuous class renewal spreads out the required inspections and their associated cost, whilst the vessel is still in service, and reduces the amount of inspection required each fifth year.</w:t>
      </w:r>
    </w:p>
    <w:p>
      <w:pPr>
        <w:spacing w:after="0" w:line="3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condition for obtaining insurance coverage as well as for obtaining financing from its lenders, each of Global Ship Lease’s vessels needs to be certified “in class” by a member of the IACS. Pursuant to the terms of the asset purchase agreement, any recommendations or suspensions from class which existed at the time of sale to Global Ship Lease would need to be remedied at the sole expense of the vendor before or during the next scheduled drydocking of that vessel. Global Ship Lease is also indemnified for a period of two years from the date of the purchase of each vessel for certain losses incurred prior to the full repair of any vessel that arise out of any recommendations existing on the vessel or suspensions from class at the time of sale. Generally, if the recommendations are not sufficiently corrected as determined by a member of the IACS, then the vessel may not remain “in class.” If a vessel is not “in class,” it may not be covered by insurance, and may not be available for charter. In addition, Global Ship Lease’s vessels must remain “in class” as a condition to obtaining financing from the lenders under its credit facility.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months by which the vessels in Global Ship Lease’s fleet need to have completed their next drydocking: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Ville d’Orion</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Ville d’Aquarius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December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Matisse</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Utrillo</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November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Delmas Keta</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Julie Delmas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Marie Delmas</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La Tour</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Manet</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Kumasi</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Alcazar</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Château d’If</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December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Thalassa</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Jamaica</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CMA CGM America</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month of drydocking assume that the vessels of Global Ship Lease’s fleet qualify for in-water inspections.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jc w:val="both"/>
        <w:ind w:right="360"/>
        <w:spacing w:after="0" w:line="310" w:lineRule="auto"/>
        <w:rPr>
          <w:sz w:val="20"/>
          <w:szCs w:val="20"/>
          <w:color w:val="auto"/>
        </w:rPr>
      </w:pPr>
      <w:r>
        <w:rPr>
          <w:rFonts w:ascii="Times New Roman" w:cs="Times New Roman" w:eastAsia="Times New Roman" w:hAnsi="Times New Roman"/>
          <w:sz w:val="16"/>
          <w:szCs w:val="16"/>
          <w:color w:val="auto"/>
        </w:rPr>
        <w:t>Global Ship Lease operates in markets that are highly competitive. Global Ship Lease expects to compete for vessel purchases and charters based upon price, customer relationships, operating expertise, professional reputation and size, age and condition of the vessel. Global Ship Lease also expects to compete with many other companies, including CMA CGM and its subsidiaries, to, among other things, purchase newbuildings and secondhand vessels to grow its fleet.</w:t>
      </w:r>
    </w:p>
    <w:p>
      <w:pPr>
        <w:spacing w:after="0" w:line="9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Global Ship Lease expects substantial competition in obtaining new containership charters from a number of experienced and substantial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Ship Lease is required by various governmental and other agencies to obtain certain permits, licenses and certificates with respect to its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Global Ship Lease or its Ship</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Manager. For example, the Delmas Keta, Julie Delmas, Kumasi and Marie Delmas vessels are not compliant with all United States, Canadian and Panama Canal regulations, as its initial Charterer does not intend to operate them in these waters.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Regulations</w:t>
      </w:r>
    </w:p>
    <w:p>
      <w:pPr>
        <w:spacing w:after="0" w:line="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Government regulation significantly affects the ownership and operation of vessels. Global Ship Lease is subject to international conventions and codes, and national, state and local laws and regulations in force in the countries in which its vessels may operate or are registered, including those governing the management and disposal of hazardous substances and wastes, the cleanup of oil spills and other contamination, air emissions, and water discharges and ballast water management. Compliance with these laws, regulations and other requirements entails significant expense, including vessel modifications and implementation of certain operating procedures, and are subject to frequent change.</w:t>
      </w:r>
    </w:p>
    <w:p>
      <w:pPr>
        <w:spacing w:after="0" w:line="13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A variety of governmental and private entities subject its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Global Ship Lease to obtain permits, licenses and certificates for the operation of its vessels. Failure to maintain necessary permits or approvals could require Global Ship Lease to incur substantial costs or temporarily suspend the operation of one or more of its vessels in one or more ports.</w:t>
      </w:r>
    </w:p>
    <w:p>
      <w:pPr>
        <w:spacing w:after="0" w:line="10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Global Ship Lease believes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20"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Increasing environmental concerns have created a demand for vessels that conform to the stricter environmental standards. Global Ship Lease will be required to maintain operating standards for all of its vessels that emphasize operational safety, quality maintenance, continuous training of its officers and crews and compliance with United States and international regulations. Because such laws and regulations are changed frequently and may impose increasingly strict requirements, future environmental regulations may limit Global Ship Lease’s ability to do business, increase its operating costs, force the early retirement of its vessels and/or affect their resale value, all of which could have a material adverse affect on its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Maritime Organization</w:t>
      </w:r>
    </w:p>
    <w:p>
      <w:pPr>
        <w:spacing w:after="0" w:line="94"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Global Ship Lease’s vessels are subject to standards imposed by the International Maritime Organization, or IMO, the United Nations agency for maritime safety and the prevention of pollution by ships. The IMO has negotiated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97"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sulfur oxide, nitrogen oxide, carbon dioxide and particulate matter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Global Ship Lease has registered the vessels in its fleet in flag states that have ratified Annex VI, which require that Global Ship Lease obtains International Air Pollution Prevention Certificates, or IAPP Certificates, for the vessels in its fleet, from those flag states. As of December 31, 2008, all of the vessels in the fleet had IAPP Certificates. On July 21, 2008, the United States enacted the Maritime Pollution Protection Act of 2008, implementing Annex VI in territorial waters of the United States. Once the president delivers the instrument of ratification to the IMO, the United States will become a party to Annex VI within 90 days. On October 9, 2008, the Member States of the IMO adopted amendments to Annex VI creating more stringent standards for engines and fuels The main changes to MARPOL Annex VI will see a progressive reduction in sulphur oxide (SOx) emissions from ships, with the global sulphur cap reduced initially to 3.50% (from the current 4.50%), effective from 1 January 2012; then progressively to 0.50 %, effective from 1 January 2020, subject to a feasibility review to be completed no later than 2018.</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limits applicable in Sulphur Emission Control Areas (SECAs) will be reduced to 1.00%, beginning on 1 July 2010 (from the current 1.50 %); being further reduced to 0.10 %, effective from 1 January 2015.</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These requirements could require modifications to Global Ship Lease’s vessels to achieve compliance. Global Ship Lease is evaluating these requirements and the alternatives for achieving compliance. The costs to comply with these requirements may be material or significant to the company’s operations.</w:t>
      </w:r>
    </w:p>
    <w:p>
      <w:pPr>
        <w:spacing w:after="0" w:line="12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The operation of Global Ship Lease’s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adopt a safety and environmental protection policy;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within the provision of the ISM Code; procedures to prepare guidelines and respond to emergency situation; and procedures for internal audits and management reviews.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2008, each of the vessels in the fleet, and the entities managing or owning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3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IMO has also adopted an International Convention for the Control and Management of Ships’ Ballast Water and Sediments, or BWM Convention. The BWM Convention’s implementing regulations call for a phased introduction of mandatory ballast water exchange requirements beginning in 2009,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As of February 4, 2009, the BWM Convention has not yet been adopted by the required number of states to come into force. The IMO has indicated that it may seek to postpone the deadline for inclusion of ballast water treatment facilities on newly built ships to the end of 2011. Please see “Ballast Water Management,” below, for a discussion of possible impacts of increased ballast water management regulation.</w:t>
      </w:r>
    </w:p>
    <w:p>
      <w:pPr>
        <w:spacing w:after="0" w:line="14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In 2001, the IMO adopted the International Convention on Civil Liability for Bunker Oil Pollution Damage, or the Bunker Convention, which imposes strict liability on ship owners for pollution damage in jurisdictional waters of ratifying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1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w:t>
      </w:r>
    </w:p>
    <w:p>
      <w:pPr>
        <w:spacing w:after="0" w:line="132" w:lineRule="exact"/>
        <w:rPr>
          <w:sz w:val="20"/>
          <w:szCs w:val="20"/>
          <w:color w:val="auto"/>
        </w:rPr>
      </w:pPr>
    </w:p>
    <w:p>
      <w:pPr>
        <w:jc w:val="both"/>
        <w:ind w:right="200"/>
        <w:spacing w:after="0" w:line="310" w:lineRule="auto"/>
        <w:rPr>
          <w:sz w:val="20"/>
          <w:szCs w:val="20"/>
          <w:color w:val="auto"/>
        </w:rPr>
      </w:pPr>
      <w:r>
        <w:rPr>
          <w:rFonts w:ascii="Times New Roman" w:cs="Times New Roman" w:eastAsia="Times New Roman" w:hAnsi="Times New Roman"/>
          <w:sz w:val="16"/>
          <w:szCs w:val="16"/>
          <w:color w:val="auto"/>
        </w:rPr>
        <w:t>Increasingly, independent agencies representing various nations and regions are adopting additional unilateral requirements on the operation of vessels in their territorial waters. These regulations, as described below, apply to its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United States Oil Pollution Act of 1990</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in the United States, including its territories and possessions,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whose vessels operate in United States waters, which includes the United States’ territorial sea and its two hundred nautical mile exclusive economic zone. Although OPA is primarily directed at oil tankers (which are not owned or operated by Global Ship Lease), it also applies to non-tanker ships, including containerships, with respect to the fuel oil, or bunkers, used to power such ships.</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51"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resources damage and the costs of assessment thereof;</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damage;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taxes, royalties, rents, fees and other lost revenues;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profits or impairment of earning capacity due to property or natural resources damage; and</w:t>
      </w:r>
    </w:p>
    <w:p>
      <w:pPr>
        <w:spacing w:after="0" w:line="90"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cost of public services necessitated by a spill response, such as protection from fire, safety or health hazards, and loss of subsistence use of natural resources.</w:t>
      </w:r>
    </w:p>
    <w:p>
      <w:pPr>
        <w:spacing w:after="0" w:line="1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Global Ship Lease intends to comply with all applicable state regulations in the ports where its vessels call.</w:t>
      </w:r>
    </w:p>
    <w:p>
      <w:pPr>
        <w:spacing w:after="0" w:line="14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Global Ship Lease intends to maintain pollution liability coverage insurance in the amount of $1.0 billion per incident for each of its vessels. If the damages from a catastrophic spill were to exceed its insurance coverage it could have an adverse effect on its business and results of operation.</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its vessels that plan on entering U.S. waters, Global Ship Lease intends to comply with the United States Coast Guard regulations by providing a certificate of responsibility from third party entities that are acceptable to the United States Coast Guard evidencing sufficient self-insurance.</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Global Ship Lease and its competitors.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Title VII of the Coast Guard and Maritime Transportation Act of 2004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issued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 discharge or threat of discharge of oil from the vessel due to operational activities or casualties. Global Ship Lease is in the process of preparing plans to comply with the requirements of the CGMTA and OPA. Global Ship Lease’s vessels that call at U.S. ports have appropriate vessel response plans filed with the United States Coast Guard and copies are available onboard.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Comprehensive Environmental Response, Compensation, and Liability Act</w:t>
      </w:r>
    </w:p>
    <w:p>
      <w:pPr>
        <w:spacing w:after="0" w:line="9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Ballast Water Management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absence of federal standards, states have enacted legislation or regulations to address invasive species through ballast water and hull cleaning management and permitting requirements. For example, Michigan has approved a law requiring vessels to obtain a ballast water discharge permit to operate in state waters and use certain technologies to prevent the introduction of non-native species into waters of the state. The Michigan Department of Environmental Quality has approved four options for ballast water treatment that involve sodium hypochlorite, chlorine dioxide, ultraviolet light radiation, or de-oxygenation. The use of these technologies may be costly for oceangoing vessels operating in Michigan ports to implement. The Sixth Circuit rejected a challenge to this law in November 2007, and it is unclear if it will be challenged on other grounds.</w:t>
      </w:r>
    </w:p>
    <w:p>
      <w:pPr>
        <w:spacing w:after="0" w:line="13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Similarly, 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 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2009, with a final performance standard of zero detectable living organisms going into effect on January 1, 2020. Other states may create other similar hull cleaning regulations or ballast water performance standards that could increase the costs of operating in state waters of the United States.</w:t>
      </w:r>
    </w:p>
    <w:p>
      <w:pPr>
        <w:spacing w:after="0" w:line="1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must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w:t>
      </w:r>
    </w:p>
    <w:p>
      <w:pPr>
        <w:spacing w:after="0" w:line="14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Changes in ballast water management rules and regulations, either in the United States or internationally (please see “International Maritime Organization” above), could increase the cost of compliance for ocean carriers, including requiring installation of equipment of ballast water treatment systems on vessels at substantial cost.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Federal Clean Air Act of 1970, as amended by the Clean Air Act Amendments of 1977 and 1990, or the CAA, requires the EPA to promulgate standards applicable to emissions of volatile organic compounds and other air contaminants. The company’s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in November 2007, the EPA issued an Advance Notice of Proposed Rulemaking regarding its plan to propose more stringent emission standards and other related provisions for new Category 3 marine engines. The standards under consideration are consistent with the U.S. Government’s proposal to amend Annex VI of MARPOL discussed above, by establishing lower standards for vessel emissions of particulate matter, sulfur oxides, and nitrogen oxides. Certain emission standards under consideration could take effect as early as 2011. This announcement comes as the EPA is defending a lawsuit seeking to require new limits for emissions from Category 3 marine diesel engines on U.S. and foreign-flagged vessels operating in U.S. waters. If these amendments are implemented and apply to existing vessels (as opposed to vessels manufactured after the effective date), we may incur costs to install equipment in these vessels to comply.</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A risk exists that new regulations could require significant capital expenditures and otherwise increase our costs.</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sulfur fuels. The Office of Administrative Law approved the rulemaking and filed it with the Secretary of State on May 29, 2009. The regulation became effective on June 28, 2009.</w:t>
      </w:r>
    </w:p>
    <w:p>
      <w:pPr>
        <w:spacing w:after="0" w:line="136"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waters of the European Union, or the EU, the company’s vessels are subject to regulation EU-level directives implemented by the various nations through laws and regulations of these requirements. These laws and regulations prescribe measures to prevent pollution, protect the environment, and support maritime safety. For instance, the EU has adopted directives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EU’s directive on the sulfur content of fuels restricts the maximum sulfur content of marine fuels used in vessels operating in EU member states’ exclusive economic zones. Under this Directive, our vessels may need to make expenditures to comply with the sulfur fuel content limits in the marine fuel they use in order to avoid delays or other obstructions to their operations. The EU has also issued a directive adopting the IMO’s standards for the maximum sulfur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39"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97"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7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costs of operating, potentially affecting financial performance.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impossible to predict what additional legislation or regulations, if any, may be promulgated by the European Union or any other country or authority.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Regions</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environmental protection regimes in other relatively high-income countries, such as Canada, resemble those of the United States. To the extent Global Ship Lease’s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its vessels and may entail significant expenditures on its part and may increase the company’s costs to operate its fleet. These requirements, however, would apply to the industry as a whole and would also affect Global Ship Lease’s competitors.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Vessel Security Regulations</w:t>
      </w:r>
    </w:p>
    <w:p>
      <w:pPr>
        <w:spacing w:after="0" w:line="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58"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to enhance vessel-to-vessel and vessel-to-shore communications;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Global Ship Lease has implemented various security measures addressed by SOLAS and the ISPS Code for the vessels in its initial fleet and intends to do so in the future for the vessels of its contracted fleet.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 Container Screening</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and Liability Insurance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Global Ship Lease maintains marine hull and machinery insurance, war risks insurance, protection and indemnity cover, increased value insurance and freight, demurrage and defense cover for all its vessels in amounts that it believes to be prudent to cover normal risks in its operations, but Global Ship Lease may not be able to maintain these levels of coverage throughout its vessels’ useful lives. Furthermore, while Global Ship Lease believes that its insurance coverage will be adequate, not all risks can be insured, and there can be no guarantee that any specific claim will be paid, or that Global Ship Lease will always be able to obtain adequate insurance coverage at reasonable rates.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Loss of Hire and War Risks Insurance</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Global Ship Lease maintains marine hull and machinery and war risks insurances, which cover the risk of actual or constructive total loss, for all of its vessels. Its vessels are each covered up to at least fair market value, which Global Ship Lease expects to assess at least annually, with certain deductibles per vessel per incident. Global Ship Lease also maintains increased value coverage for each of its vessels under which in the event of total loss or constructive total loss of a vessel, Global Ship Lease will be entitled to recover amounts otherwise not recoverable under its basic hull and machinery or war policies due to under-insurance. Under the terms of its credit facility, Global Ship Lease has assigned these insurance policies to its lenders and is subject to restrictions on its use of any proceeds there from.</w:t>
      </w:r>
    </w:p>
    <w:p>
      <w:pPr>
        <w:spacing w:after="0" w:line="13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Global Ship Lease generally does not obtain loss-of-hire insurance covering the loss of revenue during extended off-hire periods. Global Ship Lease will evaluate the need for such coverage on an ongoing basis, taking into account insurance market conditions and the employment of its vessels.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Protection and indemnity insurance is mutual indemnity insurance provided by mutual protection and indemnity associations, or P&amp;I Associations, which insure its third-party and crew liabilities in connection with its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Subject to the “capping” discussed below, its coverage, except for pollution, will be unlimited. Its protection and indemnity insurance coverage for pollution will be $1.0 billion per vessel per incident.</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Global Ship Lease intends to remain a member of a P&amp;I Association that is a member of the International Group, and as such, Global Ship Lease will be subject to calls payable to the other P&amp;I Associations based on the International Group’s claim records as well as the claim records of all other members of the individual P&amp;I Associations.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9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only material properties are the vessels in its fleet, which are described in Item 4.B. Global Ship Lease does not own any real property.</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for Global Ship Lease and Global Ship Lease’s Predecessor Group, or the Predecessor Group, should be read in conjunction with Global Ship Lease’s combined financial statements and the related notes and the financial and other information included elsewhere in this Annual Report. The term combined financial statements refers to the combined financial statements of Global Ship Lease, and its subsidiaries, and the Predecessor Group. The term Predecessor Group refers to the container shipping services provided by CMA CGM, and certain of its subsidiaries, using the vessels of Global Ship Lease’s initial fleet before they were purchased by Global Ship Lease. CMA CGM and its subsidiaries are in the business of providing container shipping services to shippers and earning revenue by carrying containerized cargo, whereas Global Ship Lease is a vessel owner earning revenue from chartering out its vessels. Further, as a result of the Merger between Global Ship Lease and Marathon on August 14, 2008, the combined financial statements for the year ended December 31, 2008 are not comparable to prior periods, primarily as a result of the change in the capital and legal structure of the company and the effect of the purchase price allocation in connection with the Merger on periods subsequent to August 14, 2008. The period from January 1 to August 14, 2008 is described as Predecessor and August 15 to December 31, 2008 as Successor.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financial statements include:</w:t>
      </w:r>
    </w:p>
    <w:p>
      <w:pPr>
        <w:spacing w:after="0" w:line="90" w:lineRule="exact"/>
        <w:rPr>
          <w:sz w:val="20"/>
          <w:szCs w:val="20"/>
          <w:color w:val="auto"/>
        </w:rPr>
      </w:pPr>
    </w:p>
    <w:p>
      <w:pPr>
        <w:ind w:left="900" w:hanging="325"/>
        <w:spacing w:after="0" w:line="25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carve out financial information reflecting the results and financial position of the 10 secondhand vessels and two newly built vessels (from their dates of purchase by the Predecessor Group) as they were operated by the Predecessor Group, in its business as a container shipping company, for the period up to the dates in December 2007 that CMA CGM sold the 10 secondhand vessels to Global Ship Lease, and the dates in January 2008 that CMA CGM sold the two newly built vessels to Global Ship Lease;</w:t>
      </w:r>
    </w:p>
    <w:p>
      <w:pPr>
        <w:spacing w:after="0" w:line="55" w:lineRule="exact"/>
        <w:rPr>
          <w:rFonts w:ascii="Times New Roman" w:cs="Times New Roman" w:eastAsia="Times New Roman" w:hAnsi="Times New Roman"/>
          <w:sz w:val="18"/>
          <w:szCs w:val="18"/>
          <w:color w:val="auto"/>
        </w:rPr>
      </w:pPr>
    </w:p>
    <w:p>
      <w:pPr>
        <w:jc w:val="both"/>
        <w:ind w:left="900" w:right="320" w:hanging="325"/>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financial position of the 10 secondhand vessels and the two newly built vessels as they were operated by Global Ship Lease, in its business as a vessel owner earning revenue from chartering out vessels, from the dates of the vessels’ acquisition in December 2007 and January 2008 by Global Ship Lease from CMA CGM; and</w:t>
      </w:r>
    </w:p>
    <w:p>
      <w:pPr>
        <w:spacing w:after="0" w:line="51"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financial position of the three secondhand vessels and one newly built vessel as they were operated by Global Ship Lease, in its business as a vessel owner earning revenue from chartering out vessels, from the dates of the vessels’ acquisition in December 2008 by Global Ship Lease from CMA CGM.</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Assets, liabilities, revenues and expenses that relate to the Predecessor Group have been included where relevant in the combined financial statements. The shipping interests and other assets, liabilities, revenues and expenses of the Predecessor Group that do not relate to vessels in Global Ship Lease’s initial fleet are not included in the combined financial statements.</w:t>
      </w:r>
    </w:p>
    <w:p>
      <w:pPr>
        <w:spacing w:after="0" w:line="1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combined financial statements have been prepared in accordance with the generally accepted accounting principles in the United States of America, which we refer to as U.S. GAAP, and are presented in United States dollars.</w:t>
      </w:r>
    </w:p>
    <w:p>
      <w:pPr>
        <w:spacing w:after="0" w:line="12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This discussion contains forward-looking statements based on assumptions about Global Ship Lease’s future business. Global Ship Lease’s actual results will likely differ materially from those contained in the forward-looking statements. See “Special Note Regarding Forward-Looking Statements.”</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Ship Lease acquired 10 secondhand vessels in December 2007, two newly built vessels in January 2008 and three secondhand vessels and one newly built vessel in December 2008. In August 2009, the company also purchased a further second-hand vessel from CMA CGM, chartered to CMA CGM for 12 years. All 17 vessels are chartered to CMA CGM under fixed-rate time charters, with staggered expirations, for terms that range from five years to 17 years. Each charter commenced on the delivery of the relevant vessel to Global Ship Lease.</w:t>
      </w:r>
    </w:p>
    <w:p>
      <w:pPr>
        <w:spacing w:after="0" w:line="13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company has also contracted to purchase two newly built vessels from German interests scheduled for delivery in the fourth quarter of 2010. These two vessels are to be chartered to Zim for seven to eight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Ship Lease has entered into ship management agreements with its Ship Manager for the day-to-day technical management of its current fleet of vessels.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“Business Overview—Ship Management Agreements” for a more detailed description of Global Ship Lease’s ship management agreements.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 Ship Lease commenced its business operations in December 2007 with its acquisition of the 10 secondhand vessels from CMA CGM. Global Ship Lease’s operations as a time charter owner differ significantly from the historical operations of the Predecessor Group upon which the Predecessor Group’s historical carve-out financial information included in the combined financial statements is based. In particular, Global Ship Lease generates revenues primarily from charter payments made to it by the charterers of its vessels and not from freight rates for transporting cargoes as undertaken by the Predecessor Group. Costs are also different. Global Ship Lease’s expenses consist mainly of vessel operating expenses including for crewing, provision of lubricating oil and for routine maintenance, as well as insurance costs and general and administrative expenses. Global Ship Lease does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Global Ship Lease believes that its contracted revenue under the fixed rate time charters that are in place and fixed fee and capped operating costs arrangements will help provide it with a stable cash flow that is sufficient for Global Ship Lease’s present operating requirements.</w:t>
      </w:r>
    </w:p>
    <w:p>
      <w:pPr>
        <w:spacing w:after="0" w:line="1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Global Ship Lease’s operations as shipowner differ significantly from the business operations of the Predecessor Group as a vessel operator, trends or performance that likely had a material effect on the Predecessor Group’s revenues will likely have limited direct impact on Global Ship Lease’s future revenues, except to the extent that these trends are a result of changing economic conditions in the overall containership industry, which may affect the viability of Global Ship Lease’s customers or generally affect the global demand for and the supply of containerships.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performance of the charter agreements;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vessels in Global Ship Lease’s fleet and their charter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days that Global Ship Lease’s vessels are utilized and not subject to drydocking, special surveys or otherwise are off-hire;</w:t>
      </w:r>
    </w:p>
    <w:p>
      <w:pPr>
        <w:spacing w:after="0" w:line="90"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Ship Lease’s ability to control its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the pricing and other terms of, Global Ship Lease’s credit facility.</w:t>
      </w:r>
    </w:p>
    <w:p>
      <w:pPr>
        <w:spacing w:after="0" w:line="17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Global Ship Lease has entered into long-term fixed rate time charters for all of its vessels. Global Ship Lease expects that its base revenue will be largely fixed until (a) any of its charters expire or otherwise terminate when it will need to seek a renewal or recharter, at possibly a significantly different and lower rate depending on market conditions at the time, or (b) it acquires additional vessels. Global Ship Lease’s shortest time charter agreements expire in December 2012 on two vessels. The charter rate that it will be able to achieve on renewal will be affected by market conditions at that time. As discussed further below, operational matters such as off-hire days for planned maintenance or for unexpected accidents and incidents affect the actual amount of revenues Global Ship Lease receives.</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CMA CGM is currently Global Ship Lease’s only customer and charter payments from CMA CGM are Global Ship Lease’s sole source of operating cash flow. At any given time in the future, the cash resources of CMA CGM may be diminished or exhausted, and Global Ship Lease cannot assure its shareholders that CMA CGM will be able to make charter payments to it. In particular, CMA CGM announced in September 2009 that CMA CGM and its lenders are exploring a potential financial restructuring and that CMA CGM is seeking to reduce and in some cases cancel certain ship deliveries. If CMA CGM is unable to make charter payments to it, Global Ship Lease’s results of operations and financial condition will be materially adversely affected. Currently, Global Ship Lease has good commercial relations with CMA CGM, and has no reason to believe that CMA CGM will not be able to meet its commitments under its charter agreements with Global Ship Lease.</w:t>
      </w:r>
    </w:p>
    <w:p>
      <w:pPr>
        <w:spacing w:after="0" w:line="14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If Global Ship Lease’s existing charters with CMA CGM were terminated and Global Ship Lease was required to recharter at lower rates or if it failed to find new charters due to market conditions, its results of operations and financial condition would be materially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9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and $18,570,135 in cash.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have been prepared in accordance with U.S. GAAP, which requires Global Ship Lease to make estimates in the application of certain accounting policies based on its best assumptions, judgments and opinions. Global Ship Lease bases these estimates on the information available to it at the time and on various other assumptions it believes are reasonable under the circumstances. The following is a discussion of the principal accounting policies of Global Ship Lease and the Predecessor Group, some of which involve a high degree of judgment, and the methods of their application.</w:t>
      </w:r>
    </w:p>
    <w:p>
      <w:pPr>
        <w:spacing w:after="0" w:line="13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For a further description of Global Ship Lease’s material accounting policies, including for the Merger, please see notes 3 and 4 to the combined financial statements included elsewhere in this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Financial Statements of the Vessels of Global Ship Lease’s Initial Fleet</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combined financial statements up to December 31, 2007 reflect mainly the financial position, results of operations and cash flows of the 10 secondhand vessels of Global Ship Lease’s initial fleet as they were operated by the Predecessor Group, in its business as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containership operator, up to the dates that those vessels were sold to Global Ship Lease by CMA CGM in December 2007. The combined financial statements up to December 31, 2008 include the two newly built vessels for the period of the Predecessor Group’s ownership up to dates in January 2008 when they were also sold to Global Ship Lease. The relevant financial information has been carved out of the consolidated financial statements of CMA CGM and its subsidiaries. The Predecessor Group’s business is as a containership operating company providing cargo transportation services, not as an independent shipowner as is Global Ship Lease’s business. Global Ship Lease believes that the information on these vessels, including their assets, liabilities, results of operations and cash flows, reasonably represent those vessels’ financial position, results of operations and cash flows for the Predecessor Group. However, the carve-out financial information on those vessels and their financial positions, results of operations and cash flows are not indicative of those that would have been realized had those or all the vessels of Global Ship Lease’s initial fleet been operated by it as an independent, stand-alone shipowning entity for the periods presented. For example, the combined financial statements for the year ended December 31, 2007 include only 159 ship days, all in December 2007, when the 10 secondhand vessels were owned by Global Ship Lease and operated by it in its business as a vessel owner chartering out its vessels on long-term time charters. These 10 vessels were owned by Global Ship Lease for 3,660 ship days in the year ended December 31, 2008. Accordingly, the financial position, results of operations and cash flows reflected in the combined financial statements are not indicative of those that would have been achieved had Global Ship Lease’s operated as an independent, stand-alone entity for the periods presented or of future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Successor / Predecessor presentation</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SAB Topic 5-J, Global Ship Lease reports separately the historical financial information related to its Predecessor which was acquired at the time of the Merger in August 2008. Accordingly, the combined financial statements up to December 31, 2008 include two distinct reporting periods (i) January 1, 2006 through August 14, 2008 (“Predecessor”) and (ii) August 15, 2008 through December 31, 2008 (“Successor”), which relate to the period preceding the Merger referred to in Note 1 to combined financial statements and the period succeeding the Merger, respectively. Predecessor and Successor historical financial information is presented on the face of the combined balance sheet, combined statements of income, cash flow and shareholders’ equity with vertical “black line” between the Predecessor and Successor columns as these periods refer to two different entities.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(“SFAS”) No. 141, “Business Combinations” (“SFAS 141”), the purchase method of accounting is used to account for the acquisition of Global Ship Lease Inc. The cost of the acquisition is measured as the fair value of the assets given, equity instruments issued at the date of acquisition, plus costs directly attributable to the acquisition. The acquired assets, assumed liabilities, contractual contingencies and contingent liabilities, are recognized and measured at their fair value at the acquisition date. Management considered a number of factors, including valuations and appraisals, in determining the fair values of assets. Liabilities were revalued at using appropriate then current interest rates. In addition to revaluing existing assets and liabilities, Global Ship Lease recorded certain previously unrecognized assets and liabilities, including an intangible asset for the favorable purchase agreements related to the five vessels to be delivered post Merger and an intangible liability for below-market charters. The sum of the amounts assigned to assets and liabilities exceeded the allocable purchase price, creating negative goodwill. In accordance with SFAS 141, Global Ship Lease allocated this negative goodwill as a reduction of asset values (to vessels in operation, other fixed assets, and intangible assets) on a pro-rata basis.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Unlike the Predecessor Group, whose revenue was derived from freight revenue generated by cargo transportation services, Global Ship Lease’s charter revenue is generated from long-term time charters for each vessel. The charters are regarded as operating leases and provide for a per vessel fixed daily charter rate. Revenue is recorded as earned. Assuming Global Ship Lease’s vessels are not off-hire, Global Ship Lease’s charter revenues are fixed for the period of the current charters and, accordingly, little judgment is required to be applied to the amount of revenue recognition.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lease and similar transactions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Global Ship Lease’s charter hire agreements are classified as operating leases based on the facts and circumstances at their inception. In accordance with SFAS 13 “Accounting for lease” (“SFAS 13”), an operating lease is a lease agreement that does not transfer substantially all the risks and rewards incidental to the ownership to the lessee. The company pays a particular attention in evaluating and applying the proper accounting treatment to lease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Vessel Lives</w:t>
      </w:r>
    </w:p>
    <w:p>
      <w:pPr>
        <w:spacing w:after="0" w:line="9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Vessels represent Global Ship Lease’s most significant tangible assets and Global Ship Lease states them in its financial statements at their acquisition cost (less an amount allocated to dry dock component), less accumulated depreciation and impairment loss, if any. Following the Merger, the vessels are recorded at their fair value less a proportion of the negative goodwill arising on the acquisition, allocated to these vessels.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Borrowing costs incurred during the construction of vessels or as part of the prefinancing of the acquisition of vessels are capitalized. Interest capitalized in the year ended December 31, 2008 was $1,643 (2007: $833 and 2006: $nil). Other borrowing costs are expensed as incurred.</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containerized transportation, the useful life was estimated at 25 years. Following the sale of the vessels to Global Ship Lease, the nature of operations changed significantly and the useful life was reassessed and estimated to be 30 years as Global Ship Lease anticipates that it will be able to earn revenue from its vessels at least until they are 30 years old.</w:t>
      </w:r>
    </w:p>
    <w:p>
      <w:pPr>
        <w:spacing w:after="0" w:line="13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Should certain factors or circumstances cause Global Ship Lease to revise its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Global Ship Lease’s control.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Predecessor Group entered into bunker derivative agreements to reduce its exposure to cash flow risks from changing bunker prices. In accordance with the requirements of U.S. GAAP, Global Ship Lease has recognized these derivative instruments on its balance sheet at fair value with the changes in the fair value of these derivative instruments recognized in the statement of income or deferred in equity within “Accumulated other comprehensive income/(loss)” until settlement of the hedge transaction. Global Ship Lease does not expect to enter into such hedging transactions in its on-going business as bunker costs are borne by its charterers.</w:t>
      </w:r>
    </w:p>
    <w:p>
      <w:pPr>
        <w:spacing w:after="0" w:line="13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connection with its credit facility and as part of overall risk management, Global Ship Lease has entered into interest rate swap agreements to reduce its exposure to cash flow risks from floating interest rates. See Item 11 “Quantitative and Qualitative Disclosure About Market Risk—Interest Rate Risk” for more information about Global Ship Lease’s interest rate swap agreements. The swaps are not accounted for as hedging instruments as they have not been designated as such and are not effective in mitigating the risks of changes in interest rates under U.S. GAAP. As such swaps are not accounted for as hedging instruments, Global Ship Lease recognizes them on its balance sheet at fair value with the changes in the fair value of these derivative instruments (mark to market adjustment) recognized in the statement of income. Global Ship Lease will not hold or issue derivative financial instruments for trading or other speculative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92"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In accordance with SFAS 144 “Accounting for the Impairment or Disposal of Long-Lived Assets” (“SFAS 144”) Global Ship Lease’s long-lived assets are regularly reviewed for impairment. Global Ship Lease performs the impairment test at the individual vessel level pursuant to paragraph 10 of SFAS 144.</w:t>
      </w:r>
    </w:p>
    <w:p>
      <w:pPr>
        <w:spacing w:after="0" w:line="7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Due to the global economic downturn and significantly reduced demand for container shipping services and thus for containerships, combined with continuing delivery of newbuilds, containership values have experienced dramatic declines in recent months. The book value of the Global Ship Lease’s fleet is likely to be greater than its market value based on ship brokers’ valuation. Please see — Item 3 “Key Information—Risk Factors”.</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determine whether there is an impairment indicator under SFAS 144, Global Ship Lease compares the sum of the undiscounted future cash flows resulting from existing charters for each vessel less estimated operating and dry dock expenses, plus the estimated undiscounted residual value of each vessel at the end of the charter, with its book value at the end of each reporting period in order to determine if the book value of such vessel is recoverable. The residual value at the end of the charter is determined taking into account the impact of possible future new charters and operating and dry dock expenses and/or the eventual disposition of the vessel.</w:t>
      </w:r>
    </w:p>
    <w:p>
      <w:pPr>
        <w:spacing w:after="0" w:line="13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Global Ship Lease’s management team. Actual results could differ from those estimates, which could have a material effect on the recoverability of the vessels.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assumptions used are:</w:t>
      </w:r>
    </w:p>
    <w:p>
      <w:pPr>
        <w:spacing w:after="0" w:line="90" w:lineRule="exact"/>
        <w:rPr>
          <w:sz w:val="20"/>
          <w:szCs w:val="20"/>
          <w:color w:val="auto"/>
        </w:rPr>
      </w:pPr>
    </w:p>
    <w:p>
      <w:pPr>
        <w:jc w:val="both"/>
        <w:ind w:left="900" w:right="360" w:hanging="325"/>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possible future new charters, future market values and/or the eventual disposition of each vessel. Estimates are based on market data and reports, including for the chartering and sale of comparable vessels, prepared by the industry press and by independent shipping analysts and brokers, and assessment by management thereof.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00"/>
        <w:spacing w:after="0" w:line="275" w:lineRule="auto"/>
        <w:rPr>
          <w:sz w:val="20"/>
          <w:szCs w:val="20"/>
          <w:color w:val="auto"/>
        </w:rPr>
      </w:pPr>
      <w:r>
        <w:rPr>
          <w:rFonts w:ascii="Times New Roman" w:cs="Times New Roman" w:eastAsia="Times New Roman" w:hAnsi="Times New Roman"/>
          <w:sz w:val="18"/>
          <w:szCs w:val="18"/>
          <w:color w:val="auto"/>
        </w:rPr>
        <w:t>assumed charter rates subsequent to initial charter are based on the 10 years average historical charter rates and range from $18,900 for 2,207 TEUs to $60,400 for 10,960 TEUs.</w:t>
      </w:r>
    </w:p>
    <w:p>
      <w:pPr>
        <w:spacing w:after="0" w:line="52"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days on-hire which are estimated at a level consistent with Global Ship Lease’s on-hire statistics and peer group benchmarking;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life;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costs including insurance;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drydock expenses which are estimated based on one drydock every five years.</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An impairment charge would occur for certain vessels if the forecasted charter rates were 60% less than the average historical charter rates assumed from the end of the initial charter term for the remaining lives of the vessels.</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Whenever the sum of the undiscounted future cash flows resulting from the charter of each vessel less operating expenses plus its expected residual value is above its book value, Global Ship Lease considers that there is no indication of impairment. Whenever the sum of the undiscounted future cash flows resulting from the charter of each vessel less operating expenses plus its expected residual value is below its book value, Global Ship Lease considers that there is a potential impairment and perform a recoverability test, similar to the above but based on discounted cashflows. An impairment loss will be recognized if the book value of the vessel exceeds the sum of the discounted cash flows expected to result from the use and eventual disposition of the vessel.</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 of December 31, 2008, Global Ship Lease concluded that the undiscounted sum of the undiscounted future cash flows resulting from the charter of each vessel less operating expenses plus its expected residual value exceeded the vessel’s book value and accordingly the recoverability test of the impairment analysis was not required as no individual impairment of vessels existed.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Drydocking</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Global Ship Lease’s drydocking costs are recognized as a component of the cost of the related vessel, depreciated to the date of the next drydocking. Global Ship Lease’s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3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Upon initial purchase, an element of the purchase price is allocated to the drydock component and is amortized on a straight line basis to the next anticipated drydocking.</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One vessel was drydocked in 2008 for a total cost of $1.5 million. In 2007, three vessels were drydocked by the Predecessor Group for a total cost of $4.7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9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Global Ship Lease has awarded restricted stock units to its employees which vest, based on service conditions only, over a period of time up to three years from the award date. In addition, half of the base compensation paid to the directors is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April 9, 2009, the FASB issued FASB Staff Position (FSP) No. 107-1 and APB 28-1 (FSP 107-1 and APB 28-1), “Interim Disclosures about Fair Value of Financial Instruments.” This FSP requires disclosures of fair value for any financial instruments not currently reflected at fair value on the balance sheet for all interim periods. This FSP is effective for interim and annual periods ending after June 15, 2009 and should be applied prospectively. The adoption of this pronouncement did not have a material impact on the company’s financial statements.</w:t>
      </w:r>
    </w:p>
    <w:p>
      <w:pPr>
        <w:spacing w:after="0" w:line="136"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On April 9, 2009 the FASB issued FSP No. 115-2 and Financial Accounting Standard (FAS) 124-2 (FSP No. 115-2 and FAS 124-2), “Recognition and Presentation of Other Than Temporary Impairments.” This FSP is intended to bring greater consistency to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timing of impairment recognition, and provide greater clarity to investors about the credit and noncredit components of impaired debt securities that are not expected to be sold. This FSP also requires increased and more timely disclosures regarding expected cash flows, credit losses, and an aging of securities with unrealized losses. This FSP is effective for interim and annual periods ending after June 15, 2009 and should be applied prospectively. The adoption of this pronouncement did not have a material impact on the company’s financial statements.</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FASB “Accounting Standards Codification” (the Codification) became effective on July 1, 2009, officially becoming the single source of authoritative non-governmental U.S. generally accepted accounting principles (GAAP), superseding existing FASB, American Institute of Certified Public Accountants (AICPA), Emerging Issues Task Force (EITF), and related accounting literature. Only one level of authoritative GAAP now exists and it is termed Accounting Standards Codification (“ASC”). All other accounting literature is considered non-authoritative. The Codification reorganizes GAAP pronouncements into accounting topics and displays them using a consistent structure. Also included in the Codification is relevant Securities and Exchange Commission (SEC) guidance organized using the same topical structure in separate sections within the Codification. This has impacted the company’s financial statements as all references to authoritative accounting literature has now been referenced in accordance with the Codification.</w:t>
      </w:r>
    </w:p>
    <w:p>
      <w:pPr>
        <w:spacing w:after="0" w:line="14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May 2009, the FASB issued guidance now codified as ASC Topic 855, “Subsequent Events,” which establishes general standards of accounting for, and requires disclosure of, events that occur after the balance sheet date but before financial statements are issued or are available to be issued. The company has adopted this pronouncement which is applicable to interim or annual periods ending on or after June 30, 2009 and evaluates for disclosure in its financial statements subsequent events that have occurred up to the date of issuance of the relevant financial statements.</w:t>
      </w:r>
    </w:p>
    <w:p>
      <w:pPr>
        <w:spacing w:after="0" w:line="13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Management do not believe that any other recently issued, but not yet effective accounting pronouncements, if currently adopted, would have a material impact on the combined financial statements of Global Ship 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2008 Compared to Year ended December 31, 2007</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Comparison between these two periods is of limited value as operations in the year ended December 31, 2008 were comprised almost entirely of Global Ship Lease’s on-going business of owning and chartering out containerships under time charters, whereas operations in the year ended December 31, 2007 were comprised almost entirely of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operating revenue</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Operating revenue was $58.0 million for the period from January 1 to August 14, 2008, including time charter revenue of $55.9 million and voyage revenue of $2.1 million, and $39.1 million for the period from August 15 to December 31, 2008 all related to the time charter business. This compares to time charter revenue of $2.9 million and voyage revenue of $332.2 million for the year ended December 31, 2007.</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Time charter revenue reflects income under the fixed rate time charters in effect. The significant increase in time charter revenue between 2007 and 2008 reflects a full year’s contribution of the 10 secondhand vessels purchased by Global Ship Lease in December 2007 and the contribution of the two newly built vessels purchased in January 2008. Certain time charter rates were also increased with effect from April 1 and August 12, 2008. Ownership days in 2008 were 4,416 (1,717 for the Successor and 2,699 for the Predecessor periods) compared to 159 in 2007. There were 45 planned and unplanned off-hire days in 2008 resulting in a utilization rate of 99%. Of the off-hire days, 15 were for the planned drydocking of the </w:t>
      </w:r>
      <w:r>
        <w:rPr>
          <w:rFonts w:ascii="Times New Roman" w:cs="Times New Roman" w:eastAsia="Times New Roman" w:hAnsi="Times New Roman"/>
          <w:sz w:val="18"/>
          <w:szCs w:val="18"/>
          <w:i w:val="1"/>
          <w:iCs w:val="1"/>
          <w:color w:val="auto"/>
        </w:rPr>
        <w:t>Delmas Keta</w:t>
      </w:r>
      <w:r>
        <w:rPr>
          <w:rFonts w:ascii="Times New Roman" w:cs="Times New Roman" w:eastAsia="Times New Roman" w:hAnsi="Times New Roman"/>
          <w:sz w:val="18"/>
          <w:szCs w:val="18"/>
          <w:color w:val="auto"/>
        </w:rPr>
        <w:t xml:space="preserve"> in March. In 2007, there was one day off-hire and utilization was 99%.</w:t>
      </w:r>
    </w:p>
    <w:p>
      <w:pPr>
        <w:spacing w:after="0" w:line="13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Voyage revenue of $2.1 million in 2008 is the revenue earned by the Predecessor Group in carrying cargo on the two newly built vessels up to their dates of sale to Global Ship Lease in January 2008. Voyage revenue at $332.2 million in 2007 is significantly higher as it represents the Predecessor Group’s freight revenue carrying containerized cargo on the 10 vessels owned by it throughout almost all of 2007 and the two newly built vessels from their delivery to the Predecessor Group in November and December 2007 that are now owned by Global Ship Lease.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operating expenses totaled $36.1 million for the period from January 1 to August 14, 2008 (or 62% of operating revenue) and $24.2 million for the period from August 15 to December 31, 2008 (or 62% of operating revenue). This compares to $304.9 million in 2007 (or 91% of operating revenue). The significant drop in total operating expenses is due to the change in business model and the elimination of voyage expenses, which were $249.5 million in 2007, from the cost base. Operating expenses can be analyzed as follows:</w:t>
      </w:r>
    </w:p>
    <w:p>
      <w:pPr>
        <w:spacing w:after="0" w:line="53" w:lineRule="exact"/>
        <w:rPr>
          <w:sz w:val="20"/>
          <w:szCs w:val="20"/>
          <w:color w:val="auto"/>
        </w:rPr>
      </w:pPr>
    </w:p>
    <w:p>
      <w:pPr>
        <w:ind w:left="900" w:right="60" w:hanging="325"/>
        <w:spacing w:after="0" w:line="259"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Voyage expenses: </w:t>
      </w:r>
      <w:r>
        <w:rPr>
          <w:rFonts w:ascii="Times New Roman" w:cs="Times New Roman" w:eastAsia="Times New Roman" w:hAnsi="Times New Roman"/>
          <w:sz w:val="18"/>
          <w:szCs w:val="18"/>
          <w:color w:val="auto"/>
        </w:rPr>
        <w:t>Voyage expenses, which are associated only with the Predecessor Group’s activity of earning freight revenue, were $1.9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relating only to the two newly built ships for the part of January whilst they were owned by the Predecessor Group. Voyage expenses of $249.5 million in 2007 (or 74% of operating revenue) related to 10 secondhand vessels for the entire period and the two newly built vessels for part of the year.</w:t>
      </w:r>
    </w:p>
    <w:p>
      <w:pPr>
        <w:spacing w:after="0" w:line="51"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Vessel expenses: </w:t>
      </w:r>
      <w:r>
        <w:rPr>
          <w:rFonts w:ascii="Times New Roman" w:cs="Times New Roman" w:eastAsia="Times New Roman" w:hAnsi="Times New Roman"/>
          <w:sz w:val="18"/>
          <w:szCs w:val="18"/>
          <w:color w:val="auto"/>
        </w:rPr>
        <w:t>Vessel expenses, which relate to the operation of the vessels themselves, were $18.1 million for the period from January 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14, 2008 (or 31% of operating revenue) of which $17.9 million related to the time charter business of Global Ship Lease and $0.2 million related to the Predecessor Group’s business, and $11.9 million for the period from August 15 to December 31, 2008 (or 30% of operating revenue) all related to the time charter business. In 2007, vessel operating expenses were $24.0 million (or 7% of operating revenue) of which $0.7 million related to Global Ship Lease’s time charter business and $23.2 million related to the Predecessor Group’s business. The increase in vessel operating expenses in 2008 for the time charter business and the reduction in these costs related to the Predecessor Group’s business is due to the transfer of vessels from the Predecessor Group to Global Ship Lease.</w:t>
      </w:r>
    </w:p>
    <w:p>
      <w:pPr>
        <w:spacing w:after="0" w:line="54" w:lineRule="exact"/>
        <w:rPr>
          <w:rFonts w:ascii="Times New Roman" w:cs="Times New Roman" w:eastAsia="Times New Roman" w:hAnsi="Times New Roman"/>
          <w:sz w:val="18"/>
          <w:szCs w:val="18"/>
          <w:color w:val="auto"/>
        </w:rPr>
      </w:pPr>
    </w:p>
    <w:p>
      <w:pPr>
        <w:ind w:left="900" w:right="20" w:hanging="325"/>
        <w:spacing w:after="0" w:line="291" w:lineRule="auto"/>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Depreciation: </w:t>
      </w:r>
      <w:r>
        <w:rPr>
          <w:rFonts w:ascii="Times New Roman" w:cs="Times New Roman" w:eastAsia="Times New Roman" w:hAnsi="Times New Roman"/>
          <w:sz w:val="16"/>
          <w:szCs w:val="16"/>
          <w:color w:val="auto"/>
        </w:rPr>
        <w:t>Depreciation was $12.2 million for the period from January 1 to August 14, 2008 (or 21% of operating revenue) of which $11.9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related to the time charter business of Global Ship Lease and $0.3 million related to the Predecessor Group’s business, and was $8.7 million for the period from August 15 to December 31, 2008 (or 22% of operating revenue) all related to the time charter business. In 2007, depreciation was $16.1 million (or 5% of operating revenue) of which $0.6 million related to the time charter business of Global Ship Lease and $15.5 million related to the Predecessor Group’s business. Depreciation in 2008 was higher than 2007 mainly due to the effect of the two newly built vessels being included for a full year in 2008 together with the result of the step-up in the value of vessels under purchase accounting on the Merger offset by the impact of the application of the 30 year vessel life in Global Ship Lease’s ownership compared to 25 years in the Predecessor Group’s ownership.</w:t>
      </w:r>
    </w:p>
    <w:p>
      <w:pPr>
        <w:spacing w:after="0" w:line="32"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 2008 were $3.8 million for the period from January 1 to August 14, 2008 (or</w:t>
      </w:r>
    </w:p>
    <w:p>
      <w:pPr>
        <w:spacing w:after="0" w:line="23" w:lineRule="exact"/>
        <w:rPr>
          <w:rFonts w:ascii="Times New Roman" w:cs="Times New Roman" w:eastAsia="Times New Roman" w:hAnsi="Times New Roman"/>
          <w:sz w:val="18"/>
          <w:szCs w:val="18"/>
          <w:color w:val="auto"/>
        </w:rPr>
      </w:pPr>
    </w:p>
    <w:p>
      <w:pPr>
        <w:ind w:left="90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$1.2 million in the period from August 15 to December 31, 2008. In 2007, general and administrative expenses were $17.8 million (or 5% of operating revenue) of which $0.3 million related to the time charter business of Global Ship Lease and $17.4 million related to the Predecessor Group’s business. General and administrative expenses for the Predecessor Group represent an allocation of the total CMA CGM group overhead and are thus not comparable to the costs incurred by Global Ship Lease as a standalone entity.</w:t>
      </w:r>
    </w:p>
    <w:p>
      <w:pPr>
        <w:spacing w:after="0" w:line="56" w:lineRule="exact"/>
        <w:rPr>
          <w:rFonts w:ascii="Times New Roman" w:cs="Times New Roman" w:eastAsia="Times New Roman" w:hAnsi="Times New Roman"/>
          <w:sz w:val="18"/>
          <w:szCs w:val="18"/>
          <w:color w:val="auto"/>
        </w:rPr>
      </w:pPr>
    </w:p>
    <w:p>
      <w:pPr>
        <w:ind w:left="900" w:hanging="325"/>
        <w:spacing w:after="0" w:line="257"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operating (income) expense: </w:t>
      </w:r>
      <w:r>
        <w:rPr>
          <w:rFonts w:ascii="Times New Roman" w:cs="Times New Roman" w:eastAsia="Times New Roman" w:hAnsi="Times New Roman"/>
          <w:sz w:val="18"/>
          <w:szCs w:val="18"/>
          <w:color w:val="auto"/>
        </w:rPr>
        <w:t>Other operating expense was $0.1 million for the period from January 1 to August 14, 2008, of which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In 2007, other operating income was $(2.3) million and was entirely attributable to the Predecessor Group and related to bunker hedging.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a consequence of all preceding items, operating income was $21.9 million for the period from January 1 to August 14, 2008, of which $24.0 million related to the time charter business of Global Ship Lease and $2.1 million loss related to the Predecessor Group’s business, and $14.9 million for the period from August 15 to December 31, 2008 all related to the time charter business. This compares to $30.2 million in 2007 of which $1.2 million related to the time charter business of Global Ship Lease and $28.9 million related to the Predecessor Group’s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Interest income on cash deposits made by Global Ship Lease in 2008 was $0.4 million for the period from January 1 to August 14, 2008 all related to the time charter business of Global Ship Lease, and $0.4 million for the period from August 15 to December 31, 2008 also all related to the time charter business. There were no such deposits in 2007.</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Interest expense was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$800 million credit facility. Interest expense in 2007 was $13.4 million (or 4% of operating revenue) of which $1.1 million relates to the time charter business and $12.3 million relates to the Predecessor Group’s on borrowings associated with the relevant vessels.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and unrealized gain on derivatives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the balance of $86.0 million becoming effective in 2009 and 2010 when debt is anticipated to be drawn to purchase the one secondhand vessel in July 2009 and the two newly built vessels in fourth quarter 2010. All swap agreements continue until at least March 2013 at the full notional amount, without amortization.</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3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in 2008 was $2.7 million for the period from January 1 to August 14, all related to the time charter business of Global Ship Lease, and $55.3 million loss for the period from August 15 to December 31, 2008 also all related to the time charter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income were not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consequence of all preceding items net income was $7.4 million for the period from January 1 to August 14, 2008, of which $9.5 million related to the time charter business of Global Ship Lease and $(2.1) million loss related to the Predecessor Group’s business, and $(44.0) million loss for the period from August 15 to December 31, 2008 also all related to the time charter business compared to $16.8 million in 2007 of which $0.1 million related to the time charter business and $16.7 million to the Predecessor Group.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2007 Compared to Year ended December 31, 2006</w:t>
      </w:r>
    </w:p>
    <w:p>
      <w:pPr>
        <w:spacing w:after="0" w:line="9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principal operating segment for the two years ended December 31, 2007 was containerized transportation as performed by the Predecessor Group. Global Ship Lease commenced its time charter business in December 2007 when it purchased 10 secondhand vessels from CMA CGM. As a result, this review is a comparison of the performance of the containerized transportation segment between the years ended December 31, 2007 and 2006, and where relevant, an analysis of the results of the vessel owner segment of Global Ship Lease as a time charter operating company for part of December 2007.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Operating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revenue increased 12%, or $35.5 million, from $299.6 million in 2006 to $335.1 million in 2007. $32.6 million of the increase is related to the period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vessels were owned by the Predecessor Group and $2.9 million is related to the period after the vessels had been purchased by Global Ship Lease.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$32.6 million increase in total operating revenue for the period when vessels were under the Predecessor Group’s ownership is despite the loss of 159 service days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sale of the 10 secondhand ships in the initial fleet to Global Ship Lease in December 2007. The $32.6 million increase is additional revenue of $4.5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million earned after the delivery to the Predecessor Group of </w:t>
      </w:r>
      <w:r>
        <w:rPr>
          <w:rFonts w:ascii="Times New Roman" w:cs="Times New Roman" w:eastAsia="Times New Roman" w:hAnsi="Times New Roman"/>
          <w:sz w:val="16"/>
          <w:szCs w:val="16"/>
          <w:i w:val="1"/>
          <w:iCs w:val="1"/>
          <w:color w:val="auto"/>
        </w:rPr>
        <w:t>CMA CGM Alcazar</w:t>
      </w:r>
      <w:r>
        <w:rPr>
          <w:rFonts w:ascii="Times New Roman" w:cs="Times New Roman" w:eastAsia="Times New Roman" w:hAnsi="Times New Roman"/>
          <w:sz w:val="16"/>
          <w:szCs w:val="16"/>
          <w:color w:val="auto"/>
        </w:rPr>
        <w:t xml:space="preserve"> in November 2007, improvement on revenue for $32.7 million on the six CMA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CGM ships, mainly related to increases of freight rates out of Asia and to a reduction of $4.6 million on the four DELMAS ships mainly related to the fact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three of these vessels were drydocked in 2007 losing approximately 40 service days. </w:t>
      </w:r>
      <w:r>
        <w:rPr>
          <w:rFonts w:ascii="Times New Roman" w:cs="Times New Roman" w:eastAsia="Times New Roman" w:hAnsi="Times New Roman"/>
          <w:sz w:val="18"/>
          <w:szCs w:val="18"/>
          <w:i w:val="1"/>
          <w:iCs w:val="1"/>
          <w:color w:val="auto"/>
        </w:rPr>
        <w:t>CMA CGM Chateau d’If</w:t>
      </w:r>
      <w:r>
        <w:rPr>
          <w:rFonts w:ascii="Times New Roman" w:cs="Times New Roman" w:eastAsia="Times New Roman" w:hAnsi="Times New Roman"/>
          <w:sz w:val="18"/>
          <w:szCs w:val="18"/>
          <w:color w:val="auto"/>
        </w:rPr>
        <w:t xml:space="preserve"> was delivered to the Predecessor Group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27, 2007 and that vessel did not contribute to total operating revenue in the year ended December 31, 2007. The $2.9 million revenue in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Global Ship Lease purchased the 10 secondhand vessels in December 2007 is the timecharter earnings for the total of 158 on-hire days for the 10 vessels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month.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Operating expenses increased 21%, or $53.1 million, from $251.9 million in 2006 (or 84% of operating revenue) to $304.9 million in 2007 (or 91% of operating revenue). Out of this amount, $303.3 million is related to the period when vessels were under the Predecessor Group’s ownership, and $1.7 million is related to the period when the vessels were under Global Ship Lease’s ownership. Operating expenses consist of the following items:</w:t>
      </w:r>
    </w:p>
    <w:p>
      <w:pPr>
        <w:spacing w:after="0" w:line="49" w:lineRule="exact"/>
        <w:rPr>
          <w:sz w:val="20"/>
          <w:szCs w:val="20"/>
          <w:color w:val="auto"/>
        </w:rPr>
      </w:pPr>
    </w:p>
    <w:p>
      <w:pPr>
        <w:ind w:left="900" w:right="20" w:hanging="325"/>
        <w:spacing w:after="0" w:line="293"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Voyage expenses: </w:t>
      </w:r>
      <w:r>
        <w:rPr>
          <w:rFonts w:ascii="Times New Roman" w:cs="Times New Roman" w:eastAsia="Times New Roman" w:hAnsi="Times New Roman"/>
          <w:sz w:val="16"/>
          <w:szCs w:val="16"/>
          <w:color w:val="auto"/>
        </w:rPr>
        <w:t>Voyage expenses grew 17% or $36.3 million, from $213.1 million in 2006 (or 71% of operating revenue) to $249.5 million in 2007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(or 74% of operating revenue) despite the reduction in service days of 159 following the sale of the vessels. Voyage expenses are trade related and refer therefore exclusively to the period when vessels were owned by the Predecessor Group. The $36.3 million increase is related to the introduction of </w:t>
      </w:r>
      <w:r>
        <w:rPr>
          <w:rFonts w:ascii="Times New Roman" w:cs="Times New Roman" w:eastAsia="Times New Roman" w:hAnsi="Times New Roman"/>
          <w:sz w:val="16"/>
          <w:szCs w:val="16"/>
          <w:i w:val="1"/>
          <w:iCs w:val="1"/>
          <w:color w:val="auto"/>
        </w:rPr>
        <w:t>CMA CGM Alcazar</w:t>
      </w:r>
      <w:r>
        <w:rPr>
          <w:rFonts w:ascii="Times New Roman" w:cs="Times New Roman" w:eastAsia="Times New Roman" w:hAnsi="Times New Roman"/>
          <w:sz w:val="16"/>
          <w:szCs w:val="16"/>
          <w:color w:val="auto"/>
        </w:rPr>
        <w:t>, an impact of $4.2 million, to a $37.1 million, or 34%, increase in voyage expenses relating to CMA CGM vessels, mainly due to a 20% increase in bunker fuel price from $305 per ton in 2006 to $352 per ton in 2007, and to a 5%, or $5.0, million decrease in voyage expenses relating to the Predecessor Group vessels due to the drydock period when three vessels did not incur voyage expenses.</w:t>
      </w:r>
    </w:p>
    <w:p>
      <w:pPr>
        <w:spacing w:after="0" w:line="29" w:lineRule="exact"/>
        <w:rPr>
          <w:rFonts w:ascii="Times New Roman" w:cs="Times New Roman" w:eastAsia="Times New Roman" w:hAnsi="Times New Roman"/>
          <w:sz w:val="16"/>
          <w:szCs w:val="16"/>
          <w:color w:val="auto"/>
        </w:rPr>
      </w:pPr>
    </w:p>
    <w:p>
      <w:pPr>
        <w:ind w:left="900" w:hanging="325"/>
        <w:spacing w:after="0" w:line="259"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Vessel expenses: </w:t>
      </w:r>
      <w:r>
        <w:rPr>
          <w:rFonts w:ascii="Times New Roman" w:cs="Times New Roman" w:eastAsia="Times New Roman" w:hAnsi="Times New Roman"/>
          <w:sz w:val="18"/>
          <w:szCs w:val="18"/>
          <w:color w:val="auto"/>
        </w:rPr>
        <w:t>Vessel expenses increased 6%, or $1.3 million, from $22.6 million in 2006 (or 8% of operating revenue) to $24.0 million in 2007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of operating revenue). The increase related to the period when vessels were under the Predecessor Group’s ownership accounts for $0.6 million while the increase related to the period when vessels were under Global Ship Lease’s ownership accounts for $0.7 million representing approximately 159 days in service for all 10 secondhand vessels.</w:t>
      </w:r>
    </w:p>
    <w:p>
      <w:pPr>
        <w:spacing w:after="0" w:line="51" w:lineRule="exact"/>
        <w:rPr>
          <w:rFonts w:ascii="Times New Roman" w:cs="Times New Roman" w:eastAsia="Times New Roman" w:hAnsi="Times New Roman"/>
          <w:sz w:val="18"/>
          <w:szCs w:val="18"/>
          <w:color w:val="auto"/>
        </w:rPr>
      </w:pPr>
    </w:p>
    <w:p>
      <w:pPr>
        <w:ind w:left="900" w:right="80" w:hanging="325"/>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decreased 3%, or $0.5 million, from $16.7 million in 2006 (or 6% of operating revenue) to $16.1 million in 2007 (or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operating revenue). The addition of the </w:t>
      </w:r>
      <w:r>
        <w:rPr>
          <w:rFonts w:ascii="Times New Roman" w:cs="Times New Roman" w:eastAsia="Times New Roman" w:hAnsi="Times New Roman"/>
          <w:sz w:val="18"/>
          <w:szCs w:val="18"/>
          <w:i w:val="1"/>
          <w:iCs w:val="1"/>
          <w:color w:val="auto"/>
        </w:rPr>
        <w:t>CMA CGM Alcazar</w:t>
      </w:r>
      <w:r>
        <w:rPr>
          <w:rFonts w:ascii="Times New Roman" w:cs="Times New Roman" w:eastAsia="Times New Roman" w:hAnsi="Times New Roman"/>
          <w:sz w:val="18"/>
          <w:szCs w:val="18"/>
          <w:color w:val="auto"/>
        </w:rPr>
        <w:t xml:space="preserve"> increased depreciation by $0.6 million, but this increase is mitigated by the fact that depreciation on two of the vessels was calculated in 2006 in British Pounds, the functional currency of the entity owning the vessels, before being converted to U.S. dollars whilst they were directly depreciated in U.S. dollars following their transfer to a U.S. dollars functional currency entity in 2007. The main impact, however, is related to the revision of the vessels’ scrap value due to the steady increase of the price of steel. The prospective change in the vessels’ useful lives from 25 to 30-years following the transfer of the 10 vessels of Global Ship Lease’s initial fleet accounted for $0.1 million in this decrease.</w:t>
      </w:r>
    </w:p>
    <w:p>
      <w:pPr>
        <w:spacing w:after="0" w:line="54"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grew 57%, or $6.4 million, from $11.3 million in 2006 (or 4% of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to $17.8 million in 2007 (or 5% of operating revenue). This increase is split between $0.9 million increase relating to the period when vessels were owned by the Predecessor Group and to $5.5 million when vessels were owned by Global Ship Lease. The $0.9 million increase reflects the addition of the </w:t>
      </w:r>
      <w:r>
        <w:rPr>
          <w:rFonts w:ascii="Times New Roman" w:cs="Times New Roman" w:eastAsia="Times New Roman" w:hAnsi="Times New Roman"/>
          <w:sz w:val="18"/>
          <w:szCs w:val="18"/>
          <w:i w:val="1"/>
          <w:iCs w:val="1"/>
          <w:color w:val="auto"/>
        </w:rPr>
        <w:t>CMA CGM Alcazar</w:t>
      </w:r>
      <w:r>
        <w:rPr>
          <w:rFonts w:ascii="Times New Roman" w:cs="Times New Roman" w:eastAsia="Times New Roman" w:hAnsi="Times New Roman"/>
          <w:sz w:val="18"/>
          <w:szCs w:val="18"/>
          <w:color w:val="auto"/>
        </w:rPr>
        <w:t xml:space="preserve"> and a currency translation effect on certain general and administrative costs denominated in Euro while the $5.5 million under Global Ship Lease’s ownership reflects mainly one off costs relating to the establishment of the corporation and the costs of the initial public offering of Global Ship Lease that was postponed in November 2007.</w:t>
      </w:r>
    </w:p>
    <w:p>
      <w:pPr>
        <w:spacing w:after="0" w:line="58" w:lineRule="exact"/>
        <w:rPr>
          <w:rFonts w:ascii="Times New Roman" w:cs="Times New Roman" w:eastAsia="Times New Roman" w:hAnsi="Times New Roman"/>
          <w:sz w:val="18"/>
          <w:szCs w:val="18"/>
          <w:color w:val="auto"/>
        </w:rPr>
      </w:pPr>
    </w:p>
    <w:p>
      <w:pPr>
        <w:ind w:left="900" w:right="220" w:hanging="325"/>
        <w:spacing w:after="0" w:line="277"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operating income: </w:t>
      </w:r>
      <w:r>
        <w:rPr>
          <w:rFonts w:ascii="Times New Roman" w:cs="Times New Roman" w:eastAsia="Times New Roman" w:hAnsi="Times New Roman"/>
          <w:sz w:val="18"/>
          <w:szCs w:val="18"/>
          <w:color w:val="auto"/>
        </w:rPr>
        <w:t>Other operating income changed from $11.9 million in 2006 to $2.3 million in 2007. The change is related to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valuation of bunker hedges.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consequence of all preceding items operating income decreased 37%, or $17.6 million, from $47.7 million in 2006 to $30.1 million in 2007.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$0.2 million ($0 in 2006) being interest earned on cash deposits made by Global Ship Lease.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decreased 10%, or $1.5 million, from $15.1 million in 2006 (or 5% of operating revenue) to $13.6 million in 2007 (or 4% of operating revenue). Interest expense relating to the period when vessels were owned by the Predecessor Group accounts were $12.3 million while in the period relating to Global Ship Lease ownership were $1.1 million. The reduction in interest expenses relating to the period when vessels were owned by the Predecessor Group from $15.1 million to $12.3 million is mainly related to (i) debt on </w:t>
      </w:r>
      <w:r>
        <w:rPr>
          <w:rFonts w:ascii="Times New Roman" w:cs="Times New Roman" w:eastAsia="Times New Roman" w:hAnsi="Times New Roman"/>
          <w:sz w:val="18"/>
          <w:szCs w:val="18"/>
          <w:i w:val="1"/>
          <w:iCs w:val="1"/>
          <w:color w:val="auto"/>
        </w:rPr>
        <w:t>CMA CGM La Tour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CMA CGM Manet</w:t>
      </w:r>
      <w:r>
        <w:rPr>
          <w:rFonts w:ascii="Times New Roman" w:cs="Times New Roman" w:eastAsia="Times New Roman" w:hAnsi="Times New Roman"/>
          <w:sz w:val="18"/>
          <w:szCs w:val="18"/>
          <w:color w:val="auto"/>
        </w:rPr>
        <w:t xml:space="preserve"> being repaid at the end of 2006 and (ii) debt on the eight other secondhand vessels in the initial fleet being repaid during 2007, and certain positive currency translation effects on vessel financings. These positive effects were offset by the write off of unamortized deferred financing costs associated with the repaid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Predecessor Group was not subject to taxes on income for the periods presented by the combined financial statements. Global Ship Lease’s tax liability under its time charter business in the period was immaterial.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all preceding items, net income decreased $15.9 million or 49% from $32.7 million in 2006 to $16.8 million in 2007.</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2008 Compared to Year ended December 31, 2007</w:t>
      </w:r>
    </w:p>
    <w:p>
      <w:pPr>
        <w:spacing w:after="0" w:line="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2008 Global Ship Lease’s operating activities were comprised almost entirely of the chartering out its vessels under time charters. The combined financial statements comprise two distinct reporting periods, the Predecessor period before the Merger, which completed on August 14, 2008, and the Successor period from that date.</w:t>
      </w:r>
    </w:p>
    <w:p>
      <w:pPr>
        <w:spacing w:after="0" w:line="13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was $20.7 million in the period from January 1 to August 14, 2008 reflecting net income of $7.4 million, depreciation and amortization expense of $12.6 million, $5.1 million improvement in net working capital less $3.0 million change in fair value of interest rate derivatives net of settlement of hedges which do not qualify for hedge accounting and $1.5 million payment of drydock costs.</w:t>
      </w:r>
    </w:p>
    <w:p>
      <w:pPr>
        <w:spacing w:after="0" w:line="1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cash settlement of interest rate derivatives was $4.9 million. The two newly built vessels were purchased in January for $188.7 million, financed by $188.0 borrowings under the credit facility which had been made in December 2007 with the proceeds being placed on deposit.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change in cash for the period January 1 to August 14, 2008 was an increase of $14.4 million leaving cash at the end of the period of $16.3 million.</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period from August 15 to December 31, 2008 was $14.0 million reflecting the net loss of $44.0 million, depreciation and amortization expense of $8.9 million, $55.5 million non cash change in fair value of interest rate derivatives net of settlement of hedges which do not qualify for hedge accounting, $1.1 million non cash charge for stock based compensation less $7.5 million settlement of accounts payable and other liabilities mainly associated with the Merger.</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cash settlement of interest rate derivatives was $0.6 million. Net current liabilities of $6.5 million (net of cash of $16.3 million) were acquired in the Merger and $317.4 million was released from the trust account. $147.1 million was used to retire stock in connection with the Merger and $115.0 million of long term debt was repaid. Amendment and other fees relating to the credit facility totaling $3.9 million were paid in connection with the Merger.</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Warrant proceeds of $3.0 million were received and placed on restricted deposit. Four vessels were purchased in December 2008 for $257.4 million cash (in addition to the $99 million that had been prepaid through the issuance of 12,375,000 common shares to CMA CGM pursuant to the Merger). The cash payment was mainly financed by additional drawings under the credit facility of $256 million. A deposit of $15.5 million was paid for the two vessels anticipated to be purchased in fourth quarter 2010 and $15.6 million of dividends were paid.</w:t>
      </w:r>
    </w:p>
    <w:p>
      <w:pPr>
        <w:spacing w:after="0" w:line="13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net change in cash for the period August 15, 2008 to December 31, 2008 was an increase of $25.8 million leaving cash at the end of the period of $26.4 million.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costs of $5.9 million for the credit facility were paid and $146.2 million debt relating to certain vessels when owned by the Predecessor Group was repaid. The remaining cash outflow of $108.8 million is comprised (i) a 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net increase in cash and cash equivalents in 2007 was $1.9 million.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2007 Compared to Year ended December 31, 2006</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2007 and 2006, which represents mainly the operation of the vessels of Global Ship Lease’s initial fleet by the Predecessor Group but also includes a short period after Global Ship Lease’s acquisition of those 10 vessels in December 2007, the principal sources of liquidity for both the Predecessor Group and Global Ship Lease were loans secured by the vessels and operating cash flows. In addition, to part finance Global Ship Lease’s purchase of the 10 secondhand vessels in December 2007, Global Ship Lease obtained a shareholder loan of $176.9 million from CMA CGM. The remaining financing was provided from drawings under the credit facility.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36"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In 2006, the Predecessor Group’s operating activities for the year generated $22.8 million. This amount primarily reflects a profit of $32.7 million, depreciation and amortization expenses of $17.1 million less a $10.0 million change in the fair value of financial derivative instruments settlements of hedges of $6.9 million and payment of $1.0 million for drydocks. Changes in working capital in that year negatively impacted the Predecessor Group’s cash position by $9.1 million, mainly related to the fact that the four additional vessels were deployed on a North Europe to West Africa route where payment delays are typically longer.</w:t>
      </w:r>
    </w:p>
    <w:p>
      <w:pPr>
        <w:spacing w:after="0" w:line="10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2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In 2006, net cash used in the Predecessor Group’s investing activities for the year totaled $106.3 million, which included $107.4 million to acquire the four vessels previously owned by Delmas and $6.9 million received for the settlement of hedges.</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issuance costs of $5.9 million for the credit facility were paid and $146.2 million debt relating to certain vessels when owned by the Predecessor Group was repaid. The remaining cash outflow of $108.8 million is comprised (i) a 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2006, net cash received from Global Ship Lease’s Predecessor Group’s financing activities was $83.5 million. $57.2 million of that amount was received from the issuance of long-term debt, net of $0.7 million issuance costs. $64.6 million of net cash was used for the repayment of capital lease obligations related to the change in financing arrangements for the </w:t>
      </w:r>
      <w:r>
        <w:rPr>
          <w:rFonts w:ascii="Times New Roman" w:cs="Times New Roman" w:eastAsia="Times New Roman" w:hAnsi="Times New Roman"/>
          <w:sz w:val="18"/>
          <w:szCs w:val="18"/>
          <w:i w:val="1"/>
          <w:iCs w:val="1"/>
          <w:color w:val="auto"/>
        </w:rPr>
        <w:t>CMA CGM La Tour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CMA CGM Manet</w:t>
      </w:r>
      <w:r>
        <w:rPr>
          <w:rFonts w:ascii="Times New Roman" w:cs="Times New Roman" w:eastAsia="Times New Roman" w:hAnsi="Times New Roman"/>
          <w:sz w:val="18"/>
          <w:szCs w:val="18"/>
          <w:color w:val="auto"/>
        </w:rPr>
        <w:t xml:space="preserve">. Amounts payable to CMA CGM within stockholders equity increased by $110.0 million largely in connection with the acquisition of the four vessels delivered at the beginning of 2006 and the repayment of the financing of </w:t>
      </w:r>
      <w:r>
        <w:rPr>
          <w:rFonts w:ascii="Times New Roman" w:cs="Times New Roman" w:eastAsia="Times New Roman" w:hAnsi="Times New Roman"/>
          <w:sz w:val="18"/>
          <w:szCs w:val="18"/>
          <w:i w:val="1"/>
          <w:iCs w:val="1"/>
          <w:color w:val="auto"/>
        </w:rPr>
        <w:t>CMA CGM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 Tour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CMA CGM Manet</w:t>
      </w:r>
      <w:r>
        <w:rPr>
          <w:rFonts w:ascii="Times New Roman" w:cs="Times New Roman" w:eastAsia="Times New Roman" w:hAnsi="Times New Roman"/>
          <w:sz w:val="18"/>
          <w:szCs w:val="18"/>
          <w:color w:val="auto"/>
        </w:rPr>
        <w:t>. Repayment of long-term debt totaled $19.1 million in 2006.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Ship Lease’s Credit Facility</w:t>
      </w:r>
    </w:p>
    <w:p>
      <w:pPr>
        <w:spacing w:after="0" w:line="92"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borrowers and guarantors jointly and severally guaranteeing Global Ship Lease’s obligations under the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Amendment</w:t>
      </w:r>
    </w:p>
    <w:p>
      <w:pPr>
        <w:spacing w:after="0" w:line="94"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7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Due to the global economic downturn and significantly reduced demand for container shipping services and containerships, combined with continued delivery of newbuildings, containership values have experienced dramatic declines in recent months.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Times New Roman" w:cs="Times New Roman" w:eastAsia="Times New Roman" w:hAnsi="Times New Roman"/>
          <w:sz w:val="18"/>
          <w:szCs w:val="18"/>
          <w:i w:val="1"/>
          <w:iCs w:val="1"/>
          <w:color w:val="auto"/>
        </w:rPr>
        <w:t>CMA CGM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Berlioz </w:t>
      </w:r>
      <w:r>
        <w:rPr>
          <w:rFonts w:ascii="Times New Roman" w:cs="Times New Roman" w:eastAsia="Times New Roman" w:hAnsi="Times New Roman"/>
          <w:sz w:val="18"/>
          <w:szCs w:val="18"/>
          <w:color w:val="auto"/>
        </w:rPr>
        <w:t>for $82.0 million, which was completed in August 2009, the Credit Facility Amendment permitted drawings of up to $42.0 million under the main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any additional capital is raised, 25% of such additional capital, net of expenses, must be used to prepay borrowings under the credit facility. This provision terminates when the repayment profile of the credit facility reduces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3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Further, the undrawn portion of the credit facility amounting to approximately $200.0 million was cancelled and Global Ship Lease has agreed that it will not declare or pay any dividends to common shareholders during this waiver period or thereafter until the leverage ratio falls to 75% or below.</w:t>
      </w:r>
    </w:p>
    <w:p>
      <w:pPr>
        <w:spacing w:after="0" w:line="12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In connection with the Credit Facility Amendment, CMA CGM has agreed not to reduce its holding of common shares in Global Ship Lease below the current level of approximately 24.4 million common shares and to defer the redemption of the $48.0 million preferred shares until after the final maturity of the credit facility in August 2016.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Borrowing Terms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See “Business Overview—Credit Facility” for further details on Global Ship Lease’s credit facility, including a description of the security provided, covenants and events of default.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Utilization of the credit facility</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Global Ship Lease financed the purchase of the 10 secondhand vessels in December 2007 with $213.1 million of borrowings under the credit facility and drawings of $171.9 million under a shareholder loan made between Global Ship Lease and CMA CGM. In addition, Global Ship Lease drew approximately $5.0 million under the shareholder loan to pay lenders’ fees and expenses in connection with the credit facility bringing the total borrowings under the shareholder loan to $176.9 million. Prior to December 31, 2007, Global Ship Lease drew a further $188.0 million under the credit facility, which was placed on restricted cash deposit, in order to pay for the two newly built vessels of Global Ship Lease’s initial fleet purchased in January 2008. Total drawings under the credit facility as of December 31, 2007 were $401.1 million. The shareholder loan of $176.9 million was cancelled on the closing of the Merger and $115 million of the drawings under the credit facility were prepaid.</w:t>
      </w:r>
    </w:p>
    <w:p>
      <w:pPr>
        <w:spacing w:after="0" w:line="1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Global Ship Lease’s credit facility. As of December 31, 2008, total drawings under the credit facility were $542.1 million.</w:t>
      </w:r>
    </w:p>
    <w:p>
      <w:pPr>
        <w:spacing w:after="0" w:line="134"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 xml:space="preserve">An additional $57.0 million was borrowed in August 2009 under the credit facility to purchase the </w:t>
      </w:r>
      <w:r>
        <w:rPr>
          <w:rFonts w:ascii="Times New Roman" w:cs="Times New Roman" w:eastAsia="Times New Roman" w:hAnsi="Times New Roman"/>
          <w:sz w:val="18"/>
          <w:szCs w:val="18"/>
          <w:i w:val="1"/>
          <w:iCs w:val="1"/>
          <w:color w:val="auto"/>
        </w:rPr>
        <w:t>CMA CGM Berlioz</w:t>
      </w:r>
      <w:r>
        <w:rPr>
          <w:rFonts w:ascii="Times New Roman" w:cs="Times New Roman" w:eastAsia="Times New Roman" w:hAnsi="Times New Roman"/>
          <w:sz w:val="18"/>
          <w:szCs w:val="18"/>
          <w:color w:val="auto"/>
        </w:rPr>
        <w:t>, the final ship to be purchased pursuant to the asset purchase agreement with CMA CGM, consisting of drawings of $42.0 million under the main credit facility and $15.0 million under the newly created Over Advance Portion. The $25.0 million balance of the purchase price of $82.0 million was met from available cash.</w:t>
      </w:r>
    </w:p>
    <w:p>
      <w:pPr>
        <w:spacing w:after="0" w:line="12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As a result of the Credit Facility Amendment, the undrawn portion of the credit facility was cancelled. Alternate sources of financing are required in order to complete the purchases of the two 4,250 TEU newbuildings for total contracted price of $77.4 million per vessel, of which 10% has been paid and 90% is to be paid upon delivery, which is expected to be in the fourth quarter of 2010.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and dividends</w:t>
      </w:r>
    </w:p>
    <w:p>
      <w:pPr>
        <w:spacing w:after="0" w:line="9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Global Ship Lease’s net cash flows from operating activities corresponds directly with the number of vessels under charter, days on-hire, vessel charter rates, operating expenses, drydock costs, interest and other financing costs and general and administrative expenses. Global Ship Lease’s net cash flows from operating activities will not be exposed to the same fluctuations in operating expenses to which the Predecessor Group’s cash flows were subject. Pursuant to Global Ship Lease’s ship management agreements, Global Ship Lease has agreed to pay its Ship Manager an annual management fee of $114,000 per vessel and it will reimburse its Ship Manager for operating costs it incurs on Global Ship Lease’s behalf up to a quarterly cap pursuant to the global expense agreement (other than drydocking expenses and insurance premiums which will not be subject to the cap). Charterhire is payable by the initial Charterer 15 days in advance and estimated ship management costs are payable monthly in advance. Although Global Ship Lease can provide no assurances, it expects that its cash flow from its chartering arrangements will be sufficient to cover its ship management costs and fees, interest payments, commitment fees and other financing costs under its credit facility, insurance premiums, vessel taxes, general and administrative expenses and other costs and any other working capital requirements for the short and medium term and planned drydocking expenses. Based on such arrangements, Global Ship Lease expects that its operating cash flow will be reasonably stable for at least the initial three year terms of the ship management agreements and will be sufficient to fund its working capital requirements.</w:t>
      </w:r>
    </w:p>
    <w:p>
      <w:pPr>
        <w:spacing w:after="0" w:line="33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Credit Facility Amendment provides that borrowings under the Over Advance Portion totaling $15.0 million will be repaid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Further, the $48.0 million Preferred Shares are mandatorily redeemable at par by quarterly installments of approximately $4.0 million commencing August 31, 2016.</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five years following the closing of the Merger, Global Ship Lease estimates that the average cost of the first drydocking of each of its vessels will be</w:t>
      </w:r>
    </w:p>
    <w:p>
      <w:pPr>
        <w:spacing w:after="0" w:line="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$940,000. Global Ship Lease has included a schedule of the next anticipated drydocking date for each of Global Ship Lease’s vessels in the section of this Annual Report entitled “Business 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Inspection by Classification Societies.”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Global Ship Lease’s longer term liquidity requirements include financing the purchase of the two 4,250 TEU newbuildings from German interests and repayment of the remaining principal balance of its credit facility at the final maturity date in August 2016. In addition to funds generated by the business, Global Ship Lease may require new borrowings, issuances of equity or other securities, or a combination of the former and the latter to meet its obligations and will likely require such further funding to meet all of its repayment obligations under the credit facility.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 Research and Development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This period of high growth, combined with operators seeking economies of scale achievable with ever larger vessels, led to a significant orderbook of new containerships. In December, 2008 the orderbook was estimated to represent approximately 50% of existing global capacity measured in TEU. By August 2009 it had fallen to approximately 40%, with no additional newbuildings contracted in the preceding nine months.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Vessel newbuilding prices, second hand values and charter rates have tended to be closely correlated and are all strongly influenced by the dynamics of supply and demand. A theoretical 3,500 TEU containership newbuilding could have been contracted for approximately $34 million in Q1 2002, with contract prices peaking in Q3 2008 at around $67 million for essentially the same vessel. Over this period, second hand values for a 10 year old unit of comparable size increased from approximately $21 million to $46 million, peaking at around $50 million in Q1 2008. During the same timeframe, spot market charter rates for such a vessel moved from approximately $10,000 per day to $26,000 per day, peaking at $44,000 per day in Q1 2005.</w:t>
      </w:r>
    </w:p>
    <w:p>
      <w:pPr>
        <w:spacing w:after="0" w:line="13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global economic crisis has adversely impacted containerized trade, with negative demand growth widely anticipated for 2009. Liner operators’ published results for the first two quarters of 2009 have been poor, reflecting the challenging market environment with both lower trade volumes and significantly reduced freight rates. For charter-owners, the adverse impact of reduced demand has been compounded in the near term by supply-side growth. As of August 2009 approximately 10% of the existing containership fleet was assessed to be idle, with the substantial orderbook still to be delivered. In August 2009, spot market charter rates for a 3,500 TEU vessel were around $6,000 per day. Vessel values have also fallen but an accurate assessment of this decline is hindered by limited liquidity in the sale and purchase market together with the recent freeze in contracting of newbuildings. Vessel values and spot market charter rates are expected to remain under pressure at least through 2009.</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 Off-Balance Sheet Arrangements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Except as described under Item 5F (Contractual Obligations) and Item 11 (Quantitative and Qualitative Disclosure About Market Risk), Global Ship Lease does not have any other transactions, obligations or relationships that could be considered material off-balance sheet arrangements.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 Contractual Obligations</w:t>
      </w:r>
    </w:p>
    <w:p>
      <w:pPr>
        <w:spacing w:after="0" w:line="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contractual obligations presented below represent Global Ship Lease’s estimates of future payments under fixed contractual obligations and commitments as of December 31, 2008. Changes in Global Ship Lease’s business needs or in interest rates, as well as actions by third parties and other factors, may cause these estimates to change. These estimates are necessarily subjective and Global Ship Lease’s actual payments in future periods are likely to vary from those presented in the table. The table does not reflect the consequences of the Credit Facility Amendment dated August 20, 2009—Please see Item 5.B “Global Ship Lease’s Credit Facility”—or any other events subsequent to December 31, 2008. The footnotes to the table include a description of the main consequences of the Credit Facility Amendment as they might affect contractual obligations.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More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4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1-3 years</w:t>
            </w: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3-5 years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142"/>
        </w:trPr>
        <w:tc>
          <w:tcPr>
            <w:tcW w:w="14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60" w:type="dxa"/>
            <w:vAlign w:val="bottom"/>
            <w:gridSpan w:val="4"/>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 of U.S. dollars)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obligations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0" w:type="dxa"/>
            <w:vAlign w:val="bottom"/>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long term debt obligations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obligation under Interest Rate Swaps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Ship management agreements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purchase agreements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tcPr>
          <w:p>
            <w:pPr>
              <w:spacing w:after="0"/>
              <w:rPr>
                <w:sz w:val="18"/>
                <w:szCs w:val="18"/>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Mandatorily Redeemable Preferred Shares and related interest (6)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9"/>
                <w:szCs w:val="19"/>
                <w:color w:val="auto"/>
              </w:rPr>
            </w:pPr>
          </w:p>
        </w:tc>
      </w:tr>
      <w:tr>
        <w:trPr>
          <w:trHeight w:val="216"/>
        </w:trPr>
        <w:tc>
          <w:tcPr>
            <w:tcW w:w="1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120.2</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1,319.0</w:t>
            </w:r>
          </w:p>
        </w:tc>
        <w:tc>
          <w:tcPr>
            <w:tcW w:w="2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60" w:hanging="452"/>
        <w:spacing w:after="0" w:line="286" w:lineRule="auto"/>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Ship Lease did not assume any of the Predecessor Group’s debt relating to the vessels in Global Ship Lease’s fleet. Amounts shown in the table reflect debt and interest payable to Fortis Bank (Nederland) N.V., or Agent, Citibank Global Markets Limited, HSH Nordbank AG, Sumitomo Mitsui Banking Corporation, Brussels Branch, KFW, DnB Nor Bank ASA and Bank of Scotland under Global Ship Lease’s credit facility. Interest on the outstanding portion of Global Ship Lease’s credit facility will be charged at the rate of the margin over one, three, six, nine or 12 month LIBOR as determined by the Agent. During the continuance of any principal or interest payment default, the margin will increase by 2%. Global Ship Lease expects that interest on the balance outstanding will be payable at least quarterly. Long term debt obligations include the estimated effect of the financing of the three contracted vessels being CMA CGM Berlioz, which was purchased in August 2009, and two vessels to be acquired from German interests in fourth quarter 2010. The consequences of the Credit Facility Amendment are not reflected in the table but bring forward the commencement of repayments of borrowings, providing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 The Credit Facility Amendment also cancelled all undrawn commitments and therefore there is no availability under the facility to finance the purchase of the two vessels from German interests.</w:t>
      </w:r>
    </w:p>
    <w:p>
      <w:pPr>
        <w:spacing w:after="0" w:line="187" w:lineRule="exact"/>
        <w:rPr>
          <w:rFonts w:ascii="Times New Roman" w:cs="Times New Roman" w:eastAsia="Times New Roman" w:hAnsi="Times New Roman"/>
          <w:sz w:val="16"/>
          <w:szCs w:val="16"/>
          <w:color w:val="auto"/>
        </w:rPr>
      </w:pPr>
    </w:p>
    <w:p>
      <w:pPr>
        <w:ind w:left="460" w:hanging="452"/>
        <w:spacing w:after="0" w:line="250"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contractual interest obligation has been calculated using an assumed all in interest rate of 5.25% being estimated LIBOR of 2.50% plus a spread of 2.75%. The commitment fee payable on the undrawn amount of the credit facility is also included at 0.5%. The consequences of the Credit Facility Amendment are not reflected in the table but set the margin to be 3.50%, effectively up to April 30, 2011 and contemplates that this margin would continue if the leverage ratio remained over 75%. As all undrawn commitments were cancelled by the Credit Facility Amendment, commitment fees are no longer payable.</w:t>
      </w:r>
    </w:p>
    <w:p>
      <w:pPr>
        <w:spacing w:after="0" w:line="2"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obligations under Global Ship Lease’s interest rate swaps have been calculated using a LIBOR of 2.5% and assumes that the counterparties do not exercise their options to terminate as at March 17, 2013, three contracts totaling $191.0 million but that these continue to maturity of December 17, 2016.</w:t>
      </w:r>
    </w:p>
    <w:p>
      <w:pPr>
        <w:spacing w:after="0" w:line="1"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Global Ship Lease’s ship management agreements include an annual management fee of $114,000 per vessel and do not include the reimbursement of daily operating costs incurred on Global Ship Lease’s behalf. The final vessel to be purchased from CMA CGM pursuant to the asset purchase agreement is included from July 2009.</w:t>
      </w:r>
    </w:p>
    <w:p>
      <w:pPr>
        <w:spacing w:after="0" w:line="1"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is presented on the basis that the final vessel to be purchased from CMA CGM under the asset purchase agreement is purchased in July 2009 for $82.0 million. On September 11, 2008, Global Ship Lease entered into contracts to purchase from German interests two 4,250 TEU containerships for a price of approximately $77.4 million each. The vessels are expected to be delivered in October and December 2010.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with Zim and which are due to come into effect on delivery of each vessel.</w:t>
      </w:r>
    </w:p>
    <w:p>
      <w:pPr>
        <w:spacing w:after="0" w:line="3"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Shares are included on the basis of being mandatorily redeemable in August 2011 at a cash price of $48 million. The interest obligation has been determined using an all in rate of 4.5% being estimated LIBOR of 2.5% plus the contractual spread of 2%. In connection with the Credit Facility Amendment, the consequences of which are not reflected in the table, CMA CGM has agreed to defer the redemption of the $48.0 million Preferred Shares until after the final maturity date of the Credit Facility such that the Preferred Shares are mandatorily redeemable at par by quarterly installments of approximately $4.0 million commencing August 31, 2016.</w:t>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as of the date of this annual report and their ages as of December 31, 2008 are listed below: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20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Gross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Boyd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Angus R. Frew</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Morel</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D. Pribor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J. Webber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J. Cook</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A. Lister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Vivek Puri</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Technical Officer</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Michael S. Gross. </w:t>
      </w:r>
      <w:r>
        <w:rPr>
          <w:rFonts w:ascii="Times New Roman" w:cs="Times New Roman" w:eastAsia="Times New Roman" w:hAnsi="Times New Roman"/>
          <w:sz w:val="18"/>
          <w:szCs w:val="18"/>
          <w:color w:val="auto"/>
        </w:rPr>
        <w:t>Michael S. Gross has been a director of Global Ship Lease since its inception and was appointed Chairman in September 2008.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2006, Mr. Gross has been a partner in Magnetar Capital Partners LP, the holding company for Magnetar Financial LLC. Since March 2007, Mr. Gross has served as the chairman, chief executive officer and managing member of Solar Capital, LLC. Between February 2004 and February 2006, Mr. Gross was the president and chief executive officer of Apollo Investment Corporation, a publicly traded business development company that he founded and on whose board of directors and investment committee he served as chairman from February 2004 to July 2006, and was the managing partner of Apollo Investment Management, L.P., the investment adviser to Apollo Investment Corporation. From 1990 to February 2006, Mr. Gross was a senior partner at Apollo Management, L.P., a private equity firm which he founded in 1990 with five other persons. In addition, from 2003 to February 2006, Mr. Gross was the managing partner of Apollo Distressed Investment Fund, an investment fund he founded to invest principally in non-control oriented distressed debt and other investment securities of leveraged companies. Mr. Gross currently serves on the boards of directors of Saks, Inc. and Jarden Corporation.</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Howard Boyd. </w:t>
      </w:r>
      <w:r>
        <w:rPr>
          <w:rFonts w:ascii="Times New Roman" w:cs="Times New Roman" w:eastAsia="Times New Roman" w:hAnsi="Times New Roman"/>
          <w:sz w:val="18"/>
          <w:szCs w:val="18"/>
          <w:color w:val="auto"/>
        </w:rPr>
        <w:t>Howard Boyd has been a director of Global Ship Lease since August 2008. In 1996, Mr. Boyd was named chief executive officer of Safmarine,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container 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3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Angus R. Frew. </w:t>
      </w:r>
      <w:r>
        <w:rPr>
          <w:rFonts w:ascii="Times New Roman" w:cs="Times New Roman" w:eastAsia="Times New Roman" w:hAnsi="Times New Roman"/>
          <w:sz w:val="16"/>
          <w:szCs w:val="16"/>
          <w:color w:val="auto"/>
        </w:rPr>
        <w:t>Angus R. Frew has been a director of Global Ship Lease since August 2008. Mr. Frew has been chief executive of the British Chamber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Shipping since July 2009 and was president and chief executive officer from 2003 until early 2008 of GE SeaCo SRL, a joint venture between GE Capital and Sea Containers Ltd and one of the largest global container leasing companies. Mr. Frew was a director of the Institute of International Container Lessors from 2003 until early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w:t>
      </w:r>
    </w:p>
    <w:p>
      <w:pPr>
        <w:spacing w:after="0" w:line="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Mr. Frew held senior financial positions in a number of small entrepreneurial businesses in the IT consultancy, design and retail industries. Mr. Frew has an honors degree in chemistry from the University of Durham.</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Guy Morel. </w:t>
      </w:r>
      <w:r>
        <w:rPr>
          <w:rFonts w:ascii="Times New Roman" w:cs="Times New Roman" w:eastAsia="Times New Roman" w:hAnsi="Times New Roman"/>
          <w:sz w:val="18"/>
          <w:szCs w:val="18"/>
          <w:color w:val="auto"/>
        </w:rPr>
        <w:t>Guy Morel has been a director of Global Ship Lease since August 2008. Mr. Morel is the general secretary of InterManager, the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of Shipmanagers. From 2005 to 2007, he was a professor of corporate finance and director of development at the International University of Monaco. From 1993 to 2004, he was the president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shipmanagement group, where he was a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Jeffrey D. Pribor. </w:t>
      </w:r>
      <w:r>
        <w:rPr>
          <w:rFonts w:ascii="Times New Roman" w:cs="Times New Roman" w:eastAsia="Times New Roman" w:hAnsi="Times New Roman"/>
          <w:sz w:val="16"/>
          <w:szCs w:val="16"/>
          <w:color w:val="auto"/>
        </w:rPr>
        <w:t>Jeffrey D. Pribor has been a director of Global Ship Lease since August 2008. Mr. Pribor is currently executive vice president and the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officer of General 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 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Ian J. Webber. </w:t>
      </w:r>
      <w:r>
        <w:rPr>
          <w:rFonts w:ascii="Times New Roman" w:cs="Times New Roman" w:eastAsia="Times New Roman" w:hAnsi="Times New Roman"/>
          <w:sz w:val="18"/>
          <w:szCs w:val="18"/>
          <w:color w:val="auto"/>
        </w:rPr>
        <w:t>Upon the completion of the Merger, Mr. Webber became the Chief Executive Officer of Global Ship Lease. From 1979 to 1996, Mr. Webber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worked for 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3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Mr. Webber was named, along with his former employer CP Ships Limited and other officers of that company, as a defendant in a securities class action case before the United States District Court for the Middle District of Florida (the “Court”). The consolidated amended class action complaint alleged violations of Section 10(b) and Rule 10b-5 of the Exchange Act against all defendants and Section 20(a) of the Exchange Act against the individual defendants. The parties have reached an agreement to settle this class action proceeding in its entirety. Under the terms of the settlement, Mr. Webber denies all wrongdoing, is not making any payment, and will be fully released from any liability in this matter. The settlement was given final approval by the Court on October 21, 2008. One objector appealed the Court’s final approval of the settlement to the 11th Circuit Court of Appeals. On August 13, 2009, the 11th Circuit dismissed the objector’s appeal. All time for further appeal has expired and a joint motion was filed on November 30, 2009 to dismiss a separate appeal from the district court’s dismissal of the complaint that had been stayed pending final approval of the settlement. Mr. Webber was also named, along with CP Ships Limited and several of its officers and directors, as a defendant in three purported securities class actions in Canada (the “Canadian Actions”). The Canadian Actions allege similar claims to those raised in the United States securities class action. The parties have reached an agreement to settle the Canadian Actions in their entirety. Under the terms of the settlement, Mr. Webber denies all wrongdoing, is not making any payment, and will be fully released from any liability in this matter. The settlement of the Canadian Actions is subject to final approval by the Quebec Superior Court and the Ontario Superior Court of Justice.</w:t>
      </w:r>
    </w:p>
    <w:p>
      <w:pPr>
        <w:spacing w:after="0" w:line="333"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Susan J. Cook. </w:t>
      </w:r>
      <w:r>
        <w:rPr>
          <w:rFonts w:ascii="Times New Roman" w:cs="Times New Roman" w:eastAsia="Times New Roman" w:hAnsi="Times New Roman"/>
          <w:sz w:val="16"/>
          <w:szCs w:val="16"/>
          <w:color w:val="auto"/>
        </w:rPr>
        <w:t>Upon the completion of the Merger, Ms. Cook became the Chief Financial Officer of Global Ship Lease. From 1986 to 2006, Ms. Cook worked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Peninsular 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00"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Thomas A. Lister. </w:t>
      </w:r>
      <w:r>
        <w:rPr>
          <w:rFonts w:ascii="Times New Roman" w:cs="Times New Roman" w:eastAsia="Times New Roman" w:hAnsi="Times New Roman"/>
          <w:sz w:val="16"/>
          <w:szCs w:val="16"/>
          <w:color w:val="auto"/>
        </w:rPr>
        <w:t>Upon the completion of the Merger, Mr. Lister became the Chief Commercial Officer of Global Ship Lease. From 2005 until 2007, Mr. Lister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Senior Vice President at DVB Group Merchant Bank (Asia) Ltd, responsible for developing DVB’s Singapore ship fund and leasing project. Before that, from 2004 to 2005, he worked for the German KG financier and ship owning group Nordcapital as Director of Business Development. From 1991 to 2002,</w:t>
      </w:r>
    </w:p>
    <w:p>
      <w:pPr>
        <w:ind w:right="100"/>
        <w:spacing w:after="0" w:line="261" w:lineRule="auto"/>
        <w:rPr>
          <w:sz w:val="20"/>
          <w:szCs w:val="20"/>
          <w:color w:val="auto"/>
        </w:rPr>
      </w:pPr>
      <w:r>
        <w:rPr>
          <w:rFonts w:ascii="Times New Roman" w:cs="Times New Roman" w:eastAsia="Times New Roman" w:hAnsi="Times New Roman"/>
          <w:sz w:val="18"/>
          <w:szCs w:val="18"/>
          <w:color w:val="auto"/>
        </w:rPr>
        <w:t>Mr. Lister worked for a number of shipping companies in both South America and the United States. Mr. Lister graduated from Durham University and holds an MBA from INSEAD.</w:t>
      </w:r>
    </w:p>
    <w:p>
      <w:pPr>
        <w:spacing w:after="0" w:line="13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Vivek Puri. </w:t>
      </w:r>
      <w:r>
        <w:rPr>
          <w:rFonts w:ascii="Times New Roman" w:cs="Times New Roman" w:eastAsia="Times New Roman" w:hAnsi="Times New Roman"/>
          <w:sz w:val="16"/>
          <w:szCs w:val="16"/>
          <w:color w:val="auto"/>
        </w:rPr>
        <w:t>In November 2008 Mr. Puri was appointed as Chief Technical Officer of Global Ship Lease. Prior to joining Global Ship Lease, Mr. Puri was Senior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Vice President and Chief 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and Executive Compensation of Global Ship Lease</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Global Ship Lease Services Limited, Global Ship Lease’s wholly owned subsidiary, entered into an employment agreement with Mr. Webber and, pursuant to the terms of an inter-company agreement between Global Ship Lease and Global Ship Lease Services Limited, Mr. Webber serves as Global Ship Lease’s Chief Executive Officer. Pursuant to his employment agreement, Mr. Webber receives an annual salary of £250,000 and will be eligible to receive a bonus payment up to an annual maximum of 50% of his salary at the discretion of Global Ship Lease Services Limited.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3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during his employment or for a period of one year thereafter, Mr. Webber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3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Global Ship Lease Services Limited entered into an employment agreement with Ms. Cook and, pursuant to the inter-company agreement, Ms. Cook serves as its Chief Financial Officer. Pursuant to her employment agreement, Ms. Cook receives an annual salary of £135,000 and will be eligible to receive a bonus payment up to an annual maximum of 25% of her salary at the discretion of Global Ship Lease Services Limited.</w:t>
      </w:r>
    </w:p>
    <w:p>
      <w:pPr>
        <w:spacing w:after="0" w:line="13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3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during her employment or for a period of one year thereafter, Ms. Cook,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Global Ship Lease Services Limited entered into an employment agreement with Mr. Lister and, pursuant to the inter-company agreement, Mr. Lister serves as its Chief Commercial Officer. Pursuant to his employment agreement, Mr. Lister receives an annual salary of £135,000 and will be eligible to receive a bonus payment up to an annual maximum of 25% of his salary at the discretion of Global Ship Lease Services Limited. In addition, Mr. Lister received a one-time signing bonus of £35,000.</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during his employment or for a period of six months thereafter, Mr. Lister,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13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Global Ship Lease Services Limited entered into an employment agreement with Mr. Puri and, pursuant to the inter-company agreement, Mr. Puri serves as its Chief Technical Officer. Pursuant to his employment agreement, Mr. Lister receives an annual salary of £85,000 and will be eligible to receive a bonus payment up to an annual maximum of 25% of his salary at the discretion of Global Ship Lease Services Limited.</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during his employment or for a period of 12 months thereafter, Mr. Puri,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Directors of Global Ship Lease</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Chairman of the board of directors receives an annual fee of $150,000, consisting of $75,000 in cash and an annual restricted stock grant with a grant date value of $75,000. The other directors of Global Ship Lease receive an annual fee of $100,000, consisting of $50,000 in cash and an annual restricted stock grant with a grant date value of $50,000.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Global Ship Lease adopted the 2008 Equity Incentive Plan (the “Plan”), which entitles employees, consultants and directors of Global Ship Lease and its subsidiaries to receive options, stock appreciation rights, stock grants, stock units and dividend equivalents. The following description of the Plan is a summary of the material terms of the Plan.</w:t>
      </w:r>
    </w:p>
    <w:p>
      <w:pPr>
        <w:spacing w:after="0" w:line="1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Plan is administered by the board of directors of Global Ship Lease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3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the event that Global Ship Lease is subject to a change of control, the Plan administrator in its discretion may make such adjustments and other substitutions to the Plan and outstanding awards under the Plan as it deems equitable or desirable in its sole discretion.</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3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Stock grants may be issued with or without cash consideration under the Plan. The holder of a stock grant awarded under the Plan shall have the same voting, dividend and other rights as the company’s other Class A common shareholders. The Plan administrator may provide a participant who holds stock grants with dividends or dividend equivalents payable in cash, Class A common shares or other property.</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Plan became effective as of the closing of the Merger. No award may be granted under the Plan after the tenth anniversary of the date of shareholder approval of the Plan.</w:t>
      </w:r>
    </w:p>
    <w:p>
      <w:pPr>
        <w:spacing w:after="0" w:line="12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August 2008, the Global Ship Lease board of directors granted 375,000 restricted shares to Mr. Webber, 202,500 restricted shares to Ms. Cook and 202,500 restricted shares to Mr. Lister under the Plan, which are expected to vest over a three-year period. One third of the award vested over 20 business days commencing mid September 2009, one third is expected to vest on the second anniversary of the Merger and one third on the third anniversary. In November 2008, Mr. Puri was been granted 80,000 restricted shares, half of which vested over 20 business days commencing mid September 2009 and half of which is expected to vest on the second anniversary of the Merger.</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Ship Lease’s board of directors is divided into three classes with one class of directors being elected in each year and each class serving a three-year term.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office of the first class of directors, consisting of Mr. Morel and Mr. Pribor, expired at the first annual meeting of stockholders held in July 2009.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were re-elected to serve until the Annual Meeting to be held in 2012.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term of office of the second class of directors, consisting of Mr. Boyd and Mr. Frew, expires at the second annual meeting of stockholders. The term of office of the third class of directors, consisting of Mr. Gross, expires at the third annual meeting of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Global Ship Lease’s board of directors has determined that Messrs. Pribor, Frew and Morel are “independent directors” as such term is defined in Rule 10A-3 of the Exchange Act and the rules of the NYSE.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Lease’s board of directors has formed an audit committee, a compensation committee, and a governance and nominating committee.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Global Ship Lease’s audit committee consists of Messrs. Pribor, Frew and Morel, each of whom is “independent” as defined in Rule 10A-3 of the Exchange Act and the rules of the NYSE. In addition, Global Ship Lease’s board of directors has determined that Mr. Pribor is an “audit committee financial expert” as that term is defined under Item 401 of Regulation S-K of the Securities Exchange Act of 1934, as amended.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Experts on Audit Committee</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1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Global Ship Lease has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U.S. issuers are required to have a compensation committee that is comprised entirely of independent directors. Although as a foreign private issuer this rule does not apply to Global Ship Lease, we have a compensation committee. Global Ship Lease’s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Ship Lease’s nominating and corporate governance committee consists of Messrs. Boyd, Gross and Morel. The nominating and corporate governance committee reports to the board of directors on and is responsible for issues succession planning and the appointment, development and performance evaluation of the members of the board and senior executives of Global Ship Lease. It also assesses the adequacy and effectiveness of Global Ship Lease’s corporate governance guidelines, reviewing and recommending changes to the board whenever necessary.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Global Ship Lease has adopted a code of business conduct and ethics (“Code of Ethics”) that applies to its officers, employees and directors. More information on the Code of Ethics and board committee charters is available on Global Ship Lease’s website (www.globalshiplease.com) and in print to any shareholder upon request.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Exemptions from NYSE Corporate Governance Rules</w:t>
      </w:r>
    </w:p>
    <w:p>
      <w:pPr>
        <w:spacing w:after="0" w:line="9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39" w:lineRule="exact"/>
        <w:rPr>
          <w:sz w:val="20"/>
          <w:szCs w:val="20"/>
          <w:color w:val="auto"/>
        </w:rPr>
      </w:pPr>
    </w:p>
    <w:p>
      <w:pPr>
        <w:ind w:left="900" w:right="96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annual meetings of shareholders under the Business Corporations Act of the Republic of the Marshall Islands, similar to NYSE requirements;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obtaining shareholder approval prior to the adoption of equity compensation plans, the full board of directors approves such adoption.</w:t>
      </w:r>
    </w:p>
    <w:p>
      <w:pPr>
        <w:spacing w:after="0" w:line="250"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Employees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2008, the company had four employees.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7.A for information regarding beneficial ownership by our directors and executive officers.</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Global Ship Lease common shares as of November 30, 2009 by:</w:t>
      </w:r>
    </w:p>
    <w:p>
      <w:pPr>
        <w:spacing w:after="0" w:line="90"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Global Ship Lease to be the beneficial owner of more than 5% of its outstanding common shares;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Global Ship Lease’s officers and directors;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Global Ship Lease’s officers and directors as a group.</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Except as otherwise indicated, each person or entity named in the table has sole voting and investment power with respect to all shares of Global Ship Lease common shares shown as beneficially owned, subject to applicable community property laws. As of November 30, 2009, an aggregate of 54,086,150 Global Ship Lease Class A and Class B common shares were issued and outstanding.</w:t>
      </w:r>
    </w:p>
    <w:p>
      <w:pPr>
        <w:spacing w:after="0" w:line="1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Percentage ownership calculations for beneficial ownership excluding IPO warrants, sponsor warrants and Class A warrants are based on 54,086,150 common shares outstanding, which includes only Class A and Class B common shares. Percentage ownership calculations for beneficial ownership including 39,531,348 IPO warrants, 6,188,088 Class A warrants and 710,273 unvested RSUs are based on 100,515,859 common shares outstanding, which (i) does not include shares underlying 5,500,000 sponsor warrants (since a cashless exercise as of November 30, 2009 would not result in the issuance of any shares), (ii) assumes the exercise in cash of all IPO warrants and all Class A warrants, and (iii) includes Class A common shares underlying the unvested restricted stock units issued to management and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Approximate Percentage of Outstanding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56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980" w:type="dxa"/>
            <w:vAlign w:val="bottom"/>
            <w:gridSpan w:val="2"/>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Excluding IPO</w:t>
            </w:r>
          </w:p>
        </w:tc>
        <w:tc>
          <w:tcPr>
            <w:tcW w:w="10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Including IPO</w:t>
            </w:r>
          </w:p>
        </w:tc>
        <w:tc>
          <w:tcPr>
            <w:tcW w:w="560" w:type="dxa"/>
            <w:vAlign w:val="bottom"/>
          </w:tcPr>
          <w:p>
            <w:pPr>
              <w:spacing w:after="0"/>
              <w:rPr>
                <w:sz w:val="10"/>
                <w:szCs w:val="10"/>
                <w:color w:val="auto"/>
              </w:rPr>
            </w:pPr>
          </w:p>
        </w:tc>
        <w:tc>
          <w:tcPr>
            <w:tcW w:w="2020" w:type="dxa"/>
            <w:vAlign w:val="bottom"/>
            <w:gridSpan w:val="2"/>
          </w:tcPr>
          <w:p>
            <w:pPr>
              <w:jc w:val="center"/>
              <w:ind w:right="7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Excluding IPO</w:t>
            </w: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Including IPO</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Sponsor</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Class</w:t>
            </w:r>
          </w:p>
        </w:tc>
        <w:tc>
          <w:tcPr>
            <w:tcW w:w="56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Sponsor</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Class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Class A</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 Warrants and</w:t>
            </w:r>
          </w:p>
        </w:tc>
        <w:tc>
          <w:tcPr>
            <w:tcW w:w="56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Class A</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 Warrants and</w:t>
            </w:r>
          </w:p>
        </w:tc>
        <w:tc>
          <w:tcPr>
            <w:tcW w:w="0" w:type="dxa"/>
            <w:vAlign w:val="bottom"/>
          </w:tcPr>
          <w:p>
            <w:pPr>
              <w:spacing w:after="0"/>
              <w:rPr>
                <w:sz w:val="1"/>
                <w:szCs w:val="1"/>
                <w:color w:val="auto"/>
              </w:rPr>
            </w:pPr>
          </w:p>
        </w:tc>
      </w:tr>
      <w:tr>
        <w:trPr>
          <w:trHeight w:val="165"/>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Merger Warrants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unvested RSUs</w:t>
            </w:r>
          </w:p>
        </w:tc>
        <w:tc>
          <w:tcPr>
            <w:tcW w:w="560" w:type="dxa"/>
            <w:vAlign w:val="bottom"/>
          </w:tcPr>
          <w:p>
            <w:pPr>
              <w:spacing w:after="0"/>
              <w:rPr>
                <w:sz w:val="14"/>
                <w:szCs w:val="14"/>
                <w:color w:val="auto"/>
              </w:rPr>
            </w:pP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unvested RSUs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Gross (2)(3)</w:t>
            </w:r>
          </w:p>
        </w:tc>
        <w:tc>
          <w:tcPr>
            <w:tcW w:w="20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10,657,252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13,705,525</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19.70%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Pribor (3)</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31,697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59,019</w:t>
            </w:r>
          </w:p>
        </w:tc>
        <w:tc>
          <w:tcPr>
            <w:tcW w:w="2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0.06%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Boyd (3)</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6,697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Angus R. Frew (3)</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6,697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2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Morel (3)</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6,697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J. Webber (4)</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81,800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331,800</w:t>
            </w:r>
          </w:p>
        </w:tc>
        <w:tc>
          <w:tcPr>
            <w:tcW w:w="2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0.15%</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J. Cook (5)</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38,800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173,800</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Lister (6)</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38,800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173,800</w:t>
            </w:r>
          </w:p>
        </w:tc>
        <w:tc>
          <w:tcPr>
            <w:tcW w:w="2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Vivek Puri (7)</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All directors and executive officers as a group (9</w:t>
            </w: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individuals)</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10,891,440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14,609,001</w:t>
            </w:r>
          </w:p>
        </w:tc>
        <w:tc>
          <w:tcPr>
            <w:tcW w:w="25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20.14%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S.A.</w:t>
            </w:r>
          </w:p>
        </w:tc>
        <w:tc>
          <w:tcPr>
            <w:tcW w:w="1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24,412,700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27,544,600</w:t>
            </w:r>
          </w:p>
        </w:tc>
        <w:tc>
          <w:tcPr>
            <w:tcW w:w="2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45.14%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Approximate Percentage of Outstanding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Borders>
              <w:top w:val="single" w:sz="8" w:color="auto"/>
            </w:tcBorders>
            <w:gridSpan w:val="2"/>
          </w:tcPr>
          <w:p>
            <w:pPr>
              <w:jc w:val="center"/>
              <w:ind w:right="5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Excluding IPO</w:t>
            </w:r>
          </w:p>
        </w:tc>
        <w:tc>
          <w:tcPr>
            <w:tcW w:w="10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Including IPO</w:t>
            </w:r>
          </w:p>
        </w:tc>
        <w:tc>
          <w:tcPr>
            <w:tcW w:w="540" w:type="dxa"/>
            <w:vAlign w:val="bottom"/>
          </w:tcPr>
          <w:p>
            <w:pPr>
              <w:spacing w:after="0"/>
              <w:rPr>
                <w:sz w:val="10"/>
                <w:szCs w:val="10"/>
                <w:color w:val="auto"/>
              </w:rPr>
            </w:pPr>
          </w:p>
        </w:tc>
        <w:tc>
          <w:tcPr>
            <w:tcW w:w="2020" w:type="dxa"/>
            <w:vAlign w:val="bottom"/>
            <w:tcBorders>
              <w:top w:val="single" w:sz="8" w:color="auto"/>
            </w:tcBorders>
            <w:gridSpan w:val="2"/>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Excluding IPO</w:t>
            </w:r>
          </w:p>
        </w:tc>
        <w:tc>
          <w:tcPr>
            <w:tcW w:w="10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Including IPO</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Sponsor</w:t>
            </w: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Class</w:t>
            </w:r>
          </w:p>
        </w:tc>
        <w:tc>
          <w:tcPr>
            <w:tcW w:w="2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Sponsor</w:t>
            </w: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Class A</w:t>
            </w:r>
          </w:p>
        </w:tc>
        <w:tc>
          <w:tcPr>
            <w:tcW w:w="16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 Warrants and</w:t>
            </w:r>
          </w:p>
        </w:tc>
        <w:tc>
          <w:tcPr>
            <w:tcW w:w="20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Class A</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and</w:t>
            </w:r>
          </w:p>
        </w:tc>
        <w:tc>
          <w:tcPr>
            <w:tcW w:w="0" w:type="dxa"/>
            <w:vAlign w:val="bottom"/>
          </w:tcPr>
          <w:p>
            <w:pPr>
              <w:spacing w:after="0"/>
              <w:rPr>
                <w:sz w:val="1"/>
                <w:szCs w:val="1"/>
                <w:color w:val="auto"/>
              </w:rPr>
            </w:pPr>
          </w:p>
        </w:tc>
      </w:tr>
      <w:tr>
        <w:trPr>
          <w:trHeight w:val="165"/>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Merger Warrants</w:t>
            </w: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unvested RSUs</w:t>
            </w: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unvested RSUs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DePrince, Race &amp; Zollo, Inc. (8)</w:t>
            </w:r>
          </w:p>
        </w:tc>
        <w:tc>
          <w:tcPr>
            <w:tcW w:w="19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2,153,181</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8,293,516</w:t>
            </w:r>
          </w:p>
        </w:tc>
        <w:tc>
          <w:tcPr>
            <w:tcW w:w="5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Pine River Capital Management L.P. (9)</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3,658,228</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3,658,228</w:t>
            </w:r>
          </w:p>
        </w:tc>
        <w:tc>
          <w:tcPr>
            <w:tcW w:w="20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6.76%</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individuals is c/o Portland House, Stag Place, London SW1E 5RS, United Kingdom.</w:t>
      </w:r>
    </w:p>
    <w:p>
      <w:pPr>
        <w:spacing w:after="0" w:line="2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Marathon Founders, LLC is the record holder of 6,217,712 Class A and Class B common shares and 3,007,288 Class A warrants. Marathon Founders, LLC is owned and controlled by Mr. Gross. As a result, Mr. Gross may be deemed to beneficially own the shares held by Marathon Founders, LLC. In addition, Mr. Gross owns 3,850,000 sponsor warrants, which have been amended to be exercisable only on a cashless basis. On June 4, 2008, Mr. Gross entered into a stock purchase plan with Citi, in accordance with the guidelines of Rule 10b5-1 and the provisions of Rule 10b-18 of the Exchange Act, under which he placed a limit order to purchase up to 2,000,000 shares of Marathon common stock at a price of $8.00 per share or below. Under this plan, 2,000,000 shares were purchased at prices between $7.59 and $7.87 with an average price of $7.84 per share. In addition, in connection with the consummation of the Merger, Mr. Gross purchased 1,325,000 Class A common shares. In January 2009, Mr. Gross received 10,045 Class A common shares as part of his remuneration for 2008 as the company’s chairman. In the period November 16, 2009 to November 30, 2009, Mr. Gross purchased in open market transactions 1,104,495 Class A common shares at prices between $1.0682 and $1.50. At November 30, 2009 Mr. Gross held 40,985 restricted stock units in relation to his remunerations for 2009 as Chairman of the Board of Directors. The business address of Mr. Gross is c/o Marathon Founders, LLC, 500 Park Avenue, 5th Floor, New York, New York 10022.</w:t>
      </w:r>
    </w:p>
    <w:p>
      <w:pPr>
        <w:spacing w:after="0" w:line="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individuals is a director.</w:t>
      </w:r>
    </w:p>
    <w:p>
      <w:pPr>
        <w:spacing w:after="0" w:line="9" w:lineRule="exact"/>
        <w:rPr>
          <w:rFonts w:ascii="Times New Roman" w:cs="Times New Roman" w:eastAsia="Times New Roman" w:hAnsi="Times New Roman"/>
          <w:sz w:val="18"/>
          <w:szCs w:val="18"/>
          <w:color w:val="auto"/>
        </w:rPr>
      </w:pPr>
    </w:p>
    <w:p>
      <w:pPr>
        <w:ind w:left="460" w:right="44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Webber serves as Chief Executive Officer of Global Ship Lease. At November 30, 2009 Mr. Webber held 250,000 restricted stock units which are included in the table above.</w:t>
      </w:r>
    </w:p>
    <w:p>
      <w:pPr>
        <w:ind w:left="460" w:right="2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Cook serves as Chief Financial Officer and Secretary of Global Ship Lease. At November 30, 2009 Ms. Cook held 135,000 restricted stock units which are included in the table above.</w:t>
      </w:r>
    </w:p>
    <w:p>
      <w:pPr>
        <w:ind w:left="460" w:right="52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Lister serves as Chief Commercial Officer of Global Ship Lease. At November 30, 2009 Mr. Lister held 135,000 restricted stock units which are included in the table above.</w:t>
      </w:r>
    </w:p>
    <w:p>
      <w:pPr>
        <w:ind w:left="460" w:right="20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Puri serves as Chief Technical Officer of Global Ship Lease. At November 30, 2009 Mr. Puri held 40,000 restricted stock units which are included in the table above</w:t>
      </w: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Schedule 13G filed with the SEC on February 9, 2009.</w:t>
      </w:r>
    </w:p>
    <w:p>
      <w:pPr>
        <w:spacing w:after="0" w:line="9" w:lineRule="exact"/>
        <w:rPr>
          <w:rFonts w:ascii="Times New Roman" w:cs="Times New Roman" w:eastAsia="Times New Roman" w:hAnsi="Times New Roman"/>
          <w:sz w:val="18"/>
          <w:szCs w:val="18"/>
          <w:color w:val="auto"/>
        </w:rPr>
      </w:pPr>
    </w:p>
    <w:p>
      <w:pPr>
        <w:ind w:left="460" w:right="72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Pine River Capital Management L.P., Nisswa Acquisition Masterfund Ltd. and Brian Taylor may be deemed to be the beneficial owner of 3,658,228 Class A common shares based on Schedule 13G filed with the SEC on July 23, 2009.</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4.B for a discussion of our commercial transactions and agreements with CMA CGM.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the Merger, Global Ship Lease entered into a stockholders agreement with CMA CGM and Marathon Founders, LLC, pursuant to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CMA CGM agrees not to:</w:t>
      </w:r>
    </w:p>
    <w:p>
      <w:pPr>
        <w:spacing w:after="0" w:line="90"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common shares or other equity securities of Global Ship Lease;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tender offer or exchange offer for any common shares or other equity securities of Global Ship Lease;</w:t>
      </w:r>
    </w:p>
    <w:p>
      <w:pPr>
        <w:spacing w:after="0" w:line="90"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take any action to solicit, initiate or encourage, any offer or proposal for, or any indication of interest in, a merger, other business combination or other extraordinary transaction involving Global Ship Lease or any of its subsidiaries, or the acquisition of any common shares or other equity interest in, or a substantial portion of the assets of, Global Ship Lease or any of its subsidiaries;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changes to the size or members of the board of directors of Global Ship Lease</w:t>
      </w:r>
    </w:p>
    <w:p>
      <w:pPr>
        <w:spacing w:after="0" w:line="90"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join or in any way participate in a “group” (within the meaning of the Exchange Act) with respect to any common shares of Global Ship Lease.</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standstill restrictions will be temporarily released (i) in the event Global Ship Lease or its shareholders receive an unsolicited third party tender offer or exchange offer to acquire at least a majority of the outstanding common shares or there is a public announcement of a proposal or offer, or commencement of a proxy contest, to effect a change of control of Global Ship Lease, until such time as the board of directors of Global Ship Lease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Global Ship Lease agrees to include such standstill exceptions in any shareholder rights plan it may adopt.</w:t>
      </w:r>
    </w:p>
    <w:p>
      <w:pPr>
        <w:spacing w:after="0" w:line="14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Furthermore, in connection with the Credit Facility Amendment in August 2009, CMA CGM has agreed not to reduce its holding of common shares in Global Ship Lease below the current level of approximately 24.4 million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time of the Merger, Global Ship Lease entered into a registration rights agreement with CMA CGM, Marathon Investors, LLC, Marathon Founders, LLC and the other initial stockholders of Marathon common stock (including Michael Gross), pursuant to which Global Ship Lease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Global Ship Lease file a shelf registration statement with respect to their common shares as soon as the applicable transfer restrictions under the stockholders agreement expire. In addition, these shareholders also have piggyback registration rights allowing them to participate in offerings by Global Ship Lease and in demand registrations of the other shareholders. Global Ship Lease is obligated to pay all expenses incidental to the registration, excluding underwriter discounts and commissions.</w:t>
      </w:r>
    </w:p>
    <w:p>
      <w:pPr>
        <w:spacing w:after="0" w:line="2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Financial Statements and Other Financial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18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noted in “Business Overview—Credit Facilities” above, pursuant to the terms of the Credit Facility Amendment, Global Ship Lease has agreed not to declare or pay any dividends to common shareholders until the later of November 30, 2010 or the date at which the leverage ratio falls to 75% or lower. The board of directors intends to review Global Ship Lease’s dividend policy once the company is eligible to resume dividend payments.</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46,680,194 Class A common shares outstanding at October 31, 2009, there are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Global Ship Lease can pay quarterly dividends on its Class A common shares and subordinated Class B common shares from its operating surplus (as defined in the amended and restated articles of incorporation) in the following manner:</w:t>
      </w:r>
    </w:p>
    <w:p>
      <w:pPr>
        <w:spacing w:after="0" w:line="56"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100% to all Class A common shares, pro rata, until each outstanding common share has been paid an amount equal to the applicable dividend for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w:t>
      </w:r>
    </w:p>
    <w:p>
      <w:pPr>
        <w:spacing w:after="0" w:line="116" w:lineRule="exact"/>
        <w:rPr>
          <w:sz w:val="20"/>
          <w:szCs w:val="20"/>
          <w:color w:val="auto"/>
        </w:rPr>
      </w:pPr>
    </w:p>
    <w:p>
      <w:pPr>
        <w:ind w:right="7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100% to all Class A common shares, pro rata, until they have received any unpaid arrearages in the dividend for prior quarters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subordination period;</w:t>
      </w:r>
    </w:p>
    <w:p>
      <w:pPr>
        <w:spacing w:after="0" w:line="116"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100% to all subordinated Class B common shares, pro rata, until each outstanding Class B common share has been paid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dividend for that quarter;</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after that</w:t>
      </w:r>
      <w:r>
        <w:rPr>
          <w:rFonts w:ascii="Times New Roman" w:cs="Times New Roman" w:eastAsia="Times New Roman" w:hAnsi="Times New Roman"/>
          <w:sz w:val="18"/>
          <w:szCs w:val="18"/>
          <w:color w:val="auto"/>
        </w:rPr>
        <w:t>, 100% to all Class A and Class B common shares, pro rata, as if they were a single class.</w:t>
      </w:r>
    </w:p>
    <w:p>
      <w:pPr>
        <w:spacing w:after="0" w:line="17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Notwithstanding the foregoing, the dividend rights of the holders of Class B common shares will be subordinated to those of holders of Class A common shares until at least the third quarter of 2011 absent a prior change in control of Global Ship Lease.</w:t>
      </w:r>
    </w:p>
    <w:p>
      <w:pPr>
        <w:spacing w:after="0" w:line="12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declaration and payment of any dividend is subject at all times to the discretion of Global Ship Lease’s board of directors and will depend on, among other things, its earnings, financial condition and anticipated cash requirements and availability, additional acquisitions of vessels, restrictions under its credit facility, the provisions of Marshall Islands law affecting the payment of distributions to shareholders, required capital and drydocking expenditures, reserves established by its board of directors, increased or unanticipated expenses, a change in its dividend policy, additional borrowings or future issuances of securities and other factors, many of which will be beyond its control.</w:t>
      </w:r>
    </w:p>
    <w:p>
      <w:pPr>
        <w:spacing w:after="0" w:line="139" w:lineRule="exact"/>
        <w:rPr>
          <w:sz w:val="20"/>
          <w:szCs w:val="20"/>
          <w:color w:val="auto"/>
        </w:rPr>
      </w:pPr>
    </w:p>
    <w:p>
      <w:pPr>
        <w:jc w:val="both"/>
        <w:ind w:right="200"/>
        <w:spacing w:after="0" w:line="287" w:lineRule="auto"/>
        <w:rPr>
          <w:sz w:val="20"/>
          <w:szCs w:val="20"/>
          <w:color w:val="auto"/>
        </w:rPr>
      </w:pPr>
      <w:r>
        <w:rPr>
          <w:rFonts w:ascii="Times New Roman" w:cs="Times New Roman" w:eastAsia="Times New Roman" w:hAnsi="Times New Roman"/>
          <w:sz w:val="16"/>
          <w:szCs w:val="16"/>
          <w:color w:val="auto"/>
        </w:rPr>
        <w:t>Global Ship Lease’s ability to pay dividends may be limited by the amount of cash it can generate from operations following the payment of fees and expenses and the establishment of any reserves as well as additional factors unrelated to its profitability. Global Ship Lease is a holding company, and Global Ship Lease will depend on the ability of its subsidiaries to distribute funds to Global Ship Lease in order to satisfy its financial obligations and to pay dividend payments.</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Further, its board of directors may elect to not distribute any dividends or may significantly reduce the dividends. As a result, the amount of dividends actually paid, if any, may vary from the amount previously paid and such variations may be material. Please see Item 3 – “Key Information—Risk Factors” for a discussion of the risks associated with Global Ship Lease’s ability to pay dividends.</w:t>
      </w:r>
    </w:p>
    <w:p>
      <w:pPr>
        <w:spacing w:after="0" w:line="13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Global Ship Lease believes that, under current U.S. federal income tax law, some portion of the distributions you receive from Global Ship Lease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2010). Please see Item 10E “Tax Consequences of Holding Class A Common Shares—U.S. holders—Taxation of dividends paid on Class A common shares” for information regarding the eligibility requirements for “qualified dividend income” and for a discussion of proposed legislation that, if enacted, would prevent dividends paid by Global Ship Lease from constituting qualified dividend income.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92"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On August 15, 2008, our Class A common shares, warrants and units began trading on the NYSE under the symbols “GSL”, “GSL.WS” and “GSL.U”, respectively. Each of our units consists of one Class A common share and one warrant.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sets forth the high and low closing sales price of our Class A common shares, warrants and units, as reported on the NYSE for the periods shown: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8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2008 (since August 15, 2008)</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$7.64</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$6.30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2009</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$3.60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2009</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$2.35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2009</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$2.10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2009 (through November 30, 2009)</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$1.66</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5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582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2008 (since August 15, 2008)</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$1.53</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$0.60</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2009</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$0.28</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2009</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$0.15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2009</w:t>
            </w:r>
          </w:p>
        </w:tc>
        <w:tc>
          <w:tcPr>
            <w:tcW w:w="6440" w:type="dxa"/>
            <w:vAlign w:val="bottom"/>
            <w:gridSpan w:val="3"/>
            <w:shd w:val="clear" w:color="auto" w:fill="CCEEFF"/>
          </w:tcPr>
          <w:p>
            <w:pPr>
              <w:jc w:val="center"/>
              <w:ind w:left="5512"/>
              <w:spacing w:after="0"/>
              <w:rPr>
                <w:sz w:val="20"/>
                <w:szCs w:val="20"/>
                <w:color w:val="auto"/>
              </w:rPr>
            </w:pPr>
            <w:r>
              <w:rPr>
                <w:rFonts w:ascii="Times New Roman" w:cs="Times New Roman" w:eastAsia="Times New Roman" w:hAnsi="Times New Roman"/>
                <w:sz w:val="18"/>
                <w:szCs w:val="18"/>
                <w:color w:val="auto"/>
                <w:w w:val="98"/>
              </w:rPr>
              <w:t>$0.12</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2009 (through November 30, 2009)</w:t>
            </w:r>
          </w:p>
        </w:tc>
        <w:tc>
          <w:tcPr>
            <w:tcW w:w="6440" w:type="dxa"/>
            <w:vAlign w:val="bottom"/>
            <w:gridSpan w:val="3"/>
          </w:tcPr>
          <w:p>
            <w:pPr>
              <w:jc w:val="center"/>
              <w:ind w:left="5512"/>
              <w:spacing w:after="0"/>
              <w:rPr>
                <w:sz w:val="20"/>
                <w:szCs w:val="20"/>
                <w:color w:val="auto"/>
              </w:rPr>
            </w:pPr>
            <w:r>
              <w:rPr>
                <w:rFonts w:ascii="Times New Roman" w:cs="Times New Roman" w:eastAsia="Times New Roman" w:hAnsi="Times New Roman"/>
                <w:sz w:val="18"/>
                <w:szCs w:val="18"/>
                <w:color w:val="auto"/>
                <w:w w:val="98"/>
              </w:rPr>
              <w:t>$0.05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820" w:type="dxa"/>
            <w:vAlign w:val="bottom"/>
          </w:tcPr>
          <w:p>
            <w:pPr>
              <w:jc w:val="right"/>
              <w:ind w:right="4512"/>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6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2008 (since August 15, 2008)</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$9.23</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$6.99</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March 31, 2009</w:t>
            </w:r>
          </w:p>
        </w:tc>
        <w:tc>
          <w:tcPr>
            <w:tcW w:w="9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$3.70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2009</w:t>
            </w:r>
          </w:p>
        </w:tc>
        <w:tc>
          <w:tcPr>
            <w:tcW w:w="926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$2.22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2009</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$2.09</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2009 (through November 30, 2009)</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$1.93</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32"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3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3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Reference is made to Item 4.B for a description of the time charters, the ship management agreements and the global expense agreement, which are incorporated herein by reference. Reference is made to Item 5.B for a description of our credit facility, which is incorporated herein by reference. Reference is made to Item 6.B for a description of employment agreements, which is incorporated herein by reference. Reference is made to Item 7.B for a description of the registration rights agreement and the stockholders agreement, which are incorporated herein by reference.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2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material U.S. federal income tax consequences of the acquisition, ownership and disposition of our Class A common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800"/>
          </w:cols>
          <w:pgMar w:left="240" w:top="455" w:right="8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section does not purport to be a comprehensive description of all of the tax considerations that may be relevant to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55"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who have elected mark-to-market accounting;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who hold Class A common shares as part of a straddle, hedge, conversion transaction or other integrated transaction;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long-term residents of the United States;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herein) whose functional currency is not the U.S. dollar.</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Global Ship Lease’s Class A common shares through such entities. Prospective investors may want to consult their tax advisors regarding the specific tax consequences to them of the acquisition, holding or disposition of Class A common shares, in light of their particular circumstances.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Global Ship Lease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operating income</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4% gross basis tax</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 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Global Ship Lease does not expect to have any transportation income from voyages that begin and end in the United States.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net basis tax and branch profits tax</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Global Ship Lease does not expect to engage in any activities in the United States or otherwise have a fixed place of business in the United States. Nonetheless, if this situation were to change or Global Ship Lease were to be treated as engaged in a United States trade or business, all or a portion of Global Ship Lease’s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Global Ship Lease at such time as Global Ship Lease’s after-tax effectively connected income is viewed as having been repatriated to Global Ship Lease’s offshore office. The 4% gross basis tax described above is inapplicable to income that is treated as effectively connected income.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Section 883 exemption</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Both the 4% gross basis tax and the net basis and branch profits taxes described above are inapplicable to transportation income that qualifies for exemption under Section 883 of the Code. To qualify for the Section 883 exemption a foreign corporation must, among other things:</w:t>
      </w:r>
    </w:p>
    <w:p>
      <w:pPr>
        <w:spacing w:after="0" w:line="39" w:lineRule="exact"/>
        <w:rPr>
          <w:sz w:val="20"/>
          <w:szCs w:val="20"/>
          <w:color w:val="auto"/>
        </w:rPr>
      </w:pPr>
    </w:p>
    <w:p>
      <w:pPr>
        <w:ind w:left="900" w:right="1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organized in a jurisdiction outside the United States that grants an equivalent exemption from tax to corporations organized in the United States, which we call an Equivalent Exemption;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satisfy one of the following three ownership tests (discussed in more detail below): (1) the more than 50% ownership test, or 50% Ownership Test,</w:t>
      </w:r>
    </w:p>
    <w:p>
      <w:pPr>
        <w:spacing w:after="0" w:line="44"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the controlled foreign corporation test, or CFC Test or (3) the “Publicly Traded Test”; and</w:t>
      </w:r>
    </w:p>
    <w:p>
      <w:pPr>
        <w:spacing w:after="0" w:line="77"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substantiation, reporting and other requirements (which include the filing of United States income tax returns).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Global Ship Lease is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Global Ship Lease should meet the first requirement for the Section 883 exemption. Additionally, Global Ship Lease intends to comply with the substantiation, reporting and other requirements that are applicable under Section 883 of the Code. As a result, qualification for the Section 883 exemption will turn primarily on Global Ship Lease’s ability to satisfy the second requirement enumerated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50% Ownership Test</w:t>
      </w:r>
    </w:p>
    <w:p>
      <w:pPr>
        <w:spacing w:after="0" w:line="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Internal Revenue Service (the “IRS”) that the 50% Ownership Test has been satisfied (as detailed in the Section 883 Regulations). Global Ship Lease does not believe that it will be able to satisfy the 50% Ownership Test due to the widely-held ownership of its Class A common shares and its lack of knowledge of the direct and indirect owners of entities which own its Class A common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CFC Test</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Global Ship Lease cannot predict at this time whether it will be a CFC.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Publicly Traded Test</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Global Ship Lease’s Class A common shares are listed on the NYSE, and are not listed on any other securities exchange. Therefore, the Class A common shares should be treated as primarily traded on an established securities market in the United States. Moreover, the Class A common shares represent more than 50% of both the voting power and value of all classes of shares of Global Ship Lease.</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/6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Class A common shares are regularly quoted by dealers making a market in such Class A common shares. While Global Ship Lease anticipates that these trading frequency and trading volume tests will be satisfied each year, satisfaction of these requirements is outside of Global Ship Lease’s control and, hence, no assurances can be provided that Global Ship Lease will satisfy the Publicly Traded Test each year.</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Based on information currently available to Global Ship Lease on its shareholders, it appears that if such shareholders were to retain the Global Ship Lease Class A common shares throughout 2009, the 5% Override Rule likely would apply, and Global Ship Lease would not qualify for the Section 883 exemption. However, it is possible that Global Ship Lease’s ownership may change such that the 5% Override Rule may not apply. The ability to avoid application of the 5% Override Rule will be outside of Global Ship Lease’s control and, as a result, no assurances can be provided that Global Ship Lease will satisfy the Publicly Traded Test for any year.</w:t>
      </w:r>
    </w:p>
    <w:p>
      <w:pPr>
        <w:spacing w:after="0" w:line="13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If Global Ship Lease were not to qualify for the Section 883 exemption in any year, the United States income taxes that become payable could have a negative effect on Global Ship Lease’s business, and could result in decreased earnings available for distribution to Global Ship Lease’s shareholders. However, under the charter agreements, the initial Charterer has agreed to provide reimbursement for any such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taxation of gain on sale of vessels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Global Ship Lease qualifies for the Section 883 exemption, then gain from the sale of any vessel may be exempt from tax under Section 883. Even if such gain is not exempt from tax under Section 883, Global Ship Lease will not be subject to U.S. federal income taxation with respect to such gain, assuming that Global Ship Lease is not, and has never been, engaged in a U.S. trade or business. Under certain circumstances, if Global Ship Lease is so engaged, gain on sale of vessels could be subject to U.S. federal income tax.</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Possibility of taxation as a U.S. corporation</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changes made to the Code by the American Jobs Creation Act of 2004, which added Section 7874 of the Code, a foreign corporation which acquires substantially all the properties of a U.S. corporation is generally treated, for U.S. federal tax purposes, as though it were a U.S. corporation if, after the acquisition, at least 80% (by vote or value) of the stock of the foreign corporation is owned by former shareholders of the U.S. corporation by reason of owning stock in the U.S. corporation. Marathon has received a legal opinion of Akin Gump Strauss Hauer &amp; Feld LLP that this rule should not apply to Global Ship Lease following the Merger. The opinions of tax counsel neither bind the IRS nor preclude the IRS or courts from adopting a contrary position. Marathon did not obtain a ruling from the IRS on the application of Section 7874 of the Code to the Merger. Akin Gump Strauss Hauer &amp; Feld LLP has not undertaken any obligation to update its opinion.</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Such opinion relied, in part, on assumptions, representations and other information as to certain factual matters, including the value per share of Global Ship Lease Class B stock and Class C stock relative to the market value per share of Global Ship Lease Class A stock. Valuation is a question of fact and is subjective. If the IRS were successfully to challenge the correctness of any such assumptions, representations or other information, it is possible that Section 7874 of the Code could apply.</w:t>
      </w:r>
    </w:p>
    <w:p>
      <w:pPr>
        <w:spacing w:after="0" w:line="1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addition, there is no definitive legal authority applying the rules under Section 7874 of the Code. Therefore, no assurance can be provided that the IRS will not successfully assert that Global Ship Lease should be treated as a U.S. corporation, in which case Global Ship Lease’s net income would be subject to U.S. federal corporate income tax (with the highest statutory rate currently being 35%).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Holding Class A Common Shares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Global Ship Lease Class A common shares that is:</w:t>
      </w:r>
    </w:p>
    <w:p>
      <w:pPr>
        <w:spacing w:after="0" w:line="90"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taxed as a corporation for U.S. federal income tax purposes) created or organized under the laws of the United States, any state thereof or the District of Columbia;</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includible in gross income for U.S. federal income tax purposes regardless of its source; or</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Subject to the discussions of the PFIC and CFC rules below, a U.S. holder generally will not recognize gain or loss upon the exercise of a warrant, although it is possible that a holder of a sponsor warrant will recognize compensation income (taxable as ordinary income) in connection with such an exercise. Holders of sponsor warrants may want to consult their tax advisors as to the consequences to them of exercising their sponsor warrants. Class A common shares acquired pursuant to the exercise of a warrant will have a tax basis equal to the U.S. holder’s tax basis in the warrant increased by the exercise price paid to exercise the warrant. The holding period of such Class A common shares would begin on the date following the date of exercise of the warrant (or possibly the date of exercise).</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extent a U.S. holder is entitled to receive a fractional interest of a share as a result of the exercise of a warrant, Global Ship Lease will round up the number of Class A common shares issued to the U.S. holder to the nearest whole number of Class A common shares. If Global Ship Lease has paid or pays dividends with respect to its Class A common shares within three years of such an exercise, it is possible that the difference between the rounded up number of Class A common shares and the fractional interest of the share could be treated as a taxable share dividend. Accordingly, U.S. holders may want to consult their tax advisors regarding the tax consequences of exercising warrants in light of their particular circumstances.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paid on Class A common shares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Global Ship Lease makes a distribution with respect to its Class A common shares, subject to the discussions of the passive foreign investment company, or PFIC, and CFC rules below, a U.S. holder will be required to include in gross income as foreign source dividend income the amount of the distribution to the extent paid out of Global Ship Lease’s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3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Subject to the discussions of the PFIC and CFC rules below, in the case of a U.S. holder that is a corporation, dividends that Global Ship Lease pays will generally be taxable at regular corporate rates of up to 35% and generally will not qualify for a dividends-received deduction available for dividends received from United States corporations. In the case of certain non-corporate U.S. holders, dividends that Global Ship Lease pays prior to January 1, 2011 generally will be subject to tax at a maximum rate of 15%, provided that the U.S. holder meets certain holding period and other requirements and Global Ship Lease is not a PFIC in the taxable year in which the dividends are paid or in the immediately preceding taxable year. Legislation has been introduced which, if enacted, would deny the benefit of the 15% maximum rate to dividends that Global Ship Lease pays. Global Ship Lease cannot predict whether such legislation will be enacted, or, if so, what its effective date might be.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the disposition of Class A common shares</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its Class A common shares.</w:t>
      </w:r>
    </w:p>
    <w:p>
      <w:pPr>
        <w:spacing w:after="0" w:line="1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possible passive foreign investment company classification</w:t>
      </w:r>
    </w:p>
    <w:p>
      <w:pPr>
        <w:spacing w:after="0" w:line="9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spacing w:after="0" w:line="1" w:lineRule="exact"/>
        <w:rPr>
          <w:sz w:val="20"/>
          <w:szCs w:val="20"/>
          <w:color w:val="auto"/>
        </w:rPr>
      </w:pPr>
    </w:p>
    <w:p>
      <w:pPr>
        <w:ind w:firstLine="8"/>
        <w:spacing w:after="0" w:line="254"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there are legal uncertainties involved in this determination,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that Global Ship Lease owns for the production of this income should not constitute passive assets. Simpson Thacher’s opinion was based on certain representations that Global Ship Lease made to counsel including:</w:t>
      </w:r>
    </w:p>
    <w:p>
      <w:pPr>
        <w:spacing w:after="0" w:line="58" w:lineRule="exact"/>
        <w:rPr>
          <w:sz w:val="20"/>
          <w:szCs w:val="20"/>
          <w:color w:val="auto"/>
        </w:rPr>
      </w:pPr>
    </w:p>
    <w:p>
      <w:pPr>
        <w:ind w:left="900" w:right="16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charters that Global Ship Lease has entered into with CMA CGM were negotiated at arm’s-length, and the terms of the charters are customary for long-term charters of comparable vessels;</w:t>
      </w:r>
    </w:p>
    <w:p>
      <w:pPr>
        <w:spacing w:after="0" w:line="38"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ship management agreements and the global expense agreement that Global Ship Lease has entered into with CMA Ships were negotiated at arm’s-length and are reflective of the terms that Global Ship Lease believes could be reached in an agreement between unrelated third parties;</w:t>
      </w:r>
    </w:p>
    <w:p>
      <w:pPr>
        <w:spacing w:after="0" w:line="51"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charters that Global Ship Lease has entered into with CMA CGM and all ship management agreements that Global Ship Lease has entered into with CMA Ships are substantially similar to the charter and the ship management agreement that Global Ship Lease provided to Simpson Thacher for its review;</w:t>
      </w:r>
    </w:p>
    <w:p>
      <w:pPr>
        <w:spacing w:after="0" w:line="51"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vessel in Global Ship Lease’s initial and contracted fleet had, at charter inception, a remaining economic useful life of no less than (a) 30 years minus (b) the age of the vessel at charter inception; and</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payments due to Global Ship Lease under each of the charters with CMA CGM were, at the time each such charter was entered into, substantially in excess of the bareboat charter rate for a comparable vessel.</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Simpson Thacher’s opinion was also based on a representation that Global Ship Lease and Marathon made to counsel that, for each of the ship management agreements with CMA Ships, Global Ship Lease will enter into replacement ship management agreements with ship managers unrelated to CMA Ships or any of its affiliates on or prior to the expiration of each agreement’s initial three year term.</w:t>
      </w:r>
    </w:p>
    <w:p>
      <w:pPr>
        <w:spacing w:after="0" w:line="13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Based on this opinion (and Global Ship Lease’s expectation that the representations set forth above will apply equally to any future charters that Global Ship Lease enters into, that the terms of any future charters that Global Ship Lease enters into will contain terms that are substantially similar to those contained in the charter that was provided to Simpson Thacher for its review, that Global Ship Lease’s income from its chartering activities will be greater than 25% of Global Ship Lease’s total gross income at all relevant times and that the gross value of Global Ship Lease’s vessels subject to charter will exceed the gross value of all other assets Global Ship Lease owns at all relevant times), Global Ship Lease does not expect that it will constitute a PFIC with respect to any taxable year.</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representations made by Global Ship Lease, GSL Holdings, and Marathon will prove correct or that the nature of Global Ship Lease’s assets, income and operations will remain the same in the future (notwithstanding Global Ship Lease’s current expectations). Simpson Thacher has not undertaken any obligation to update its opinion. 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our time charters. No assurance can be given that the IRS or a court of law will accept Simpson Thacher’s position that the charters Global Ship Lease has entered into with CMA CGM constitute service contracts rather than leases for U.S. federal income tax purposes, or that future changes of law will not adversely affect Simpson Thacher’s opinion. Unlike a ruling, an opinion of counsel represents only that counsel’s best legal judgment (based on the law then in effect) and does not bind the IRS or the courts. Any contest with the IRS may materially and adversely impact the market for the Class A common shares and the prices at which Class A common shares trade. In addition, the costs of any contest with the IRS will result in a reduction in cash available for distribution and thus will be borne indirectly by Global Ship Lease’s shareholders.</w:t>
      </w:r>
    </w:p>
    <w:p>
      <w:pPr>
        <w:spacing w:after="0" w:line="13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If Global Ship Lease were to be classified as a PFIC in any year, each U.S. holder of Global Ship Lease’s Class A common shares will be subject (in that year and all subsequent years) to special rules with respect to: (1) any “excess distribution” (generally defined as any distribution received by a shareholder in a taxable year that is greater than 125% of the average annual distributions received by the shareholder in the three preceding taxable years or, if shorter, the shareholder’s holding period for the Class A common shares), and (2) any gain realized upon the sale or other disposition of the Class A common shares. Under these rules:</w:t>
      </w:r>
    </w:p>
    <w:p>
      <w:pPr>
        <w:spacing w:after="0" w:line="22"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its Class A common shares;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year prior to the first year in which Global Ship Lease was a PFIC will be taxed as ordinary income in the current year; and</w:t>
      </w:r>
    </w:p>
    <w:p>
      <w:pPr>
        <w:spacing w:after="0" w:line="38" w:lineRule="exact"/>
        <w:rPr>
          <w:rFonts w:ascii="Times New Roman" w:cs="Times New Roman" w:eastAsia="Times New Roman" w:hAnsi="Times New Roman"/>
          <w:sz w:val="18"/>
          <w:szCs w:val="18"/>
          <w:color w:val="auto"/>
        </w:rPr>
      </w:pPr>
    </w:p>
    <w:p>
      <w:pPr>
        <w:ind w:left="900" w:right="300" w:hanging="325"/>
        <w:spacing w:after="0" w:line="26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in the U.S. holder’s holding period for its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avoid the application of the PFIC rules, U.S. holders of Global Ship Lease Class A common shares may make a qualified electing fund, or a QEF, election provided in Section 1295 of the Code. In lieu of the PFIC rules discussed above, a U.S. holder that makes a valid QEF election will, in very general terms, be required to include its pro rata share of Global Ship Lease’s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Global Ship Lease later distributes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Global Ship Lease is a PFIC or, if later, the first taxable year for which the U.S. holder held common stock. In this regard, a QEF election is effective only if certain required information is made available by the PFIC. Subsequent to the date that Global Ship Lease first determines that it is a PFIC, Global Ship Lease will use commercially reasonable efforts to provide any U.S. holder of Class A common shares, upon request, with the information necessary for such U.S. holder to make the QEF election. If Global Ship Lease does not believe that it is a PFIC for a particular year but it is ultimately determined that it was a PFIC, it may not be possible for a holder to make a QEF election for such year.</w:t>
      </w:r>
    </w:p>
    <w:p>
      <w:pPr>
        <w:spacing w:after="0" w:line="143"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6"/>
          <w:szCs w:val="16"/>
          <w:color w:val="auto"/>
        </w:rPr>
        <w:t>In addition to the QEF election, Section 1296 of the Code permits United States persons to make a “mark-to-market” election with respect to marketable stock in a PFIC. If a U.S. holder of Global Ship Lease Class A common shares makes a mark-to-market election, such U.S. holder generally would, in each taxable year:</w:t>
      </w:r>
    </w:p>
    <w:p>
      <w:pPr>
        <w:spacing w:after="0" w:line="1" w:lineRule="exact"/>
        <w:rPr>
          <w:sz w:val="20"/>
          <w:szCs w:val="20"/>
          <w:color w:val="auto"/>
        </w:rPr>
      </w:pPr>
    </w:p>
    <w:p>
      <w:pPr>
        <w:ind w:right="40" w:firstLine="8"/>
        <w:spacing w:after="0" w:line="252"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4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As previously indicated, if Global Ship Lease were to be classified as a PFIC for a taxable year in which Global Ship Lease pays a dividend or the immediately preceding taxable year, dividends paid by Global Ship Lease would not constitute “qualified dividend income” and, hence, would not be eligible for the reduced rate of U.S. federal income tax.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treatment as a controlled foreign corporation</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more than 50% of the voting power or value of Global Ship Lease’s shares is owned by U.S. persons (within the meaning of the Code) who each own (directly or through application of certain rules of attribution) 10% or more of the voting power of the shares, or U.S 10% Holders, Global Ship Lease will be a controlled foreign corporation, or a CFC. If Global Ship Lease is so treated, there will be additional tax consequences to U.S. 10% Holders. In particular, in each year Global Ship Lease is a CFC, such U.S. 10% Holders who directly or indirectly own Global Ship Lease shares on the last day of the year will be required to include in ordinary income their pro rata share of Global Ship Lease’s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Global Ship Lease, but will not include active business income. Global Ship Lease believes, and intends to take the position, that the charters Global Ship Lease has entered into should not generate passive income, and thus the income generated by Global Ship Lease’s charters should not be treated as Subpart F income to its U.S. 10% Holders, although no assurance can be provided that the IRS will not successfully challenge such position.</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if Global Ship Lease is treated as a CFC, gain realized by a U.S. 10% Holder on the sale or other disposition of Class A common shares may be treated as dividend income to the extent of certain accumulated earnings and profits of Global Ship Lease. Moreover, for taxable years of a U.S. 10% Holder in which Global Ship Lease is a CFC, and taxable years of Global Ship Lease that end with or within such taxable years of such U.S. 10% Holders, Global Ship Lease generally will not be treated as a PFIC with respect to Class A common shares held by such U.S. 10% Holder (but may be treated as a PFIC with respect to other U.S. holders). However, it appears that a U.S. 10% Holder of a CFC who disposes of common shares received upon exercise of warrants may be subject to tax treatment under the PFIC regime with respect to such common shares. Each U.S. holder is advised to consult such U.S. holder’s own tax advisor concerning the PFIC and CFC rules with respect to ownership and disposition of Class A common shares received upon the exercise of warrants.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Under the attribution rules provided in the Code, the holder of an option to acquire common shares (including, for this purpose, a warrant) is deemed to own such common shares for purposes of determining whether such holder is a U.S. 10% Holder and for purposes of determining whether Global Ship Lease is a CFC. In applying similar option attribution rules for certain other purposes, the IRS has taken the position (with which some courts have disagreed) that a holder of warrants is treated as owning the common shares subject to such warrants, but that warrants owned by other holders would not be viewed as increasing the total number of outstanding common shares. It is not clear whether, or how, the IRS would seek to apply a similar theory to determine whether a particular shareholder is a U.S. 10% Holder or whether Global Ship Lease is a CFC, nor is it clear whether such a theory would be upheld. If a similar theory were to apply for this purpose, it could substantially increase the likelihood that Global Ship Lease would be a CFC or that a particular U.S. holder would be a U.S. 10% Holder.</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Global Ship Lease cannot predict at this time whether it will be a CFC, and satisfaction of the CFC definitional test is outside of Global Ship Lease’s control. U.S. holders may want to consult their own tax advisors concerning the application of the controlled foreign corporation rules to them in light of their particular circumstances.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92"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Global Ship Lease Class A common shares that is neither a U.S. holder nor a partnership (or any other entity taxed as a partnership for U.S. federal income tax purposes).</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If Global Ship Lease is treated as a U.S. corporation pursuant to Section 7874 of the Code, non-U.S. holders generally will be subject to withholding tax at a rate of 30% on all dividends paid by Global Ship Lease, unless a reduced rate of tax is available under a tax treaty.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G. Statements by Experts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Global Ship Lease is exposed to the impact of interest rate changes primarily through its floating-rate borrowings under Global Ship Lease’s credit facility and its $48 million preferred shares. Significant increases in interest rates could adversely affect Global Ship Lease’s results of operations and its ability to service its own debt. The Predecessor Group did not enter into interest rate swap agreements to reduce its exposure to cash flow risks from changing interest rates.</w:t>
      </w:r>
    </w:p>
    <w:p>
      <w:pPr>
        <w:spacing w:after="0" w:line="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Global Ship Lease’s credit facility and as part of overall risk management, it has entered into interest rate swap agreements to reduce its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Counterparties to these financial instruments expose Global Ship Lease to credit-related losses in the event of non-performance; however, counterparties to these agreements are major financial institutions, and Global Ship Lease considers the risk of loss due to non-performance to be minimal. Global Ship Lease will not require collateral from these institutions. Global Ship Lease will not enter into interest rate swaps for trading purposes.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Global Ship Lease’s analysis of the potential effects of variations in market interest rates is based on a sensitivity analysis, which models the effects of potential market interest rate changes on Global Ship Lease’s financial condition and results of operations. The following sensitivity analysis may have limited use as a benchmark and should not be viewed as a forecast as it does not include a variety of other potential factors that could affect Global Ship Lease’s business as a result of changes in interest rates.</w:t>
      </w:r>
    </w:p>
    <w:p>
      <w:pPr>
        <w:spacing w:after="0" w:line="136"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Without applying the effect of any interest rate swap arrangements that Global Ship Lease has entered into in connection with Global Ship Lease’s credit facility, and based on borrowings under the credit facility together with the preferred shares and ignoring cash on deposit as of December 31, 2008, a hypothetical 1% increase in LIBOR would have the impact of reducing Global Ship Lease’s net income, before income taxes, by approximately $5.9 million.</w:t>
      </w:r>
    </w:p>
    <w:p>
      <w:pPr>
        <w:spacing w:after="0" w:line="97"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The interest rate swaps agreements that Global Ship Lease entered into in connection with the credit facility is intended to minimize the risks associated with Global Ship Lease’s variable rate debt under its credit facility. Global Ship Lease expects that these interest rate swaps will significantly reduce the additional cash interest expense that could be caused by upward changes in variable market interest rates.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shipping industry’s functional currency is the United States dollar. All of Global Ship Lease’s revenues and the majority of Global Ship Lease’s operating costs are in United States dollars. In the future, Global Ship Lease does not expect to be exposed to any significant extent to the impact of changes in foreign currency exchange rates. Consequently, Global Ship Lease does not presently intend to enter into derivative instruments to hedge the foreign currency translation of assets or liabilities or foreign currency transactions or to use financial instruments for trading or other speculative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the exception of rising costs associated with the employment of international crews for Global Ship Lease’s vessels and the impact of the price of lube oil costs, Global Ship Lease does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are capped as discussed elsewhere in this Annual Report.</w:t>
      </w:r>
    </w:p>
    <w:p>
      <w:pPr>
        <w:spacing w:after="0" w:line="2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Defaults, Dividend Arrearages and Delinquencies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Material Modifications to the Rights of Security Holders and Use of Proceeds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4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have concluded that, as of December 31, 2008, the end of the period covered by this report, our disclosure controls and procedures were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does not contain a report by management on internal control over financial reporting or an attestation report of our registered public accounting firm. Under normal circumstances, pursuant to Section 404 of the Sarbanes-Oxley Act of 2002 (“Sarbanes-Oxley”), we would be required to furnish a report by management on internal control over financial reporting, which must contain, among other things, an assessment of the effectiveness of our internal control over financial reporting as of the end of that year, including a statement as to whether or not our internal control over financial reporting is effective. However, in Question No. 3 of the Frequently Asked Questions document updated by the staff of the SEC (the “Staff”) in September 2007, the Staff noted that in certain situations, companies are permitted to exclude acquired businesses from the scope of management’s assessment in the first annual report following a material business combination. The Staff stated that if a registrant consummates a material purchase business combination during its fiscal year, it might not always be possible to conduct an assessment of an acquired business’s internal control over financial reporting in the period between the consummation date and the date of management’s assessment. In addition, business combinations of special purpose acquisition companies present situations where excluding the acquired operating company from management’s assessment may not result in a meaningful assessment of internal controls effectiveness, given that the internal controls and processes of the acquired operating company are the only ones remaining after the transaction.</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14, 2008, Global Ship Lease completed a merger with Marathon Acquisition Corp. Marathon Acquisition Corp., the accounting acquirer in the Merger, was previously a blank check company formed in Delaware on April 27, 2006 for the purpose of acquiring, through a merger, stock exchange, asset acquisition, reorganization or similar business combination, one or more operating businesses. Marathon was a company listed on The American Stock Exchange with limited operations and no assets other than cash. Following the Merger, Global Ship Lease listed on the New York Stock Exchange and Marathon ceased to exist.</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presented elsewhere in this annual report include two distinct reporting periods: (i) January 1, 2006 through August 14, 2008 (“Predecessor”) and (ii) August 15, 2008 through December 31, 2008 (“Successor”), which relate to the period preceding and succeeding the Merger, respectively. Our Predecessor was not required to file any periodic or other reports with the SEC and was not subject to the reporting requirements of Section 15(d) of the Exchange Act until August 15, 2008.</w:t>
      </w:r>
    </w:p>
    <w:p>
      <w:pPr>
        <w:spacing w:after="0" w:line="13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Following the Merger, the internal controls and processes operating during the Successor period consisted solely of those of Global Ship Lease, the acquired operating company. The exclusion of the acquired company’s controls and processes from management’s report would result in the exclusion of virtually all controls. Considering the substantial changes in our internal controls and processes and the fact that the Successor’s control environment operated for less than five months during fiscal year 2008, a meaningful assessment of internal controls effectiveness was not feasible and management concluded that Global Ship Lease should omit such an assessment from the first annual report following the Merger.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Management acknowledges its responsibility for establishing and maintaining adequate internal controls over financial reporting. In order to comply with Section 404 of Sarbanes Oxley, management has begun the necessary system and process documentation and evaluation and will include its report on internal control over financial reporting in its future annual reports beginning with its annual report for the fiscal year ending December 31, 2009.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3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Since August 2008, Global Ship Lease has begun documenting its risk assessment, identifying significant accounts and processes and evaluating the design effectiveness of its new internal control environment. In addition, a significant portion of Global Ship Lease’s day-to-day business, consisting of the crewing and technical management of our vessels, is outsourced to a third party ship management company that is privately owned and not otherwise subject to the Sarbanes-Oxley requirements. Management has also begun an analytical review and examination of the information provided by this ship manager to ensure that it is accurate and complete and that Global Ship Lease’s financial statements incorporating such information are correct. Global Ship Lease plans to complete an appropriate, efficient and meaningful assessment of the relevant internal control over financial reporting at the ship manager for its next annual report.</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6"/>
          <w:szCs w:val="16"/>
          <w:b w:val="1"/>
          <w:bCs w:val="1"/>
          <w:color w:val="auto"/>
        </w:rPr>
        <w:t>Audit Committee Financial Expert</w:t>
      </w:r>
    </w:p>
    <w:p>
      <w:pPr>
        <w:spacing w:after="0" w:line="92"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6"/>
          <w:szCs w:val="16"/>
          <w:b w:val="1"/>
          <w:bCs w:val="1"/>
          <w:color w:val="auto"/>
        </w:rPr>
        <w:t>Code of Ethics</w:t>
      </w:r>
    </w:p>
    <w:p>
      <w:pPr>
        <w:spacing w:after="0" w:line="92"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accountant for 2008 and 2007 was PricewaterhouseCoopers Audit, France, an independent registered public accounting firm.</w:t>
      </w:r>
    </w:p>
    <w:p>
      <w:pPr>
        <w:spacing w:after="0" w:line="250" w:lineRule="exact"/>
        <w:rPr>
          <w:sz w:val="20"/>
          <w:szCs w:val="20"/>
          <w:color w:val="auto"/>
        </w:rPr>
      </w:pPr>
    </w:p>
    <w:p>
      <w:pPr>
        <w:ind w:right="530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Fees Incurred by Global Ship Lease for PricewaterhouseCoopers Audit’s Services </w:t>
      </w:r>
      <w:r>
        <w:rPr>
          <w:rFonts w:ascii="Times New Roman" w:cs="Times New Roman" w:eastAsia="Times New Roman" w:hAnsi="Times New Roman"/>
          <w:sz w:val="18"/>
          <w:szCs w:val="18"/>
          <w:color w:val="auto"/>
        </w:rPr>
        <w:t>In 2007 and 2008, the fees rendered by the auditors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2008</w:t>
            </w:r>
          </w:p>
        </w:tc>
        <w:tc>
          <w:tcPr>
            <w:tcW w:w="68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3"/>
                <w:szCs w:val="13"/>
                <w:color w:val="auto"/>
              </w:rPr>
            </w:pPr>
          </w:p>
        </w:tc>
      </w:tr>
      <w:tr>
        <w:trPr>
          <w:trHeight w:val="149"/>
        </w:trPr>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(Predecessor for the</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(Successor for the</w:t>
            </w:r>
          </w:p>
        </w:tc>
      </w:tr>
      <w:tr>
        <w:trPr>
          <w:trHeight w:val="149"/>
        </w:trPr>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period from January 1,</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 August 15,</w:t>
            </w:r>
          </w:p>
        </w:tc>
      </w:tr>
      <w:tr>
        <w:trPr>
          <w:trHeight w:val="149"/>
        </w:trPr>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2007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2008 to August 14,</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2008 to December 31,</w:t>
            </w:r>
          </w:p>
        </w:tc>
      </w:tr>
      <w:tr>
        <w:trPr>
          <w:trHeight w:val="165"/>
        </w:trPr>
        <w:tc>
          <w:tcPr>
            <w:tcW w:w="3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(Predecessor)</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2008)</w:t>
            </w:r>
          </w:p>
        </w:tc>
        <w:tc>
          <w:tcPr>
            <w:tcW w:w="6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2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878,043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403,250</w:t>
            </w:r>
          </w:p>
        </w:tc>
        <w:tc>
          <w:tcPr>
            <w:tcW w:w="68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342,118</w:t>
            </w:r>
          </w:p>
        </w:tc>
        <w:tc>
          <w:tcPr>
            <w:tcW w:w="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6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w:t>
            </w: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w:t>
            </w:r>
          </w:p>
        </w:tc>
        <w:tc>
          <w:tcPr>
            <w:tcW w:w="2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878,043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442,889</w:t>
            </w:r>
          </w:p>
        </w:tc>
        <w:tc>
          <w:tcPr>
            <w:tcW w:w="68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374,507</w:t>
            </w:r>
          </w:p>
        </w:tc>
        <w:tc>
          <w:tcPr>
            <w:tcW w:w="20" w:type="dxa"/>
            <w:vAlign w:val="bottom"/>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9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Audit fees represent professional services rendered for the audit of our combined annual financial statements, the quarterly reviews and services provided by our principal accountant in connection with statutory and regulatory filings or engagements. Included in Audit Fees are professional services rendered in connection with the review of our regulatory filings for the project of initial public offering of our Predecessor in 2007 for $503,000 and the review of our regulatory filings for our merger in the first half of 2008 for $300,000.</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9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Audit-Related fees consist of assurance and related services rendered by the principal accountant related to the performance of the audit or review of our combined financial statements which have not been reported under Audit Fees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 for 2008 and 2007 are primarily for tax consultation services.</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after the Merger which took place in August 2008.</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6"/>
          <w:szCs w:val="16"/>
          <w:b w:val="1"/>
          <w:bCs w:val="1"/>
          <w:color w:val="auto"/>
        </w:rPr>
        <w:t>Exemptions from the Listing Standards for Audit Committees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ind w:right="514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Item 16E. Purchases of Equity Securities by the Issuer and Affiliated Purchasers </w:t>
      </w:r>
      <w:r>
        <w:rPr>
          <w:rFonts w:ascii="Times New Roman" w:cs="Times New Roman" w:eastAsia="Times New Roman" w:hAnsi="Times New Roman"/>
          <w:sz w:val="18"/>
          <w:szCs w:val="18"/>
          <w:color w:val="auto"/>
        </w:rPr>
        <w:t>Not applicable.</w:t>
      </w:r>
    </w:p>
    <w:p>
      <w:pPr>
        <w:spacing w:after="0" w:line="15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6"/>
          <w:szCs w:val="16"/>
          <w:b w:val="1"/>
          <w:bCs w:val="1"/>
          <w:color w:val="auto"/>
        </w:rPr>
        <w:t>Change in Registrants’ Certifying Accountant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6"/>
          <w:szCs w:val="16"/>
          <w:b w:val="1"/>
          <w:bCs w:val="1"/>
          <w:color w:val="auto"/>
        </w:rPr>
        <w:t>Corporate Governance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80" w:hanging="325"/>
        <w:spacing w:after="0" w:line="275"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annual meetings of shareholders under the Business Corporations Act of the Republic of the Marshall Islands, similar to NYSE requirements;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obtaining shareholder approval prior to the adoption of equity compensation plans, the full board of directors approves such adoption.</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18.</w:t>
            </w:r>
          </w:p>
        </w:tc>
        <w:tc>
          <w:tcPr>
            <w:tcW w:w="1018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financial statements, together with the report of PricewaterhouseCoopers Audit thereon, are filed as part of this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GLOBAL SHIP LEASE, INC.</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3"/>
        </w:trPr>
        <w:tc>
          <w:tcPr>
            <w:tcW w:w="11060" w:type="dxa"/>
            <w:vAlign w:val="bottom"/>
            <w:gridSpan w:val="8"/>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060" w:type="dxa"/>
            <w:vAlign w:val="bottom"/>
            <w:gridSpan w:val="8"/>
          </w:tcPr>
          <w:p>
            <w:pPr>
              <w:ind w:left="440"/>
              <w:spacing w:after="0"/>
              <w:rPr>
                <w:sz w:val="20"/>
                <w:szCs w:val="20"/>
                <w:color w:val="auto"/>
              </w:rPr>
            </w:pPr>
            <w:r>
              <w:rPr>
                <w:rFonts w:ascii="Times New Roman" w:cs="Times New Roman" w:eastAsia="Times New Roman" w:hAnsi="Times New Roman"/>
                <w:sz w:val="18"/>
                <w:szCs w:val="18"/>
                <w:i w:val="1"/>
                <w:iCs w:val="1"/>
                <w:color w:val="auto"/>
              </w:rPr>
              <w:t>Audited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418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w:anchor="page87">
              <w:r>
                <w:rPr>
                  <w:rFonts w:ascii="Times New Roman" w:cs="Times New Roman" w:eastAsia="Times New Roman" w:hAnsi="Times New Roman"/>
                  <w:sz w:val="18"/>
                  <w:szCs w:val="18"/>
                  <w:color w:val="0000EE"/>
                  <w:w w:val="96"/>
                </w:rPr>
                <w:t>Reports of Independent Registered Public Accounting Firm</w:t>
              </w:r>
            </w:hyperlink>
          </w:p>
        </w:tc>
        <w:tc>
          <w:tcPr>
            <w:tcW w:w="6000" w:type="dxa"/>
            <w:vAlign w:val="bottom"/>
            <w:gridSpan w:val="5"/>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9">
              <w:r>
                <w:rPr>
                  <w:rFonts w:ascii="Times New Roman" w:cs="Times New Roman" w:eastAsia="Times New Roman" w:hAnsi="Times New Roman"/>
                  <w:sz w:val="18"/>
                  <w:szCs w:val="18"/>
                  <w:color w:val="0000EE"/>
                  <w:w w:val="97"/>
                </w:rPr>
                <w:t>Combined Balance Sheets as at December 31, 2008 and 2007</w:t>
              </w:r>
            </w:hyperlink>
          </w:p>
        </w:tc>
        <w:tc>
          <w:tcPr>
            <w:tcW w:w="58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92">
              <w:r>
                <w:rPr>
                  <w:rFonts w:ascii="Times New Roman" w:cs="Times New Roman" w:eastAsia="Times New Roman" w:hAnsi="Times New Roman"/>
                  <w:sz w:val="18"/>
                  <w:szCs w:val="18"/>
                  <w:color w:val="0000EE"/>
                  <w:w w:val="97"/>
                </w:rPr>
                <w:t>Combined Statements of Income for the years ended December 31, 2008, 2007 and 2006</w:t>
              </w:r>
            </w:hyperlink>
          </w:p>
        </w:tc>
        <w:tc>
          <w:tcPr>
            <w:tcW w:w="39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94">
              <w:r>
                <w:rPr>
                  <w:rFonts w:ascii="Times New Roman" w:cs="Times New Roman" w:eastAsia="Times New Roman" w:hAnsi="Times New Roman"/>
                  <w:sz w:val="18"/>
                  <w:szCs w:val="18"/>
                  <w:color w:val="0000EE"/>
                  <w:w w:val="97"/>
                </w:rPr>
                <w:t>Combined Statements of Cash Flows for the years ended December 31, 2008, 2007 and 2006</w:t>
              </w:r>
            </w:hyperlink>
          </w:p>
        </w:tc>
        <w:tc>
          <w:tcPr>
            <w:tcW w:w="36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96">
              <w:r>
                <w:rPr>
                  <w:rFonts w:ascii="Times New Roman" w:cs="Times New Roman" w:eastAsia="Times New Roman" w:hAnsi="Times New Roman"/>
                  <w:sz w:val="18"/>
                  <w:szCs w:val="18"/>
                  <w:color w:val="0000EE"/>
                  <w:w w:val="97"/>
                </w:rPr>
                <w:t>Combined Statements of Stockholder’s Equity for the years ended December 31, 2008, 2007 and 2006</w:t>
              </w:r>
            </w:hyperlink>
          </w:p>
        </w:tc>
        <w:tc>
          <w:tcPr>
            <w:tcW w:w="29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80" w:type="dxa"/>
            <w:vAlign w:val="bottom"/>
            <w:gridSpan w:val="7"/>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Notes to the Combined Financial Statements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12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Specimen Unit certificate (incorporated by reference to Exhibit 4.1 of Global Ship Lease, Inc.’s Registration Statement on Form F-1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333-153448) filed on September 12,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Specimen Warrant certificate (incorporated by reference to Exhibit 4.3 of Global Ship Lease, Inc.’s Registration Statement on Form F-1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333-153448) filed on September 12,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Warrant Agreement entered into by The Bank of New York and Marathon Acquisition Corp. (incorporated by reference to Exhibit 4.4 of Global</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Ship Lease, Inc.’s Registration Statement on Form F-1 (File No. 333-153448) filed on September 12,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First Supplemental Warrant Agreement, dated March 18, 2008, between Marathon Acquisition Corp. and the Warrant Agent (incorporated by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reference to Exhibit 4.2 of Marathon Acquisition Corp.’s Current Report on Form 8-K (File No. 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Second Supplemental Warrant Agreement, dated March 24, 2008, between Marathon Acquisition Corp. and the Warrant Agent (incorporated by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reference to Exhibit 4.3 of Marathon Acquisition Corp.’s Current Report on Form 8-K (File No. 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Third Supplemental Warrant Agreement between Marathon Acquisition Corp. and the Warrant Agent (incorporated by reference to Exhibit 4.1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Global Ship Lease, Inc.’s Registration Statement on Form F-4 (File No. 333-150309) filed on August 7,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Agreement and Plan of Merger by and among Marathon Acquisition Corp., GSL Holdings, Inc., Global Ship Lease, Inc. and CMA CGM S.A.,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dated as of March 21, 2008 (incorporated by reference to Exhibit 2.1 of Marathon Acquisition Corp.’s Current Report on Form 8-K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Amendment, dated as of June 2, 2008, to Agreement and Plan of Merger, dated as of March 21, 2008, among Marathon Acquisition Corp., GSL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Holdings, Inc., CMA CGM S.A. and Global Ship Lease, Inc. (incorporated by reference to Exhibit 2.1 of Marathon Acquisition Corp.’s Current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Report on Form 8-K (File No. 001-32983) filed on June 3,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Form of Registration Rights Agreement between GSL Holdings, Inc., Marathon Founders, LLC, Marathon Investors, LLC, the insiders listed 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the signature page thereto and CMA CGM S.A. (incorporated by reference to Exhibit A-1 to Exhibit 2.1 of Marathon Acquisition Corp.’s Current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Report on Form 8-K (File No. 001-32983) filed on July 24,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Founder Warrant Purchase Agreement, dated as of May 11, 2006, between Marathon Acquisition Corp. and Marathon Investors,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(incorporated by reference to Exhibit 10.8 of Amendment No. 1 to Marathon Acquisition Corp.’s Registration Statement on Form S-1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333-134078) filed on June 29, 2006).</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First Supplemental Founder Warrant Purchase Agreement, dated March 18, 2008, between the Marathon Acquisition Corp. and Marathon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Investors, LLC (incorporated by reference to Exhibit 4.1 of Marathon Acquisition Corp.’s Current Report on Form 8-K (File No. 001-32983)</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Founder Unit Purchase Agreement, dated as of May 11, 2006 among Marathon Acquisition Corp. and Marathon Founders, LLC and certain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directors of Marathon (incorporated by reference to Exhibit 10.5 of Amendment No. 1 to Marathon Acquisition Corp.’s Registration Statement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on Form S-1 (File No. 333-134078) filed on June 29,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3"/>
                <w:szCs w:val="13"/>
                <w:color w:val="auto"/>
              </w:rPr>
            </w:pPr>
          </w:p>
        </w:tc>
        <w:tc>
          <w:tcPr>
            <w:tcW w:w="10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8"/>
              </w:rPr>
              <w:t>Form Indemnification Agreement between Marathon Acquisition Corp. and each of its directors and executive officers (incorporated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to Exhibit 10.6 of Amendment No. 2 to Marathon Acquisition Corp.’s Registration Statement on Form S-1 (File No. 333-134078) filed on August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 2006).</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of Transitional Services Agreement between Global Ship Lease Services Limited and CMA CGM S.A. (incorporated by reference to Exhibit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A-5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Amended and Restated Asset Purchase Agreement, dated as of December 5, 2007, among Global Ship Lease, Inc. and CMA CGM S.A., Delmas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S.A.S., Pacific I S.N.C. and Pacific II S.N.C. (incorporated by reference to Exhibit 10.7 of Global Ship Lease, Inc.’s Registration Statement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F-4 (File No. 333-150309) filed on April 18,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of Second Amended and Restated Asset Purchase Agreement among Global Ship Lease, Inc. and CMA CGM S.A., Delmas S.A.S., Pacific 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S.N.C. and Pacific II S.N.C. (incorporated by reference to Exhibit A-2 to Exhibit 2.1 of Marathon Acquisition Corp’s Current Report on Form 8-K</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(File No. 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Credit Facility, dated as of December 10, 2007, among the Companies Listed In Part 1 of Schedule 1 thereto, Global Ship Lease, Inc., Fortis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(Nederland) N.V., Citigroup Global Markets Limited, HSH Nordbank AG, DNB Nor Bank ASA, Sumitomo Mitsui Banking Corporation, Brussels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7"/>
              </w:rPr>
              <w:t>Branch (incorporated by reference to Exhibit 10.9 of Amendment No. 3 to Global Ship Lease, Inc.’s Registration Statement on Form F-1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333-147070) filed on November 13,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Addendum No. 1 to Credit Facility, dated December 10, 2007, among the Companies Listed In Part 1 of Schedule 1 thereto, Global Ship Lease,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Inc., 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Corporation, Brussels Branch (incorporated by reference to Exhibit 10.10 of Global Ship Lease, Inc.’s Registration Statement on Form F-4 (File</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No. 333-150309) filed on April 18,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Addendum No. 2 to Credit Facility, dated February 2009, among the Companies Listed In Part 1 of Schedule 1 thereto, Global Ship Lease,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Brussels Branch, (incorporated by reference to Exhibit II of Global Ship Lease, Inc.’s Current Report on Form 6-K (File No. 001-</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341539) filed on February 10,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Waiver Agreement to Credit Facility, dated April 29,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6-K (File No. 001-341539) filed on May 1,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Waiver Agreement to Credit Facility, dated June 26,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6-K (File No. 001-341539) filed on June 29,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Waiver Agreement to Credit Facility, dated July 30,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6-K (File No. 001-341539) filed on July 31,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Amendment and Restatement Agreement to Credit Facility, dated August 20, 2009, among the Companies Listed In Part 1 of Schedule 1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8"/>
              </w:rPr>
              <w:t>Global Ship Lease, Inc., Fortis Bank (Nederland) N.V., Citigroup Global Markets Limited, HSH Nordbank AG, DNB Nor Bank ASA, Sumitomo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Mitsui Banking Corporation, Brussels Branch, (incorporated by reference to Exhibit II of Global Ship Lease, Inc.’s Current Report on Form 6-K</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(File No. 001-341539) filed on August 21,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Form of Guarantee made by Global Ship Lease, Inc. in favor of the charterer listed on Schedule I thereto (incorporated by reference to Exhibit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10.10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Guarantee made by the CMA CGM S.A. in favor of Global Ship Lease, Inc. (incorporated by reference to Exhibit 10.11 of Global Ship</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Charter Agreement entered into by a subsidiary of Global Ship Lease, Inc. and CMA CGM S.A. or one of its subsidiaries (incorporated</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9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4.22</w:t>
            </w:r>
          </w:p>
        </w:tc>
        <w:tc>
          <w:tcPr>
            <w:tcW w:w="460" w:type="dxa"/>
            <w:vAlign w:val="bottom"/>
          </w:tcPr>
          <w:p>
            <w:pPr>
              <w:spacing w:after="0"/>
              <w:rPr>
                <w:sz w:val="16"/>
                <w:szCs w:val="16"/>
                <w:color w:val="auto"/>
              </w:rPr>
            </w:pPr>
          </w:p>
        </w:tc>
        <w:tc>
          <w:tcPr>
            <w:tcW w:w="104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Form of Ship Management Agreement entered into by CMA Ships and a Subsidiary of Global Ship Lease, Inc. (incorporated by reference to Exhibit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A-3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Form of Guarantee made by Global Ship Lease, Inc. in favor of CMA CGM S.A. and CMA Ships (incorporated by reference to Exhibit 10.14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Form of Guarantee made by CMA CGM S.A. in favor of Global Ship Lease, Inc. and its Subsidiaries (incorporated by reference to Exhibit 1015 of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Form of Global Expense Agreement between CMA Ships and Global Ship Lease, Inc. (incorporated by reference to Exhibit 10.16 of Global Ship</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7"/>
              </w:rPr>
              <w:t>Form of Indemnification Agreement entered into between Global Ship Lease, Inc. and each of its directors and officers (incorporated by reference to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Exhibit 10.17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Form of Stockholders Agreement among GSL Holdings, Inc., CMA CGM S.A. and Marathon Founders, LLC (incorporated by reference to Exhibit</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 to Exhibit 2.1 of Marathon Acquisition Corp.’s Current Report on Form 8-K (File No. 001-32983) filed on June 3,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2008 Equity Incentive Plan (incorporated by reference to Exhibit 10.22 of Global Ship Lease, Inc.’s Registration Statement on Form F-1 (File No.</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333-153448) filed on September 12,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Form of Employment Agreement of Ian J. Webber (incorporated by reference to Exhibit 10.23 of Amendment No. 3 to Global Ship Lease, Inc.’s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Form of Employment Agreement of Susan J. Cook (incorporated by reference to Exhibit 10.24 of Amendment No. 3 to Global Ship Lease, Inc.’s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7"/>
              </w:rPr>
              <w:t>Form of Employment Agreement of Thomas A. Lister (incorporated by reference to Exhibit 10.25 of Amendment No. 3 to Global Ship Lease, Inc.’s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Memorandum of Agreement for Hull 789 (incorporated by reference to Exhibit 10.26 of Global Ship Lease, Inc.’s Registration Statement on Form</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F-1/A (File No. 333-153448) filed on September 18,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Memorandum of Agreement for Hull 790 (incorporated by reference to Exhibit 10.27 of Global Ship Lease, Inc.’s Registration Statement on Form</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F-1/A (File No. 333-153448) filed on September 18, 2008).</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List of Subsidiaries of Global Ship Lease, Inc. (incorporated by reference to Exhibit II of Global Ship Lease, Inc.’s Annual Report on Form 20-F</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(File No. 001-341539) filed on June 25, 2009).</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Code of Ethics (incorporated by reference to Exhibit II of Global Ship Lease, Inc.’s Annual Report on Form 20-F (File No. 001-341539) filed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25, 2009).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Rule 13a-14(a)/15d-14(a) Certification of Global Ship Lease, Inc.’s Chief Executive Officer.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Rule 13a-14(a)/15d-14(a) Certification of Global Ship Lease, Inc.’s Chief Financial Officer.</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Global Ship Lease, Inc. Certification of Ian J. Webber, Chief Executive Officer, pursuant to 18 U.S.C. Section 1350, as adopted pursuant to Section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Global Ship Lease, Inc. Certification of Susan J. Cook, Chief Financial Officer, pursuant to 18 U.S.C. Section 1350, as adopted pursuant to Section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0" w:type="dxa"/>
            <w:vAlign w:val="bottom"/>
          </w:tcPr>
          <w:p>
            <w:pPr>
              <w:spacing w:after="0"/>
              <w:rPr>
                <w:sz w:val="1"/>
                <w:szCs w:val="1"/>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Consent of PricewaterhouseCoopers Audit to the incorporation by reference of the consolidated financial statements of the Company for the fiscal</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year ended December 31,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4"/>
                <w:szCs w:val="14"/>
                <w:color w:val="auto"/>
              </w:rPr>
              <w:t>EBBER</w:t>
            </w:r>
          </w:p>
        </w:tc>
      </w:tr>
      <w:tr>
        <w:trPr>
          <w:trHeight w:val="126"/>
        </w:trPr>
        <w:tc>
          <w:tcPr>
            <w:tcW w:w="280" w:type="dxa"/>
            <w:vAlign w:val="bottom"/>
          </w:tcPr>
          <w:p>
            <w:pPr>
              <w:spacing w:after="0"/>
              <w:rPr>
                <w:sz w:val="10"/>
                <w:szCs w:val="10"/>
                <w:color w:val="auto"/>
              </w:rPr>
            </w:pPr>
          </w:p>
        </w:tc>
        <w:tc>
          <w:tcPr>
            <w:tcW w:w="4280" w:type="dxa"/>
            <w:vAlign w:val="bottom"/>
          </w:tcPr>
          <w:p>
            <w:pPr>
              <w:jc w:val="center"/>
              <w:ind w:left="26"/>
              <w:spacing w:after="0" w:line="127" w:lineRule="exact"/>
              <w:rPr>
                <w:sz w:val="20"/>
                <w:szCs w:val="20"/>
                <w:color w:val="auto"/>
              </w:rPr>
            </w:pPr>
            <w:r>
              <w:rPr>
                <w:rFonts w:ascii="Times New Roman" w:cs="Times New Roman" w:eastAsia="Times New Roman" w:hAnsi="Times New Roman"/>
                <w:sz w:val="14"/>
                <w:szCs w:val="14"/>
                <w:b w:val="1"/>
                <w:bCs w:val="1"/>
                <w:color w:val="auto"/>
                <w:w w:val="95"/>
              </w:rPr>
              <w:t>Ian J. Webber</w:t>
            </w:r>
          </w:p>
        </w:tc>
      </w:tr>
      <w:tr>
        <w:trPr>
          <w:trHeight w:val="178"/>
        </w:trPr>
        <w:tc>
          <w:tcPr>
            <w:tcW w:w="280" w:type="dxa"/>
            <w:vAlign w:val="bottom"/>
          </w:tcPr>
          <w:p>
            <w:pPr>
              <w:spacing w:after="0"/>
              <w:rPr>
                <w:sz w:val="15"/>
                <w:szCs w:val="15"/>
                <w:color w:val="auto"/>
              </w:rPr>
            </w:pPr>
          </w:p>
        </w:tc>
        <w:tc>
          <w:tcPr>
            <w:tcW w:w="4280" w:type="dxa"/>
            <w:vAlign w:val="bottom"/>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6"/>
              </w:rPr>
              <w:t>Chief Executive Officer</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2009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GLOSSARY OF SHIPPING TERMS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definitions of certain terms that are commonly used in the shipping industry and in this Annual Report.</w:t>
      </w:r>
    </w:p>
    <w:p>
      <w:pPr>
        <w:spacing w:after="0" w:line="169"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Annual Survey</w:t>
      </w:r>
      <w:r>
        <w:rPr>
          <w:rFonts w:ascii="Times New Roman" w:cs="Times New Roman" w:eastAsia="Times New Roman" w:hAnsi="Times New Roman"/>
          <w:sz w:val="18"/>
          <w:szCs w:val="18"/>
          <w:color w:val="auto"/>
        </w:rPr>
        <w:t>. The inspection of a ship pursuant to international conventions, by a classification society surveyor, on behalf of the flag state, that takes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every year.</w:t>
      </w:r>
    </w:p>
    <w:p>
      <w:pPr>
        <w:spacing w:after="0" w:line="116"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Backhaul</w:t>
      </w:r>
      <w:r>
        <w:rPr>
          <w:rFonts w:ascii="Times New Roman" w:cs="Times New Roman" w:eastAsia="Times New Roman" w:hAnsi="Times New Roman"/>
          <w:sz w:val="18"/>
          <w:szCs w:val="18"/>
          <w:color w:val="auto"/>
        </w:rPr>
        <w:t>. The weaker leg of a round trip voyage with less volume than the stronger headhaul leg or the return movement of a container—often empty—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destination of unloading to a point of reloading of cargo.</w:t>
      </w:r>
    </w:p>
    <w:p>
      <w:pPr>
        <w:spacing w:after="0" w:line="116"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Ballast</w:t>
      </w:r>
      <w:r>
        <w:rPr>
          <w:rFonts w:ascii="Times New Roman" w:cs="Times New Roman" w:eastAsia="Times New Roman" w:hAnsi="Times New Roman"/>
          <w:sz w:val="18"/>
          <w:szCs w:val="18"/>
          <w:color w:val="auto"/>
        </w:rPr>
        <w:t>. Weight in solid or liquid form, such as sea water, taken on a ship to increase draught, to change trim, or to improve stability or a voyage in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 is not laden with cargo.</w:t>
      </w:r>
    </w:p>
    <w:p>
      <w:pPr>
        <w:spacing w:after="0" w:line="116"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Bareboat Charter</w:t>
      </w:r>
      <w:r>
        <w:rPr>
          <w:rFonts w:ascii="Times New Roman" w:cs="Times New Roman" w:eastAsia="Times New Roman" w:hAnsi="Times New Roman"/>
          <w:sz w:val="18"/>
          <w:szCs w:val="18"/>
          <w:color w:val="auto"/>
        </w:rPr>
        <w:t>. A charter of a ship under which the shipowner is usually paid a fixed amount of charterhire for a certain period of time during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charterer is responsible for the ship operating expenses and voyage expenses of the ship and for the management of the ship, including crewing. A bareboat charter is also known as a “demise charter” or a “time charter by demise.”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Bunkers</w:t>
      </w:r>
      <w:r>
        <w:rPr>
          <w:rFonts w:ascii="Times New Roman" w:cs="Times New Roman" w:eastAsia="Times New Roman" w:hAnsi="Times New Roman"/>
          <w:sz w:val="18"/>
          <w:szCs w:val="18"/>
          <w:color w:val="auto"/>
        </w:rPr>
        <w:t>. Heavy fuel and diesel oil used to power a ship’s engines.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Capacity</w:t>
      </w:r>
      <w:r>
        <w:rPr>
          <w:rFonts w:ascii="Times New Roman" w:cs="Times New Roman" w:eastAsia="Times New Roman" w:hAnsi="Times New Roman"/>
          <w:sz w:val="18"/>
          <w:szCs w:val="18"/>
          <w:color w:val="auto"/>
        </w:rPr>
        <w:t>. The nominal carrying capacity of the ship.</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Charterer</w:t>
      </w:r>
      <w:r>
        <w:rPr>
          <w:rFonts w:ascii="Times New Roman" w:cs="Times New Roman" w:eastAsia="Times New Roman" w:hAnsi="Times New Roman"/>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Charterhire</w:t>
      </w:r>
      <w:r>
        <w:rPr>
          <w:rFonts w:ascii="Times New Roman" w:cs="Times New Roman" w:eastAsia="Times New Roman" w:hAnsi="Times New Roman"/>
          <w:sz w:val="18"/>
          <w:szCs w:val="18"/>
          <w:color w:val="auto"/>
        </w:rPr>
        <w:t>. A sum of money paid to the shipowner by a charterer for the use of a ship.</w:t>
      </w:r>
    </w:p>
    <w:p>
      <w:pPr>
        <w:spacing w:after="0" w:line="171"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Charter owners</w:t>
      </w:r>
      <w:r>
        <w:rPr>
          <w:rFonts w:ascii="Times New Roman" w:cs="Times New Roman" w:eastAsia="Times New Roman" w:hAnsi="Times New Roman"/>
          <w:sz w:val="18"/>
          <w:szCs w:val="18"/>
          <w:color w:val="auto"/>
        </w:rPr>
        <w:t>. A company that owns containerships and charters out its ships to container shipping companies rather than operating the ships for liner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also known as shipowner.</w:t>
      </w:r>
    </w:p>
    <w:p>
      <w:pPr>
        <w:spacing w:after="0" w:line="116"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Charter rate</w:t>
      </w:r>
      <w:r>
        <w:rPr>
          <w:rFonts w:ascii="Times New Roman" w:cs="Times New Roman" w:eastAsia="Times New Roman" w:hAnsi="Times New Roman"/>
          <w:sz w:val="18"/>
          <w:szCs w:val="18"/>
          <w:color w:val="auto"/>
        </w:rPr>
        <w:t>. The rate charged by charter owners normally as a daily rate for the use of their containerships by container shipping companies. Charter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on a time charter or bareboat charter basis.</w:t>
      </w:r>
    </w:p>
    <w:p>
      <w:pPr>
        <w:spacing w:after="0" w:line="11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Classification society</w:t>
      </w:r>
      <w:r>
        <w:rPr>
          <w:rFonts w:ascii="Times New Roman" w:cs="Times New Roman" w:eastAsia="Times New Roman" w:hAnsi="Times New Roman"/>
          <w:sz w:val="18"/>
          <w:szCs w:val="18"/>
          <w:color w:val="auto"/>
        </w:rPr>
        <w:t>. An independent organization that certifies that a ship has been built and maintained according to the organization’s rules for that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27" w:lineRule="exact"/>
        <w:rPr>
          <w:sz w:val="20"/>
          <w:szCs w:val="20"/>
          <w:color w:val="auto"/>
        </w:rPr>
      </w:pPr>
    </w:p>
    <w:p>
      <w:pPr>
        <w:jc w:val="both"/>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Container shipping company</w:t>
      </w:r>
      <w:r>
        <w:rPr>
          <w:rFonts w:ascii="Times New Roman" w:cs="Times New Roman" w:eastAsia="Times New Roman" w:hAnsi="Times New Roman"/>
          <w:sz w:val="18"/>
          <w:szCs w:val="18"/>
          <w:color w:val="auto"/>
        </w:rPr>
        <w:t>. A shipping company operating liners services using its own or chartered ships with fixed port of call schedules. Also known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liner company or a container operator.</w:t>
      </w:r>
    </w:p>
    <w:p>
      <w:pPr>
        <w:spacing w:after="0" w:line="116"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Drydocking</w:t>
      </w:r>
      <w:r>
        <w:rPr>
          <w:rFonts w:ascii="Times New Roman" w:cs="Times New Roman" w:eastAsia="Times New Roman" w:hAnsi="Times New Roman"/>
          <w:sz w:val="18"/>
          <w:szCs w:val="18"/>
          <w:color w:val="auto"/>
        </w:rPr>
        <w:t>. Placing the ship in a drydock in order to check and repair areas and parts below the water line. During drydockings, which are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carried out periodically, certain mandatory classification society inspections are carried out and relevant certifications are issued. Drydockings for containerships are generally required once every three to five years, one of which must be a Special survey.</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Freight rate</w:t>
      </w:r>
      <w:r>
        <w:rPr>
          <w:rFonts w:ascii="Times New Roman" w:cs="Times New Roman" w:eastAsia="Times New Roman" w:hAnsi="Times New Roman"/>
          <w:sz w:val="18"/>
          <w:szCs w:val="18"/>
          <w:color w:val="auto"/>
        </w:rPr>
        <w:t>. The amount charged by container shipping companies for transporting cargo, normally as a rate per 20-foot or 40-foot container.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Geared Containerships</w:t>
      </w:r>
      <w:r>
        <w:rPr>
          <w:rFonts w:ascii="Times New Roman" w:cs="Times New Roman" w:eastAsia="Times New Roman" w:hAnsi="Times New Roman"/>
          <w:sz w:val="18"/>
          <w:szCs w:val="18"/>
          <w:color w:val="auto"/>
        </w:rPr>
        <w:t>. Self-sustained containerships, which are able to load and discharge containers with their own onboard cranes and derricks.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Gross tonnage</w:t>
      </w:r>
      <w:r>
        <w:rPr>
          <w:rFonts w:ascii="Times New Roman" w:cs="Times New Roman" w:eastAsia="Times New Roman" w:hAnsi="Times New Roman"/>
          <w:sz w:val="18"/>
          <w:szCs w:val="18"/>
          <w:color w:val="auto"/>
        </w:rPr>
        <w:t>. A unit of measurement of the entire internal cubic capacity of the ship expressed in tons of 100 cubic feet to the ton.</w:t>
      </w:r>
    </w:p>
    <w:p>
      <w:pPr>
        <w:spacing w:after="0" w:line="171"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Headhaul</w:t>
      </w:r>
      <w:r>
        <w:rPr>
          <w:rFonts w:ascii="Times New Roman" w:cs="Times New Roman" w:eastAsia="Times New Roman" w:hAnsi="Times New Roman"/>
          <w:sz w:val="18"/>
          <w:szCs w:val="18"/>
          <w:color w:val="auto"/>
        </w:rPr>
        <w:t>. The stronger leg of a round trip voyage with greater volume than the weaker backhaul or the outgoing goods to be delivered from a point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Hull</w:t>
      </w:r>
      <w:r>
        <w:rPr>
          <w:rFonts w:ascii="Times New Roman" w:cs="Times New Roman" w:eastAsia="Times New Roman" w:hAnsi="Times New Roman"/>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IMO</w:t>
      </w:r>
      <w:r>
        <w:rPr>
          <w:rFonts w:ascii="Times New Roman" w:cs="Times New Roman" w:eastAsia="Times New Roman" w:hAnsi="Times New Roman"/>
          <w:sz w:val="18"/>
          <w:szCs w:val="18"/>
          <w:color w:val="auto"/>
        </w:rPr>
        <w:t>. International Maritime Organization, a United Nations agency that issues international standards for shipping.</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Intermediate survey</w:t>
      </w:r>
      <w:r>
        <w:rPr>
          <w:rFonts w:ascii="Times New Roman" w:cs="Times New Roman" w:eastAsia="Times New Roman" w:hAnsi="Times New Roman"/>
          <w:sz w:val="18"/>
          <w:szCs w:val="18"/>
          <w:color w:val="auto"/>
        </w:rPr>
        <w:t>. The inspection of a ship by a classification society surveyor that takes place 24 to 36 months after each special survey.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Newbuilding</w:t>
      </w:r>
      <w:r>
        <w:rPr>
          <w:rFonts w:ascii="Times New Roman" w:cs="Times New Roman" w:eastAsia="Times New Roman" w:hAnsi="Times New Roman"/>
          <w:sz w:val="18"/>
          <w:szCs w:val="18"/>
          <w:color w:val="auto"/>
        </w:rPr>
        <w:t>. A ship on order, construction or just delivered.</w:t>
      </w:r>
    </w:p>
    <w:p>
      <w:pPr>
        <w:spacing w:after="0" w:line="17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Off-hire</w:t>
      </w:r>
      <w:r>
        <w:rPr>
          <w:rFonts w:ascii="Times New Roman" w:cs="Times New Roman" w:eastAsia="Times New Roman" w:hAnsi="Times New Roman"/>
          <w:sz w:val="18"/>
          <w:szCs w:val="18"/>
          <w:color w:val="auto"/>
        </w:rPr>
        <w:t>. The period in which a ship is not available for service under a time charter and, accordingly, the charterer generally is not required to pay the hire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Off-hire periods can include days spent on repairs, drydocking and surveys, whether or not scheduled.</w:t>
      </w:r>
    </w:p>
    <w:p>
      <w:pPr>
        <w:spacing w:after="0" w:line="11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Protection and indemnity insurance</w:t>
      </w:r>
      <w:r>
        <w:rPr>
          <w:rFonts w:ascii="Times New Roman" w:cs="Times New Roman" w:eastAsia="Times New Roman" w:hAnsi="Times New Roman"/>
          <w:sz w:val="18"/>
          <w:szCs w:val="18"/>
          <w:color w:val="auto"/>
        </w:rPr>
        <w:t>. Insurance obtained through a mutual association formed by shipowners to provide liability indemnification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various liabilities to which they are exposed in the course of their business, and which spreads the liability costs of each member by requiring contribution by all members in the event of a loss.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Scrapping</w:t>
      </w:r>
      <w:r>
        <w:rPr>
          <w:rFonts w:ascii="Times New Roman" w:cs="Times New Roman" w:eastAsia="Times New Roman" w:hAnsi="Times New Roman"/>
          <w:sz w:val="18"/>
          <w:szCs w:val="18"/>
          <w:color w:val="auto"/>
        </w:rPr>
        <w:t>. The sale of a ship for conversion into scrap metal.</w:t>
      </w:r>
    </w:p>
    <w:p>
      <w:pPr>
        <w:spacing w:after="0" w:line="171"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Ship management</w:t>
      </w:r>
      <w:r>
        <w:rPr>
          <w:rFonts w:ascii="Times New Roman" w:cs="Times New Roman" w:eastAsia="Times New Roman" w:hAnsi="Times New Roman"/>
          <w:sz w:val="18"/>
          <w:szCs w:val="18"/>
          <w:color w:val="auto"/>
        </w:rPr>
        <w:t>. The provision of shore-based ship management services related to crewing, technical and safety management and the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government, flag state, class certification and international rules and regulations.</w:t>
      </w:r>
    </w:p>
    <w:p>
      <w:pPr>
        <w:spacing w:after="0" w:line="116"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Ship operating expenses</w:t>
      </w:r>
      <w:r>
        <w:rPr>
          <w:rFonts w:ascii="Times New Roman" w:cs="Times New Roman" w:eastAsia="Times New Roman" w:hAnsi="Times New Roman"/>
          <w:sz w:val="18"/>
          <w:szCs w:val="18"/>
          <w:color w:val="auto"/>
        </w:rPr>
        <w:t>. The costs of operating a ship, primarily consisting of crew wages and associated costs, insurance premiums, ship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 lubricants and spare parts, and repair and maintenance costs. Ship operating expenses exclude fuel cost, port expenses, agents’ fees, canal dues and extra war risk insurance, as well as commissions, which are included in “voyage expenses.”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Sister ships</w:t>
      </w:r>
      <w:r>
        <w:rPr>
          <w:rFonts w:ascii="Times New Roman" w:cs="Times New Roman" w:eastAsia="Times New Roman" w:hAnsi="Times New Roman"/>
          <w:sz w:val="18"/>
          <w:szCs w:val="18"/>
          <w:color w:val="auto"/>
        </w:rPr>
        <w:t>. Ships of the same class and specifications typically built at the same shipyard.</w:t>
      </w:r>
    </w:p>
    <w:p>
      <w:pPr>
        <w:spacing w:after="0" w:line="171"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Special survey</w:t>
      </w:r>
      <w:r>
        <w:rPr>
          <w:rFonts w:ascii="Times New Roman" w:cs="Times New Roman" w:eastAsia="Times New Roman" w:hAnsi="Times New Roman"/>
          <w:sz w:val="18"/>
          <w:szCs w:val="18"/>
          <w:color w:val="auto"/>
        </w:rPr>
        <w:t>. The inspection of a ship by a classification society surveyor that takes place every five years, as part of the recertification of the ship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society.</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Spot market</w:t>
      </w:r>
      <w:r>
        <w:rPr>
          <w:rFonts w:ascii="Times New Roman" w:cs="Times New Roman" w:eastAsia="Times New Roman" w:hAnsi="Times New Roman"/>
          <w:sz w:val="18"/>
          <w:szCs w:val="18"/>
          <w:color w:val="auto"/>
        </w:rPr>
        <w:t>. The market for immediate chartering of a ship, usually for single voyages.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TEU</w:t>
      </w:r>
      <w:r>
        <w:rPr>
          <w:rFonts w:ascii="Times New Roman" w:cs="Times New Roman" w:eastAsia="Times New Roman" w:hAnsi="Times New Roman"/>
          <w:sz w:val="18"/>
          <w:szCs w:val="18"/>
          <w:color w:val="auto"/>
        </w:rPr>
        <w:t>. A 20-foot equivalent unit, the international standard measure for containers and containership capacity.</w:t>
      </w:r>
    </w:p>
    <w:p>
      <w:pPr>
        <w:spacing w:after="0" w:line="171"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Time charter</w:t>
      </w:r>
      <w:r>
        <w:rPr>
          <w:rFonts w:ascii="Times New Roman" w:cs="Times New Roman" w:eastAsia="Times New Roman" w:hAnsi="Times New Roman"/>
          <w:sz w:val="18"/>
          <w:szCs w:val="18"/>
          <w:color w:val="auto"/>
        </w:rPr>
        <w:t>. A charter under which the shipowner hires out a ship for a specified period of time. The shipowner is responsible for providing the crew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ship operating expenses while the charterer is responsible for paying the voyage expenses and additional voyage insurance. The shipowner is paid charterhire, which accrues on a daily basis.</w:t>
      </w:r>
    </w:p>
    <w:p>
      <w:pPr>
        <w:spacing w:after="0" w:line="127"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Voyage expenses</w:t>
      </w:r>
      <w:r>
        <w:rPr>
          <w:rFonts w:ascii="Times New Roman" w:cs="Times New Roman" w:eastAsia="Times New Roman" w:hAnsi="Times New Roman"/>
          <w:sz w:val="18"/>
          <w:szCs w:val="18"/>
          <w:color w:val="auto"/>
        </w:rPr>
        <w:t>. Expenses incurred due to a ship’s voyage from a loading port to a discharging port, such as bunkers cost, port expenses, agents’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canal dues, extra war risk insurance and commissions.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240" w:top="455" w:right="3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opinion, the accompanying consolidated balance sheet of Global Ship Lease, Inc., and the related combined statements of income, statements of cash flows, and statements of stockholder’s equity present fairly, in all material respects, the combined financial position of Global Ship Lease, Inc. at December 31, 2008, and the results of their operations and their cash flows for the 140 day period ended December 31, 2008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assuming that the Company will continue as a Going Concern. As discussed in Note 2.a to the combined financial statements, the Company is in discussion with its lenders to amend its facility agreement in respect to loan to value test that raises substantial doubt about its ability to continue as a Going Concern. Management’s plans in regard to these matters are also described in Note 2.a. The combined financial statements do not include any adjustments that might result from the outcome of this uncertainty.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PricewaterhouseCoopers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PricewaterhouseCoopers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19, 2009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PricewaterhouseCoopers is represented by PricewaterhouseCoopers Audit, 63 rue de Villiers—92200 Neuilly-sur-Seine, France</w:t>
      </w:r>
    </w:p>
    <w:p>
      <w:pPr>
        <w:spacing w:after="0" w:line="1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40"/>
          </w:cols>
          <w:pgMar w:left="240" w:top="455" w:right="3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opinion, the combined balance sheets to the Predecessor of Global Ship Lease, Inc., and the related combined statements of income, statements of cash flows, and statements of stockholder’s equity present fairly, in all material respects, the combined financial position to the Predecessor of Global Ship Lease, Inc. at December 31, 2007, and the results of their operations and their cash flows for each of the two years ended December 31, 2007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19, 2009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PricewaterhouseCoopers is represented by PricewaterhouseCoopers Audit, 63 rue de Villiers—92200 Neuilly-sur-Seine, France</w:t>
      </w:r>
    </w:p>
    <w:p>
      <w:pPr>
        <w:spacing w:after="0" w:line="1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0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26,363</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906,896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475,299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deposits</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purchase agreement</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933,608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481,759</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966,608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200" w:type="dxa"/>
            <w:vAlign w:val="bottom"/>
            <w:gridSpan w:val="2"/>
            <w:vMerge w:val="continue"/>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installments of long term debt</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19,020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880" w:type="dxa"/>
            <w:vAlign w:val="bottom"/>
            <w:gridSpan w:val="2"/>
          </w:tcPr>
          <w:p>
            <w:pPr>
              <w:jc w:val="right"/>
              <w:ind w:right="3172"/>
              <w:spacing w:after="0"/>
              <w:rPr>
                <w:sz w:val="20"/>
                <w:szCs w:val="20"/>
                <w:color w:val="auto"/>
              </w:rPr>
            </w:pPr>
            <w:r>
              <w:rPr>
                <w:rFonts w:ascii="Times New Roman" w:cs="Times New Roman" w:eastAsia="Times New Roman" w:hAnsi="Times New Roman"/>
                <w:sz w:val="18"/>
                <w:szCs w:val="18"/>
                <w:color w:val="auto"/>
              </w:rPr>
              <w:t>F-3</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3"/>
                <w:szCs w:val="13"/>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65"/>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Borders>
              <w:right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542,100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loan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tcBorders>
              <w:right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liability - charter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26,348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tcBorders>
              <w:right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36,101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r>
      <w:tr>
        <w:trPr>
          <w:trHeight w:val="23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652,549</w:t>
            </w: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671,569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587,150</w:t>
            </w:r>
          </w:p>
        </w:tc>
        <w:tc>
          <w:tcPr>
            <w:tcW w:w="20" w:type="dxa"/>
            <w:vAlign w:val="bottom"/>
          </w:tcPr>
          <w:p>
            <w:pPr>
              <w:spacing w:after="0"/>
              <w:rPr>
                <w:sz w:val="18"/>
                <w:szCs w:val="18"/>
                <w:color w:val="auto"/>
              </w:rPr>
            </w:pP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 (continued)</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Note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2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authorized 100 shares $.01 par value; 100 shares issued and outstanding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Class A Common stock - authorized 214,000,000 shares with a $.01 par value; 33,968,361 shares issued and</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right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 authorized 20,000,000 shares with a $.01 par value; 7,405,956 shares issued and outstanding</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right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Class C Common stock - authorized 15,000,000 shares with a $.01 par value; 12,375,000 shares issued and</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convertible to class A common shares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tcBorders>
              <w:right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60" w:type="dxa"/>
            <w:vAlign w:val="bottom"/>
          </w:tcPr>
          <w:p>
            <w:pPr>
              <w:spacing w:after="0"/>
              <w:rPr>
                <w:sz w:val="24"/>
                <w:szCs w:val="24"/>
                <w:color w:val="auto"/>
              </w:rPr>
            </w:pPr>
          </w:p>
        </w:tc>
        <w:tc>
          <w:tcPr>
            <w:tcW w:w="1440" w:type="dxa"/>
            <w:vAlign w:val="bottom"/>
            <w:tcBorders>
              <w:right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(9,338)</w:t>
            </w: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for the period</w:t>
            </w:r>
          </w:p>
        </w:tc>
        <w:tc>
          <w:tcPr>
            <w:tcW w:w="2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(43,970)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Due to CMA CGM</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347,810</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295,039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87,475</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966,608</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674,625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jc w:val="center"/>
              <w:ind w:left="2712"/>
              <w:spacing w:after="0"/>
              <w:rPr>
                <w:sz w:val="20"/>
                <w:szCs w:val="20"/>
                <w:color w:val="auto"/>
              </w:rPr>
            </w:pPr>
            <w:r>
              <w:rPr>
                <w:rFonts w:ascii="Times New Roman" w:cs="Times New Roman" w:eastAsia="Times New Roman" w:hAnsi="Times New Roman"/>
                <w:sz w:val="18"/>
                <w:szCs w:val="18"/>
                <w:color w:val="auto"/>
                <w:w w:val="97"/>
              </w:rPr>
              <w:t>See accompanying notes to combined financial statements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jc w:val="center"/>
              <w:ind w:left="2732"/>
              <w:spacing w:after="0"/>
              <w:rPr>
                <w:sz w:val="20"/>
                <w:szCs w:val="20"/>
                <w:color w:val="auto"/>
              </w:rPr>
            </w:pPr>
            <w:r>
              <w:rPr>
                <w:rFonts w:ascii="Times New Roman" w:cs="Times New Roman" w:eastAsia="Times New Roman" w:hAnsi="Times New Roman"/>
                <w:sz w:val="18"/>
                <w:szCs w:val="18"/>
                <w:color w:val="auto"/>
                <w:w w:val="95"/>
              </w:rPr>
              <w:t>F-5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August 15 to</w:t>
            </w:r>
          </w:p>
        </w:tc>
        <w:tc>
          <w:tcPr>
            <w:tcW w:w="2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1 to</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tcBorders>
              <w:right w:val="single" w:sz="8" w:color="auto"/>
            </w:tcBorders>
            <w:gridSpan w:val="3"/>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6"/>
                <w:szCs w:val="6"/>
                <w:color w:val="auto"/>
              </w:rPr>
            </w:pPr>
          </w:p>
        </w:tc>
        <w:tc>
          <w:tcPr>
            <w:tcW w:w="920" w:type="dxa"/>
            <w:vAlign w:val="bottom"/>
            <w:gridSpan w:val="3"/>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August 14,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2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Voyage revenue</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332,186</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299,599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39,095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4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335,095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299,599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249,457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213,143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304,945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251,858</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14,854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47,741</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Operating Income (Expense)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gain on interest rate derivatives</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(43,868)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45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(43,970)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100" w:type="dxa"/>
            <w:vAlign w:val="bottom"/>
            <w:gridSpan w:val="4"/>
          </w:tcPr>
          <w:p>
            <w:pPr>
              <w:spacing w:after="0"/>
              <w:rPr>
                <w:sz w:val="3"/>
                <w:szCs w:val="3"/>
                <w:color w:val="auto"/>
              </w:rPr>
            </w:pPr>
          </w:p>
        </w:tc>
        <w:tc>
          <w:tcPr>
            <w:tcW w:w="780" w:type="dxa"/>
            <w:vAlign w:val="bottom"/>
            <w:tcBorders>
              <w:top w:val="single" w:sz="8" w:color="auto"/>
              <w:bottom w:val="single" w:sz="8" w:color="auto"/>
            </w:tcBorders>
            <w:gridSpan w:val="2"/>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320" w:type="dxa"/>
            <w:vAlign w:val="bottom"/>
            <w:gridSpan w:val="7"/>
          </w:tcPr>
          <w:p>
            <w:pPr>
              <w:jc w:val="center"/>
              <w:ind w:left="2972"/>
              <w:spacing w:after="0"/>
              <w:rPr>
                <w:sz w:val="20"/>
                <w:szCs w:val="20"/>
                <w:color w:val="auto"/>
              </w:rPr>
            </w:pPr>
            <w:r>
              <w:rPr>
                <w:rFonts w:ascii="Times New Roman" w:cs="Times New Roman" w:eastAsia="Times New Roman" w:hAnsi="Times New Roman"/>
                <w:sz w:val="18"/>
                <w:szCs w:val="18"/>
                <w:color w:val="auto"/>
                <w:w w:val="97"/>
              </w:rPr>
              <w:t>See accompanying notes to combined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5"/>
              </w:rPr>
              <w:t>F-6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Income (continued)</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August 15 to</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January 1 to</w:t>
            </w:r>
          </w:p>
        </w:tc>
        <w:tc>
          <w:tcPr>
            <w:tcW w:w="16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gridSpan w:val="3"/>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6"/>
                <w:szCs w:val="6"/>
                <w:color w:val="auto"/>
              </w:rPr>
            </w:pP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14,</w:t>
            </w:r>
          </w:p>
        </w:tc>
        <w:tc>
          <w:tcPr>
            <w:tcW w:w="16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in $ per share basic and diluted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74,170</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$ 167,760</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1"/>
              </w:rPr>
              <w:t>$ 327,000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33,800,307</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in $ per share amount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B common shares outstanding</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7,405,956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in $ per share amount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August 15 to</w:t>
            </w:r>
          </w:p>
        </w:tc>
        <w:tc>
          <w:tcPr>
            <w:tcW w:w="200" w:type="dxa"/>
            <w:vAlign w:val="bottom"/>
          </w:tcPr>
          <w:p>
            <w:pPr>
              <w:spacing w:after="0"/>
              <w:rPr>
                <w:sz w:val="13"/>
                <w:szCs w:val="13"/>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January 1 to</w:t>
            </w:r>
          </w:p>
        </w:tc>
        <w:tc>
          <w:tcPr>
            <w:tcW w:w="100" w:type="dxa"/>
            <w:vAlign w:val="bottom"/>
          </w:tcPr>
          <w:p>
            <w:pPr>
              <w:spacing w:after="0"/>
              <w:rPr>
                <w:sz w:val="13"/>
                <w:szCs w:val="13"/>
                <w:color w:val="auto"/>
              </w:rPr>
            </w:pPr>
          </w:p>
        </w:tc>
        <w:tc>
          <w:tcPr>
            <w:tcW w:w="178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Borders>
              <w:right w:val="single" w:sz="8" w:color="auto"/>
            </w:tcBorders>
            <w:gridSpan w:val="3"/>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6"/>
                <w:szCs w:val="6"/>
                <w:color w:val="auto"/>
              </w:rPr>
            </w:pPr>
          </w:p>
        </w:tc>
        <w:tc>
          <w:tcPr>
            <w:tcW w:w="1040" w:type="dxa"/>
            <w:vAlign w:val="bottom"/>
            <w:gridSpan w:val="3"/>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14,</w:t>
            </w:r>
          </w:p>
        </w:tc>
        <w:tc>
          <w:tcPr>
            <w:tcW w:w="100" w:type="dxa"/>
            <w:vAlign w:val="bottom"/>
          </w:tcPr>
          <w:p>
            <w:pPr>
              <w:spacing w:after="0"/>
              <w:rPr>
                <w:sz w:val="6"/>
                <w:szCs w:val="6"/>
                <w:color w:val="auto"/>
              </w:rPr>
            </w:pPr>
          </w:p>
        </w:tc>
        <w:tc>
          <w:tcPr>
            <w:tcW w:w="1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(43,970)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certain financial derivative instruments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liability amortization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of hedges which do not qualify for hedge accounting</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receivables and prepaid expenses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 in inventories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accounts payable and other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Periodic costs relating to drydocks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13,951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22,844</w:t>
            </w:r>
          </w:p>
        </w:tc>
        <w:tc>
          <w:tcPr>
            <w:tcW w:w="0" w:type="dxa"/>
            <w:vAlign w:val="bottom"/>
          </w:tcPr>
          <w:p>
            <w:pPr>
              <w:spacing w:after="0"/>
              <w:rPr>
                <w:sz w:val="1"/>
                <w:szCs w:val="1"/>
                <w:color w:val="auto"/>
              </w:rPr>
            </w:pPr>
          </w:p>
        </w:tc>
      </w:tr>
      <w:tr>
        <w:trPr>
          <w:trHeight w:val="46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of hedges which do not qualify for hedge accounting</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Global Ship Lease, Inc. net of cash acquired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trust account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317,446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other fixed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purchases of vessels and vessel prepayments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(272,927)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(183,713)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(113,203)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(Used) in Investing Activities</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37,340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(183,807)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(106,297)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debt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Variation in restricted cash</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(188,000)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 debt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shareholder loans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warrant exercise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Buyback of shares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amount due to CMA CGM</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(188,713)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CMA CGM</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 term debt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(146,166)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(64,624)</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(Used) by Financing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(25,533)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83,453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25,758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start of Period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26,363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16,252</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6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280" w:type="dxa"/>
            <w:vAlign w:val="bottom"/>
            <w:gridSpan w:val="7"/>
          </w:tcPr>
          <w:p>
            <w:pPr>
              <w:jc w:val="center"/>
              <w:ind w:left="3012"/>
              <w:spacing w:after="0"/>
              <w:rPr>
                <w:sz w:val="20"/>
                <w:szCs w:val="20"/>
                <w:color w:val="auto"/>
              </w:rPr>
            </w:pPr>
            <w:r>
              <w:rPr>
                <w:rFonts w:ascii="Times New Roman" w:cs="Times New Roman" w:eastAsia="Times New Roman" w:hAnsi="Times New Roman"/>
                <w:sz w:val="18"/>
                <w:szCs w:val="18"/>
                <w:color w:val="auto"/>
                <w:w w:val="97"/>
              </w:rPr>
              <w:t>See accompanying notes to combined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20" w:type="dxa"/>
            <w:vAlign w:val="bottom"/>
          </w:tcPr>
          <w:p>
            <w:pPr>
              <w:jc w:val="center"/>
              <w:ind w:left="4892"/>
              <w:spacing w:after="0"/>
              <w:rPr>
                <w:sz w:val="20"/>
                <w:szCs w:val="20"/>
                <w:color w:val="auto"/>
              </w:rPr>
            </w:pPr>
            <w:r>
              <w:rPr>
                <w:rFonts w:ascii="Times New Roman" w:cs="Times New Roman" w:eastAsia="Times New Roman" w:hAnsi="Times New Roman"/>
                <w:sz w:val="18"/>
                <w:szCs w:val="18"/>
                <w:color w:val="auto"/>
                <w:w w:val="95"/>
              </w:rPr>
              <w:t>F-8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 (continued)</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August 15 to</w:t>
            </w:r>
          </w:p>
        </w:tc>
        <w:tc>
          <w:tcPr>
            <w:tcW w:w="2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January 1 to</w:t>
            </w:r>
          </w:p>
        </w:tc>
        <w:tc>
          <w:tcPr>
            <w:tcW w:w="200" w:type="dxa"/>
            <w:vAlign w:val="bottom"/>
          </w:tcPr>
          <w:p>
            <w:pPr>
              <w:spacing w:after="0"/>
              <w:rPr>
                <w:sz w:val="13"/>
                <w:szCs w:val="13"/>
                <w:color w:val="auto"/>
              </w:rPr>
            </w:pPr>
          </w:p>
        </w:tc>
        <w:tc>
          <w:tcPr>
            <w:tcW w:w="162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Borders>
              <w:right w:val="single" w:sz="8" w:color="auto"/>
            </w:tcBorders>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7"/>
                <w:szCs w:val="7"/>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14,</w:t>
            </w:r>
          </w:p>
        </w:tc>
        <w:tc>
          <w:tcPr>
            <w:tcW w:w="200" w:type="dxa"/>
            <w:vAlign w:val="bottom"/>
          </w:tcPr>
          <w:p>
            <w:pPr>
              <w:spacing w:after="0"/>
              <w:rPr>
                <w:sz w:val="7"/>
                <w:szCs w:val="7"/>
                <w:color w:val="auto"/>
              </w:rPr>
            </w:pPr>
          </w:p>
        </w:tc>
        <w:tc>
          <w:tcPr>
            <w:tcW w:w="16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right w:val="single" w:sz="8" w:color="auto"/>
            </w:tcBorders>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 cash investing and financing activities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gridSpan w:val="3"/>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Issuance of shares and preferred shares for the acquisition of 100% shares of Global Ship</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Lease, Inc.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216,730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Dividend declared and not yet paid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paid during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10,782</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12,958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tonnage tax and income tax paid</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310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right w:val="single" w:sz="8" w:color="auto"/>
            </w:tcBorders>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860" w:type="dxa"/>
            <w:vAlign w:val="bottom"/>
            <w:gridSpan w:val="7"/>
          </w:tcPr>
          <w:p>
            <w:pPr>
              <w:jc w:val="center"/>
              <w:ind w:left="2432"/>
              <w:spacing w:after="0"/>
              <w:rPr>
                <w:sz w:val="20"/>
                <w:szCs w:val="20"/>
                <w:color w:val="auto"/>
              </w:rPr>
            </w:pPr>
            <w:r>
              <w:rPr>
                <w:rFonts w:ascii="Times New Roman" w:cs="Times New Roman" w:eastAsia="Times New Roman" w:hAnsi="Times New Roman"/>
                <w:sz w:val="18"/>
                <w:szCs w:val="18"/>
                <w:color w:val="auto"/>
                <w:w w:val="97"/>
              </w:rPr>
              <w:t>See accompanying notes to combined financial statements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20" w:type="dxa"/>
            <w:vAlign w:val="bottom"/>
            <w:gridSpan w:val="3"/>
          </w:tcPr>
          <w:p>
            <w:pPr>
              <w:jc w:val="center"/>
              <w:ind w:left="3792"/>
              <w:spacing w:after="0"/>
              <w:rPr>
                <w:sz w:val="20"/>
                <w:szCs w:val="20"/>
                <w:color w:val="auto"/>
              </w:rPr>
            </w:pPr>
            <w:r>
              <w:rPr>
                <w:rFonts w:ascii="Times New Roman" w:cs="Times New Roman" w:eastAsia="Times New Roman" w:hAnsi="Times New Roman"/>
                <w:sz w:val="18"/>
                <w:szCs w:val="18"/>
                <w:color w:val="auto"/>
                <w:w w:val="95"/>
              </w:rPr>
              <w:t>F-9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Stockholders’ Equity</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$0.01</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8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 in</w:t>
            </w:r>
          </w:p>
        </w:tc>
        <w:tc>
          <w:tcPr>
            <w:tcW w:w="2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Par value</w:t>
            </w:r>
          </w:p>
        </w:tc>
        <w:tc>
          <w:tcPr>
            <w:tcW w:w="12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CMA CGM</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 2005</w:t>
            </w: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9,005</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(3,660)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$13,100</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Incorporation of Global Ship Lease,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Change in amount due from CMA</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CGM</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110,005</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Allocation of prior year net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(9,005)</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9,005</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32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derivative instruments</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(3,554)</w:t>
            </w:r>
          </w:p>
        </w:tc>
        <w:tc>
          <w:tcPr>
            <w:tcW w:w="18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Effect of currency translation</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12,423</w:t>
            </w:r>
          </w:p>
        </w:tc>
        <w:tc>
          <w:tcPr>
            <w:tcW w:w="0" w:type="dxa"/>
            <w:vAlign w:val="bottom"/>
          </w:tcPr>
          <w:p>
            <w:pPr>
              <w:spacing w:after="0"/>
              <w:rPr>
                <w:sz w:val="1"/>
                <w:szCs w:val="1"/>
                <w:color w:val="auto"/>
              </w:rPr>
            </w:pPr>
          </w:p>
        </w:tc>
      </w:tr>
      <w:tr>
        <w:trPr>
          <w:trHeight w:val="31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2006</w:t>
            </w: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32,677</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115,350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169,996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Incorporation of Global Ship Lease,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Change in amount due from CMA</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CGM</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(11,881)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Allocation of prior year net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(32,677)</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32,677</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16,776</w:t>
            </w:r>
          </w:p>
        </w:tc>
        <w:tc>
          <w:tcPr>
            <w:tcW w:w="1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derivative instruments</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Effect of currency translation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Other effect of the transfer of the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initial ten vessels in 2007</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26,739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(26,528)</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323"/>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distribution to CMA CGM</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(96,925)</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(96,925)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 at December 31, 2007</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(96,925)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16,776</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162,885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87,475</w:t>
            </w:r>
          </w:p>
        </w:tc>
        <w:tc>
          <w:tcPr>
            <w:tcW w:w="0" w:type="dxa"/>
            <w:vAlign w:val="bottom"/>
          </w:tcPr>
          <w:p>
            <w:pPr>
              <w:spacing w:after="0"/>
              <w:rPr>
                <w:sz w:val="1"/>
                <w:szCs w:val="1"/>
                <w:color w:val="auto"/>
              </w:rPr>
            </w:pPr>
          </w:p>
        </w:tc>
      </w:tr>
      <w:tr>
        <w:trPr>
          <w:trHeight w:val="310"/>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amount due from CMA</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CGM</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(188,716)</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(188,716)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prior year net income</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(16,776)</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21,743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Other effect of the transfer of</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two vessels in 2008</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651</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4,088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(4,739)</w:t>
            </w:r>
          </w:p>
        </w:tc>
        <w:tc>
          <w:tcPr>
            <w:tcW w:w="1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CMA CGM</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(505)</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32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7,417</w:t>
            </w:r>
          </w:p>
        </w:tc>
        <w:tc>
          <w:tcPr>
            <w:tcW w:w="1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14,</w:t>
            </w: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2008 (Predecessor)</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(94,329)</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(94,329)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F-10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Stockholders’ Equity (continued)</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$0.01</w:t>
            </w: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 in</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Par value</w:t>
            </w:r>
          </w:p>
        </w:tc>
        <w:tc>
          <w:tcPr>
            <w:tcW w:w="32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CMA CGM</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14, 2008 (Predecessor)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(94,329)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(94,329)</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historical stockholders’ equity</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94,329</w:t>
            </w:r>
          </w:p>
        </w:tc>
        <w:tc>
          <w:tcPr>
            <w:tcW w:w="12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Recognition of GSL Holdings stockholders’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pre-merger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26,685,209</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266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175,375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181,927</w:t>
            </w:r>
          </w:p>
        </w:tc>
        <w:tc>
          <w:tcPr>
            <w:tcW w:w="0" w:type="dxa"/>
            <w:vAlign w:val="bottom"/>
          </w:tcPr>
          <w:p>
            <w:pPr>
              <w:spacing w:after="0"/>
              <w:rPr>
                <w:sz w:val="1"/>
                <w:szCs w:val="1"/>
                <w:color w:val="auto"/>
              </w:rPr>
            </w:pPr>
          </w:p>
        </w:tc>
      </w:tr>
      <w:tr>
        <w:trPr>
          <w:trHeight w:val="3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and warrants in connection</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the merger (note 3)</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6,778,650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51,672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B</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3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26,043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89,348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1,184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Warrants exercised into Class A shares (note</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504,502</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(note 18)</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1,167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(note 16)</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(15,624)</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2008 (Successor)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53,749,317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537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(9,338)</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(43,970)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347,810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295,039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10"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92" w:lineRule="exact"/>
        <w:rPr>
          <w:rFonts w:ascii="Times New Roman" w:cs="Times New Roman" w:eastAsia="Times New Roman" w:hAnsi="Times New Roman"/>
          <w:sz w:val="18"/>
          <w:szCs w:val="18"/>
          <w:color w:val="auto"/>
        </w:rPr>
      </w:pPr>
    </w:p>
    <w:p>
      <w:pPr>
        <w:ind w:left="46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2008, Global Ship Lease, Inc. (the “Company”) merged indirectly with Marathon Acquisition Corp. (“Marathon”), a company then listed on The American Stock Exchange, pursuant to an agreement and plan of merger dated March 21, 2008 as amended, which we refer to as the merger agreement. Following the merger, the Company became listed on the New York Stock Exchange on August 15, 2008.</w:t>
      </w:r>
    </w:p>
    <w:p>
      <w:pPr>
        <w:spacing w:after="0" w:line="51" w:lineRule="exact"/>
        <w:rPr>
          <w:rFonts w:ascii="Times New Roman" w:cs="Times New Roman" w:eastAsia="Times New Roman" w:hAnsi="Times New Roman"/>
          <w:sz w:val="18"/>
          <w:szCs w:val="18"/>
          <w:color w:val="auto"/>
        </w:rPr>
      </w:pPr>
    </w:p>
    <w:p>
      <w:pPr>
        <w:ind w:left="460" w:righ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Marathon, a U.S. corporation, first merged with its 100% owned Marshall Islands subsidiary, GSL Holdings, Inc. (“Holdings”), with Holdings continuing as the surviving company. Global Ship Lease, Inc., at that time a subsidiary of CMA CGM, then merged with Holdings, with Holdings again being the surviving company. Holdings was renamed Global Ship Lease, Inc. and became listed on the New York Stock Exchange on August 15, 2008.</w:t>
      </w:r>
    </w:p>
    <w:p>
      <w:pPr>
        <w:spacing w:after="0" w:line="55"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SFAS No. 141, “Business Combinations” (“FAS 141”), Marathon (through its subsidiary Holdings) has been treated as the accounting acquirer and Global Ship Lease, Inc. was treated as the acquiree. Under the purchase method of accounting, the identifiable assets and assumed liabilities of Global Ship Lease, Inc. were recorded at their estimated fair values as of the acquisition date. The excess of the fair value of the net acquired assets over the purchase price has been recorded as a pro rata reduction of identified intangible assets, vessels in operation and other fixed assets. Because the activities of Marathon were insignificant prior to the acquisition, Global Ship Lease, Inc. (the acquiree), was determined to be the Predecessor for the purpose of reporting historical financial information.</w:t>
      </w:r>
    </w:p>
    <w:p>
      <w:pPr>
        <w:spacing w:after="0" w:line="58" w:lineRule="exact"/>
        <w:rPr>
          <w:rFonts w:ascii="Times New Roman" w:cs="Times New Roman" w:eastAsia="Times New Roman" w:hAnsi="Times New Roman"/>
          <w:sz w:val="18"/>
          <w:szCs w:val="18"/>
          <w:color w:val="auto"/>
        </w:rPr>
      </w:pPr>
    </w:p>
    <w:p>
      <w:pPr>
        <w:ind w:left="460" w:right="40"/>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financial statements are for the periods August 15, 2008 to December 31, 2008 (period titled “Successor” reflecting results of the combined operations following the merger), January 1, 2008 to August 14, 2008 (period labeled “Predecessor”, reflecting the results of operations as historically reported of Global Ship Lease, Inc. prior to the merger), and the years ended December 31, 2007 and 2006 (also labeled “Predecessor”). Under Predecessor accounting rules, the financial statements include the results of the vessels when they were owned and operated by CMA CGM (rather than Global Ship Lease, Inc.) in its business of carrying containerized cargo prior to their sale to the Company, referred to hereafter as the period of ownership by CMA CGM.</w:t>
      </w:r>
    </w:p>
    <w:p>
      <w:pPr>
        <w:spacing w:after="0" w:line="26" w:lineRule="exact"/>
        <w:rPr>
          <w:rFonts w:ascii="Times New Roman" w:cs="Times New Roman" w:eastAsia="Times New Roman" w:hAnsi="Times New Roman"/>
          <w:sz w:val="18"/>
          <w:szCs w:val="18"/>
          <w:color w:val="auto"/>
        </w:rPr>
      </w:pPr>
    </w:p>
    <w:p>
      <w:pPr>
        <w:ind w:left="460"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merger was consummated on August 14, 2008, the balance sheet as of December 31, 2008 (labeled “Successor”) reflects the acquisition under the purchase method of accounting of all the identified assets and assumed liabilities of Global Ship Lease, Inc. The balance sheet as of December 31, 2007 (labeled “Predecessor”) reflects the historical balance sheet of Global Ship Lease, Inc. as previously reported.</w:t>
      </w:r>
    </w:p>
    <w:p>
      <w:pPr>
        <w:spacing w:after="0" w:line="5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“Company” refers to both Successor and Predecessor periods.</w:t>
      </w:r>
    </w:p>
    <w:p>
      <w:pPr>
        <w:spacing w:after="0" w:line="2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Preparation and Nature of Operations</w:t>
      </w:r>
    </w:p>
    <w:p>
      <w:pPr>
        <w:spacing w:after="0" w:line="9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Preparation</w:t>
      </w:r>
    </w:p>
    <w:p>
      <w:pPr>
        <w:spacing w:after="0" w:line="90"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waiver the Company agreed on April 29, 2009 with the lenders under its $800 million credit facility agreement (see Note 21), there will be no loan to value test performed during the period April 30, 2009 to June 30, 2009. Loan to value tests would otherwise have been required as at April 30, 2009. The Company is in active discussions with its lenders to amend the facility agreement in respect to loan to value in the light of recent significant falls in charter free market values of containerships. If the Company does not successfully amend the facility agreement by June 30, 2009 or agree a further waiver of the need to perform loan to value tests, and its loan to value ratio is above 100%, the lenders may declare an event of default and accelerate some or all of the debt or require the Company to provide additional security which would raise substantial doubt about our ability to continue as a going concern. Management expects that agreement will be reached and that, in any event, the lenders will not call the debt due to the Company’s stable business model, which is unchanged since the credit facility was agreed and the Company commenced operations and which generates largely predictable cash flows supported by long-term charter and other contracts. Further, the Company was compliant with all of its financial covenants at December 31, 2008 and at the date of issuance of these financial statements. As a result of management’s plan to address the situation, the relevant debt is classified as non-current in the combined balance sheet. The combined financial statements have been prepared assuming that the Company will continue as a going concern. Accordingly, the combined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Preparation and Nature of Operations (continued)</w:t>
      </w:r>
    </w:p>
    <w:p>
      <w:pPr>
        <w:spacing w:after="0" w:line="1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Operation</w:t>
      </w:r>
    </w:p>
    <w:p>
      <w:pPr>
        <w:spacing w:after="0" w:line="158" w:lineRule="exact"/>
        <w:rPr>
          <w:sz w:val="20"/>
          <w:szCs w:val="20"/>
          <w:color w:val="auto"/>
        </w:rPr>
      </w:pPr>
    </w:p>
    <w:p>
      <w:pPr>
        <w:ind w:left="460"/>
        <w:spacing w:after="0" w:line="293" w:lineRule="auto"/>
        <w:rPr>
          <w:sz w:val="20"/>
          <w:szCs w:val="20"/>
          <w:color w:val="auto"/>
        </w:rPr>
      </w:pPr>
      <w:r>
        <w:rPr>
          <w:rFonts w:ascii="Times New Roman" w:cs="Times New Roman" w:eastAsia="Times New Roman" w:hAnsi="Times New Roman"/>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10 were purchased by the Company during December 2007, two in January 2008 and four in December 2008. The remaining vessel is scheduled to be purchased in July 2009. All vessels are, or will be, time chartered to CMA CGM for remaining terms ranging from four to seventeen years. The Company has also entered into an agreement with German interests to acquire in the fourth quarter of 2010 two newbuildings for approximately $77 million per vessel. These vessels will be chartered to ZIM Integrated Shipping Services Limited (“ZISS”) for a period of seven years that could be extended to eight years at ZISS’s option.</w:t>
      </w:r>
    </w:p>
    <w:p>
      <w:pPr>
        <w:spacing w:after="0" w:line="30" w:lineRule="exact"/>
        <w:rPr>
          <w:sz w:val="20"/>
          <w:szCs w:val="20"/>
          <w:color w:val="auto"/>
        </w:rPr>
      </w:pPr>
    </w:p>
    <w:p>
      <w:pPr>
        <w:ind w:left="460" w:right="40"/>
        <w:spacing w:after="0" w:line="255" w:lineRule="auto"/>
        <w:rPr>
          <w:sz w:val="20"/>
          <w:szCs w:val="20"/>
          <w:color w:val="auto"/>
        </w:rPr>
      </w:pPr>
      <w:r>
        <w:rPr>
          <w:rFonts w:ascii="Times New Roman" w:cs="Times New Roman" w:eastAsia="Times New Roman" w:hAnsi="Times New Roman"/>
          <w:sz w:val="18"/>
          <w:szCs w:val="18"/>
          <w:color w:val="auto"/>
        </w:rPr>
        <w:t>During the period covered by these combined financial statements, the Company operated under two business models. During the period up to the delivery of the 10 vessels in December 2007 and two ships in January 2008 (i.e. all of the year ended December 31, 2006, virtually all of the year ended December 31, 2007 and, for two ships of the fleet, for a few days of January 2008 included in the year ended December 31, 2008) operations involved earning freight revenues from containerized transportation of goods for shippers whilst the vessels were owned by CMA CGM. Following the purchase by the Company of 10 vessels in December 2007 and the further two vessels in January 2008, the activities changed and consisted solely of ownership and provision of vessels to container shipping companies under time charters.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Fleet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provides information about the 16 vessels in the fleet chartered to CMA CGM and reflected in these combined financial statements: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Daily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80" w:type="dxa"/>
            <w:vAlign w:val="bottom"/>
            <w:gridSpan w:val="2"/>
          </w:tcPr>
          <w:p>
            <w:pPr>
              <w:jc w:val="right"/>
              <w:ind w:right="600"/>
              <w:spacing w:after="0" w:line="13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Purchase Date</w:t>
            </w: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Charter Remaining</w:t>
            </w:r>
          </w:p>
        </w:tc>
        <w:tc>
          <w:tcPr>
            <w:tcW w:w="620" w:type="dxa"/>
            <w:vAlign w:val="bottom"/>
          </w:tcPr>
          <w:p>
            <w:pPr>
              <w:spacing w:after="0"/>
              <w:rPr>
                <w:sz w:val="12"/>
                <w:szCs w:val="12"/>
                <w:color w:val="auto"/>
              </w:rPr>
            </w:pPr>
          </w:p>
        </w:tc>
        <w:tc>
          <w:tcPr>
            <w:tcW w:w="60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Charter</w:t>
            </w:r>
          </w:p>
        </w:tc>
        <w:tc>
          <w:tcPr>
            <w:tcW w:w="0" w:type="dxa"/>
            <w:vAlign w:val="bottom"/>
          </w:tcPr>
          <w:p>
            <w:pPr>
              <w:spacing w:after="0"/>
              <w:rPr>
                <w:sz w:val="1"/>
                <w:szCs w:val="1"/>
                <w:color w:val="auto"/>
              </w:rPr>
            </w:pPr>
          </w:p>
        </w:tc>
      </w:tr>
      <w:tr>
        <w:trPr>
          <w:trHeight w:val="176"/>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180" w:type="dxa"/>
            <w:vAlign w:val="bottom"/>
            <w:gridSpan w:val="2"/>
          </w:tcPr>
          <w:p>
            <w:pPr>
              <w:jc w:val="right"/>
              <w:ind w:right="540"/>
              <w:spacing w:after="0" w:line="176" w:lineRule="exact"/>
              <w:rPr>
                <w:sz w:val="20"/>
                <w:szCs w:val="20"/>
                <w:color w:val="auto"/>
              </w:rPr>
            </w:pPr>
            <w:r>
              <w:rPr>
                <w:rFonts w:ascii="Times New Roman" w:cs="Times New Roman" w:eastAsia="Times New Roman" w:hAnsi="Times New Roman"/>
                <w:sz w:val="13"/>
                <w:szCs w:val="13"/>
                <w:b w:val="1"/>
                <w:bCs w:val="1"/>
                <w:color w:val="auto"/>
                <w:w w:val="95"/>
              </w:rPr>
              <w:t xml:space="preserve">in TEUs </w:t>
            </w:r>
            <w:r>
              <w:rPr>
                <w:rFonts w:ascii="Times New Roman" w:cs="Times New Roman" w:eastAsia="Times New Roman" w:hAnsi="Times New Roman"/>
                <w:sz w:val="20"/>
                <w:szCs w:val="20"/>
                <w:b w:val="1"/>
                <w:bCs w:val="1"/>
                <w:color w:val="auto"/>
                <w:w w:val="95"/>
                <w:vertAlign w:val="superscript"/>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Year Built</w:t>
            </w:r>
          </w:p>
        </w:tc>
        <w:tc>
          <w:tcPr>
            <w:tcW w:w="520" w:type="dxa"/>
            <w:vAlign w:val="bottom"/>
          </w:tcPr>
          <w:p>
            <w:pPr>
              <w:spacing w:after="0"/>
              <w:rPr>
                <w:sz w:val="15"/>
                <w:szCs w:val="15"/>
                <w:color w:val="auto"/>
              </w:rPr>
            </w:pPr>
          </w:p>
        </w:tc>
        <w:tc>
          <w:tcPr>
            <w:tcW w:w="164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3"/>
                <w:szCs w:val="13"/>
                <w:b w:val="1"/>
                <w:bCs w:val="1"/>
                <w:color w:val="auto"/>
                <w:w w:val="97"/>
              </w:rPr>
              <w:t xml:space="preserve">by GSL </w:t>
            </w:r>
            <w:r>
              <w:rPr>
                <w:rFonts w:ascii="Times New Roman" w:cs="Times New Roman" w:eastAsia="Times New Roman" w:hAnsi="Times New Roman"/>
                <w:sz w:val="20"/>
                <w:szCs w:val="20"/>
                <w:b w:val="1"/>
                <w:bCs w:val="1"/>
                <w:color w:val="auto"/>
                <w:w w:val="97"/>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Duration (years)</w:t>
            </w:r>
          </w:p>
        </w:tc>
        <w:tc>
          <w:tcPr>
            <w:tcW w:w="6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Ville d’Orion</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Ville d’Aquarius</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Matisse</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2,262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Utrillo</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Delmas Keta</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Delmas</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Kumasi</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 Delmas</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La Tour</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Manet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Alcazar</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January 2008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Château d’lf</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January 2008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Thalassa</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10,960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Jamaica</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4,298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5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Sambhar</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CMA CGM America</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52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December 2008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86360</wp:posOffset>
            </wp:positionV>
            <wp:extent cx="5143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75"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Twenty-foot Equivalent Units.</w:t>
      </w:r>
    </w:p>
    <w:p>
      <w:pPr>
        <w:spacing w:after="0" w:line="23" w:lineRule="exact"/>
        <w:rPr>
          <w:rFonts w:ascii="Times New Roman" w:cs="Times New Roman" w:eastAsia="Times New Roman" w:hAnsi="Times New Roman"/>
          <w:sz w:val="18"/>
          <w:szCs w:val="18"/>
          <w:i w:val="1"/>
          <w:iCs w:val="1"/>
          <w:color w:val="auto"/>
        </w:rPr>
      </w:pPr>
    </w:p>
    <w:p>
      <w:pPr>
        <w:ind w:left="900" w:right="380" w:hanging="446"/>
        <w:spacing w:after="0" w:line="261" w:lineRule="auto"/>
        <w:tabs>
          <w:tab w:leader="none" w:pos="90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shows purchase dates of vessels related to the Company’s time charter business, which occurred during both the predecessor and successor period</w:t>
      </w:r>
    </w:p>
    <w:p>
      <w:pPr>
        <w:spacing w:after="0" w:line="51"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the contracted fleet not reflected in these combined financial statements, other than deposits paid on Hull 789 and Hull 790:</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Charter</w:t>
            </w:r>
          </w:p>
        </w:tc>
        <w:tc>
          <w:tcPr>
            <w:tcW w:w="320" w:type="dxa"/>
            <w:vAlign w:val="bottom"/>
          </w:tcPr>
          <w:p>
            <w:pPr>
              <w:spacing w:after="0"/>
              <w:rPr>
                <w:sz w:val="13"/>
                <w:szCs w:val="13"/>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80" w:type="dxa"/>
            <w:vAlign w:val="bottom"/>
          </w:tcPr>
          <w:p>
            <w:pPr>
              <w:jc w:val="right"/>
              <w:ind w:right="1"/>
              <w:spacing w:after="0" w:line="13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Delivery Date</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Duration</w:t>
            </w:r>
          </w:p>
        </w:tc>
        <w:tc>
          <w:tcPr>
            <w:tcW w:w="320" w:type="dxa"/>
            <w:vAlign w:val="bottom"/>
          </w:tcPr>
          <w:p>
            <w:pPr>
              <w:spacing w:after="0"/>
              <w:rPr>
                <w:sz w:val="12"/>
                <w:szCs w:val="12"/>
                <w:color w:val="auto"/>
              </w:rPr>
            </w:pPr>
          </w:p>
        </w:tc>
        <w:tc>
          <w:tcPr>
            <w:tcW w:w="62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Charter</w:t>
            </w:r>
          </w:p>
        </w:tc>
        <w:tc>
          <w:tcPr>
            <w:tcW w:w="0" w:type="dxa"/>
            <w:vAlign w:val="bottom"/>
          </w:tcPr>
          <w:p>
            <w:pPr>
              <w:spacing w:after="0"/>
              <w:rPr>
                <w:sz w:val="1"/>
                <w:szCs w:val="1"/>
                <w:color w:val="auto"/>
              </w:rPr>
            </w:pPr>
          </w:p>
        </w:tc>
      </w:tr>
      <w:tr>
        <w:trPr>
          <w:trHeight w:val="176"/>
        </w:trPr>
        <w:tc>
          <w:tcPr>
            <w:tcW w:w="4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w w:val="98"/>
              </w:rPr>
              <w:t xml:space="preserve">in TEUs </w:t>
            </w:r>
            <w:r>
              <w:rPr>
                <w:rFonts w:ascii="Times New Roman" w:cs="Times New Roman" w:eastAsia="Times New Roman" w:hAnsi="Times New Roman"/>
                <w:sz w:val="20"/>
                <w:szCs w:val="20"/>
                <w:b w:val="1"/>
                <w:bCs w:val="1"/>
                <w:color w:val="auto"/>
                <w:w w:val="98"/>
                <w:vertAlign w:val="superscript"/>
              </w:rPr>
              <w:t>(1)</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Year Built</w:t>
            </w:r>
          </w:p>
        </w:tc>
        <w:tc>
          <w:tcPr>
            <w:tcW w:w="30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to GSL</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32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CMA CGM Berlioz </w:t>
            </w:r>
            <w:r>
              <w:rPr>
                <w:rFonts w:ascii="Times New Roman" w:cs="Times New Roman" w:eastAsia="Times New Roman" w:hAnsi="Times New Roman"/>
                <w:sz w:val="11"/>
                <w:szCs w:val="11"/>
                <w:b w:val="1"/>
                <w:bCs w:val="1"/>
                <w:color w:val="auto"/>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July 2009</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CMA CGM</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5"/>
              </w:rPr>
              <w:t>$ 34,000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Hull 789 </w:t>
            </w:r>
            <w:r>
              <w:rPr>
                <w:rFonts w:ascii="Times New Roman" w:cs="Times New Roman" w:eastAsia="Times New Roman" w:hAnsi="Times New Roman"/>
                <w:sz w:val="11"/>
                <w:szCs w:val="11"/>
                <w:b w:val="1"/>
                <w:bCs w:val="1"/>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October 2010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ZISS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1"/>
                <w:szCs w:val="11"/>
                <w:color w:val="auto"/>
              </w:rPr>
              <w:t>(4)</w:t>
            </w:r>
          </w:p>
        </w:tc>
        <w:tc>
          <w:tcPr>
            <w:tcW w:w="92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5"/>
              </w:rPr>
              <w:t>$ 28,000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Hull 790 </w:t>
            </w:r>
            <w:r>
              <w:rPr>
                <w:rFonts w:ascii="Times New Roman" w:cs="Times New Roman" w:eastAsia="Times New Roman" w:hAnsi="Times New Roman"/>
                <w:sz w:val="11"/>
                <w:szCs w:val="11"/>
                <w:b w:val="1"/>
                <w:bCs w:val="1"/>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6"/>
              </w:rPr>
              <w:t>December 2010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ZISS</w:t>
            </w:r>
          </w:p>
        </w:tc>
        <w:tc>
          <w:tcPr>
            <w:tcW w:w="5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8"/>
                <w:szCs w:val="18"/>
                <w:color w:val="auto"/>
                <w:w w:val="92"/>
              </w:rPr>
              <w:t xml:space="preserve">7-8 </w:t>
            </w:r>
            <w:r>
              <w:rPr>
                <w:rFonts w:ascii="Times New Roman" w:cs="Times New Roman" w:eastAsia="Times New Roman" w:hAnsi="Times New Roman"/>
                <w:sz w:val="22"/>
                <w:szCs w:val="22"/>
                <w:color w:val="auto"/>
                <w:w w:val="92"/>
                <w:vertAlign w:val="superscript"/>
              </w:rPr>
              <w:t>(4)</w:t>
            </w:r>
          </w:p>
        </w:tc>
        <w:tc>
          <w:tcPr>
            <w:tcW w:w="92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5"/>
              </w:rPr>
              <w:t>$ 28,000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Twenty-foot Equivalent Units.</w:t>
      </w:r>
    </w:p>
    <w:p>
      <w:pPr>
        <w:spacing w:after="0" w:line="23" w:lineRule="exact"/>
        <w:rPr>
          <w:rFonts w:ascii="Times New Roman" w:cs="Times New Roman" w:eastAsia="Times New Roman" w:hAnsi="Times New Roman"/>
          <w:sz w:val="18"/>
          <w:szCs w:val="18"/>
          <w:i w:val="1"/>
          <w:iCs w:val="1"/>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Contracted to be purchased from CMA CGM (note 13)</w:t>
      </w:r>
    </w:p>
    <w:p>
      <w:pPr>
        <w:spacing w:after="0" w:line="9" w:lineRule="exact"/>
        <w:rPr>
          <w:rFonts w:ascii="Times New Roman" w:cs="Times New Roman" w:eastAsia="Times New Roman" w:hAnsi="Times New Roman"/>
          <w:sz w:val="18"/>
          <w:szCs w:val="18"/>
          <w:i w:val="1"/>
          <w:iCs w:val="1"/>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Contracted to be purchased from German interests (note 13)</w:t>
      </w:r>
    </w:p>
    <w:p>
      <w:pPr>
        <w:spacing w:after="0" w:line="9" w:lineRule="exact"/>
        <w:rPr>
          <w:rFonts w:ascii="Times New Roman" w:cs="Times New Roman" w:eastAsia="Times New Roman" w:hAnsi="Times New Roman"/>
          <w:sz w:val="18"/>
          <w:szCs w:val="18"/>
          <w:i w:val="1"/>
          <w:iCs w:val="1"/>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Seven years charter that could be extended to eight years at Charterers’ option</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for the Merger</w:t>
      </w:r>
    </w:p>
    <w:p>
      <w:pPr>
        <w:spacing w:after="0" w:line="15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2008, pursuant to the terms of the merger agreement, Holdings acquired all of Global Ship Lease, Inc.’s outstanding capital stock for</w:t>
      </w:r>
    </w:p>
    <w:p>
      <w:pPr>
        <w:spacing w:after="0" w:line="21" w:lineRule="exact"/>
        <w:rPr>
          <w:rFonts w:ascii="Times New Roman" w:cs="Times New Roman" w:eastAsia="Times New Roman" w:hAnsi="Times New Roman"/>
          <w:sz w:val="18"/>
          <w:szCs w:val="18"/>
          <w:color w:val="auto"/>
        </w:rPr>
      </w:pPr>
    </w:p>
    <w:p>
      <w:pPr>
        <w:ind w:left="46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$235,300 excluding transaction expenses, funded by the issue to CMA CGM of 6,778,650 Class A common shares, 3,934,050 Class B common shares, 12,375,000 Class C common shares, warrants to acquire 3,131,900 Class A common shares with an exercise price of $9.25 and 1,000 Series A preferred shares with a total nominal value of $48,000 and $18,570 in cash. The rights of the different classes of shares are set out in note 16.</w:t>
      </w:r>
    </w:p>
    <w:p>
      <w:pPr>
        <w:spacing w:after="0" w:line="57" w:lineRule="exact"/>
        <w:rPr>
          <w:rFonts w:ascii="Times New Roman" w:cs="Times New Roman" w:eastAsia="Times New Roman" w:hAnsi="Times New Roman"/>
          <w:sz w:val="18"/>
          <w:szCs w:val="18"/>
          <w:color w:val="auto"/>
        </w:rPr>
      </w:pPr>
    </w:p>
    <w:p>
      <w:pPr>
        <w:ind w:left="46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accounted for the business combination under the purchase method as prescribed by FAS 141. Under the purchase method, the identifiable assets acquired and liabilities assumed were recorded at their fair values as of the acquisition date. Any excess of the fair value of the net acquired assets over the purchase price was recorded as a pro rata reduction of identified intangible assets, vessels in operation and other fixed assets.</w:t>
      </w:r>
    </w:p>
    <w:p>
      <w:pPr>
        <w:spacing w:after="0" w:line="13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calculation of allocable purchase price:</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r>
      <w:tr>
        <w:trPr>
          <w:trHeight w:val="165"/>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Instrument</w:t>
            </w:r>
          </w:p>
        </w:tc>
      </w:tr>
      <w:tr>
        <w:trPr>
          <w:trHeight w:val="210"/>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Cash payment </w:t>
            </w:r>
            <w:r>
              <w:rPr>
                <w:rFonts w:ascii="Times New Roman" w:cs="Times New Roman" w:eastAsia="Times New Roman" w:hAnsi="Times New Roman"/>
                <w:sz w:val="11"/>
                <w:szCs w:val="11"/>
                <w:color w:val="auto"/>
              </w:rPr>
              <w:t>(1)</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A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6,778,650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3,934,050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C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12,375,000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acquire Class A common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3,131,900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23"/>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Mandatory redeemable preferred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235,300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allocable purchase price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249,856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5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bl>
    <w:p>
      <w:pPr>
        <w:spacing w:after="0" w:line="146" w:lineRule="exact"/>
        <w:rPr>
          <w:sz w:val="20"/>
          <w:szCs w:val="20"/>
          <w:color w:val="auto"/>
        </w:rPr>
      </w:pPr>
    </w:p>
    <w:p>
      <w:pPr>
        <w:ind w:left="1480" w:hanging="567"/>
        <w:spacing w:after="0"/>
        <w:tabs>
          <w:tab w:leader="none" w:pos="148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 amount of $8,056 cash was paid in the successor period</w:t>
      </w:r>
    </w:p>
    <w:p>
      <w:pPr>
        <w:spacing w:after="0" w:line="92"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39"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The Class A common shares have been valued at the $7.67 per share average closing price of the common stock (using the average closing price of the five business days on and surrounding the date of the announcement of definitive terms of the Merger i.e. July 24, 2008). The rights of holders of Class B common shares are identical to those of holders of Class A common shares, except that the holders of Class B common shares were not entitled to receive any dividends with respect to any quarter prior to those paid with respect to the fourth quarter of 2008 and their dividend rights will be subordinated to those of holders of Class A common shares until at least the third quarter of 2011. The rights of holders of Class C common shares were identical to those of holders of Class A common shares, except that holders of Class C common shares were not entitled to receive any dividends. The Class C common shares converted into Class A common shares on a one-for-one basis on January 1, 2009. Management estimated the per share value of the Class C common shares at the merger by discounting the share price of $7.67 by the present value of the first two $0.23 dividends foregone in 2008. Management calculated the discount rate of 10.75% by using the average of (a) a 12.6% cost of equity using the dividend growth model (assumes a comparable dividend of 8.6% and long-term dividend growth of 4.0%) and (b) an 8.9% cost of equity using the beta method (4.38% U.S. Risk Free Rate (30-year U.S. Treasury) plus a 5.0% adjusted equity market risk premium). Using this rate, the discount for the present value of the waived dividends is $0.44. This results in an implied share price of $7.23. Management estimated the per share value of the Class B common shares using the same method for the forgone dividends as used for Class C common shares. Management also applied an additional discount for subordinated dividend risk and impaired liquidity. Management estimated this additional discount of 7.8% (or $0.60 per share) by examining trading performance of subordinated share class for precedent transactions. This results in an implied share price of $6.63.</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for the Merger (continued)</w:t>
      </w:r>
    </w:p>
    <w:p>
      <w:pPr>
        <w:spacing w:after="0" w:line="159" w:lineRule="exact"/>
        <w:rPr>
          <w:rFonts w:ascii="Times New Roman" w:cs="Times New Roman" w:eastAsia="Times New Roman" w:hAnsi="Times New Roman"/>
          <w:sz w:val="18"/>
          <w:szCs w:val="18"/>
          <w:color w:val="auto"/>
        </w:rPr>
      </w:pPr>
    </w:p>
    <w:p>
      <w:pPr>
        <w:ind w:left="4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to CMA CGM as part of the purchase price were valued using the Black-Scholes option pricing model, with an average share price of $7.67 (as described above), expected volatility at 30.0%, a risk free rate of 3.87%, an expected dividend yield of 11.99% over the duration of the instrument, and an expected duration of five years.</w:t>
      </w:r>
    </w:p>
    <w:p>
      <w:pPr>
        <w:spacing w:after="0" w:line="11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20"/>
          </w:cols>
          <w:pgMar w:left="240" w:top="455" w:right="6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for the Merger (continued)</w:t>
      </w:r>
    </w:p>
    <w:p>
      <w:pPr>
        <w:spacing w:after="0" w:line="15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fair value of identifiable assets acquired and liabilities assumed at the merger date: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3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Negative</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acquired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5"/>
              </w:rPr>
              <w:t>Goodwill</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7"/>
              </w:rPr>
              <w:t>Allocation</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7,811</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(110,921)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524,079</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deposit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purchase agreement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42,707</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(401,100)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(401,100)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liabilities – charter agreements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(28,023)</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Negative goodwill to be allocated</w:t>
            </w: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(119,969)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allocable purchase price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249,856</w:t>
            </w:r>
          </w:p>
        </w:tc>
        <w:tc>
          <w:tcPr>
            <w:tcW w:w="10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ind w:left="460" w:right="80"/>
        <w:spacing w:after="0" w:line="262" w:lineRule="auto"/>
        <w:rPr>
          <w:sz w:val="20"/>
          <w:szCs w:val="20"/>
          <w:color w:val="auto"/>
        </w:rPr>
      </w:pPr>
      <w:r>
        <w:rPr>
          <w:rFonts w:ascii="Times New Roman" w:cs="Times New Roman" w:eastAsia="Times New Roman" w:hAnsi="Times New Roman"/>
          <w:sz w:val="18"/>
          <w:szCs w:val="18"/>
          <w:color w:val="auto"/>
        </w:rPr>
        <w:t>The fair value of the identifiable acquired assets and liabilities has been reduced by $119,969 which equals the estimated excess of the fair value of the net acquired assets over the purchase price. Three asset classes were reduced pro rate: (i) identified intangible assets of $51,750 to $42,707, (ii) other fixed assets from $26 to $21 and (iii) vessels in operation from $635,000 to $524,079.</w:t>
      </w:r>
    </w:p>
    <w:p>
      <w:pPr>
        <w:spacing w:after="0" w:line="51" w:lineRule="exact"/>
        <w:rPr>
          <w:sz w:val="20"/>
          <w:szCs w:val="20"/>
          <w:color w:val="auto"/>
        </w:rPr>
      </w:pPr>
    </w:p>
    <w:p>
      <w:pPr>
        <w:jc w:val="both"/>
        <w:ind w:left="460" w:right="20"/>
        <w:spacing w:after="0" w:line="287" w:lineRule="auto"/>
        <w:rPr>
          <w:sz w:val="20"/>
          <w:szCs w:val="20"/>
          <w:color w:val="auto"/>
        </w:rPr>
      </w:pPr>
      <w:r>
        <w:rPr>
          <w:rFonts w:ascii="Times New Roman" w:cs="Times New Roman" w:eastAsia="Times New Roman" w:hAnsi="Times New Roman"/>
          <w:sz w:val="16"/>
          <w:szCs w:val="16"/>
          <w:color w:val="auto"/>
        </w:rPr>
        <w:t>Derivative instruments were solely comprised of interest rate financial instruments that were recognized at their mark-to-market value. Vessels in operation were written up to their estimated fair market value at the merger date. The intangible asset recognized in connection with the CMA CGM contracted fleet purchase agreement was valued by comparing the acquisition prices as per the agreement and the vessels estimated fair market values at the merger date.</w:t>
      </w:r>
    </w:p>
    <w:p>
      <w:pPr>
        <w:spacing w:after="0" w:line="1" w:lineRule="exact"/>
        <w:rPr>
          <w:sz w:val="20"/>
          <w:szCs w:val="20"/>
          <w:color w:val="auto"/>
        </w:rPr>
      </w:pPr>
    </w:p>
    <w:p>
      <w:pPr>
        <w:ind w:left="460" w:right="480"/>
        <w:spacing w:after="0" w:line="261" w:lineRule="auto"/>
        <w:rPr>
          <w:sz w:val="20"/>
          <w:szCs w:val="20"/>
          <w:color w:val="auto"/>
        </w:rPr>
      </w:pPr>
      <w:r>
        <w:rPr>
          <w:rFonts w:ascii="Times New Roman" w:cs="Times New Roman" w:eastAsia="Times New Roman" w:hAnsi="Times New Roman"/>
          <w:sz w:val="18"/>
          <w:szCs w:val="18"/>
          <w:color w:val="auto"/>
        </w:rPr>
        <w:t>The intangible liability recognized in connection with charter agreements was valued using the market approach where the Company’s actual charter agreements were compared to market rates at the merger date and discounted at an 8.0% interest rate.</w:t>
      </w:r>
    </w:p>
    <w:p>
      <w:pPr>
        <w:spacing w:after="0" w:line="5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In connection with the merger, $317,446 previously held in trust by Marathon was released. These funds were used to repay $115,000 of the assumed credit facility, to purchase $147,053 of shares from shareholders under the merger agreement and a share repurchase program, to pay $18,500 of costs associated with the merger and to pay $18,570 to CMA CGM due under the merger agreement. The balance was held for general working capital purposes including financing the deposits of $15,477 for the two vessels to be purchased in Q4 2010 paid in September 2008.</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Supplemental Pro Forma Information under FAS 141</w:t>
      </w:r>
    </w:p>
    <w:p>
      <w:pPr>
        <w:spacing w:after="0" w:line="92" w:lineRule="exact"/>
        <w:rPr>
          <w:sz w:val="20"/>
          <w:szCs w:val="20"/>
          <w:color w:val="auto"/>
        </w:rPr>
      </w:pPr>
    </w:p>
    <w:p>
      <w:pPr>
        <w:ind w:left="460" w:right="620"/>
        <w:spacing w:after="0" w:line="275" w:lineRule="auto"/>
        <w:rPr>
          <w:sz w:val="20"/>
          <w:szCs w:val="20"/>
          <w:color w:val="auto"/>
        </w:rPr>
      </w:pPr>
      <w:r>
        <w:rPr>
          <w:rFonts w:ascii="Times New Roman" w:cs="Times New Roman" w:eastAsia="Times New Roman" w:hAnsi="Times New Roman"/>
          <w:sz w:val="18"/>
          <w:szCs w:val="18"/>
          <w:color w:val="auto"/>
        </w:rPr>
        <w:t>The following pro forma information for the years ended December 31, 2008 and 2007 assume that the acquisition of the Company occurred at the beginning of each of the reporting periods being presented.</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100,135</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 in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33,591,788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33,592,403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33,591,788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44,401,990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amount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number of Class B common shares outstanding (a)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amount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540" w:right="3680" w:hanging="5086"/>
        <w:spacing w:after="0" w:line="447" w:lineRule="auto"/>
        <w:tabs>
          <w:tab w:leader="none" w:pos="8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Class A and B common shares are participating securities under the two-class method. F-16</w:t>
      </w:r>
    </w:p>
    <w:p>
      <w:pPr>
        <w:sectPr>
          <w:pgSz w:w="11900" w:h="16838" w:orient="portrait"/>
          <w:cols w:equalWidth="0" w:num="1">
            <w:col w:w="11400"/>
          </w:cols>
          <w:pgMar w:left="240" w:top="455" w:right="259" w:bottom="967"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w:t>
      </w:r>
    </w:p>
    <w:p>
      <w:pPr>
        <w:spacing w:after="0" w:line="92" w:lineRule="exact"/>
        <w:rPr>
          <w:sz w:val="20"/>
          <w:szCs w:val="20"/>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combination</w:t>
      </w:r>
    </w:p>
    <w:p>
      <w:pPr>
        <w:spacing w:after="0" w:line="90"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accounts have been eliminated on consolidation. For the Successor period, the Company’s financial statements have been prepared on a consolidated basis.</w:t>
      </w:r>
    </w:p>
    <w:p>
      <w:pPr>
        <w:spacing w:after="0" w:line="55" w:lineRule="exact"/>
        <w:rPr>
          <w:sz w:val="20"/>
          <w:szCs w:val="20"/>
          <w:color w:val="auto"/>
        </w:rPr>
      </w:pPr>
    </w:p>
    <w:p>
      <w:pPr>
        <w:ind w:left="920" w:right="60"/>
        <w:spacing w:after="0" w:line="275" w:lineRule="auto"/>
        <w:rPr>
          <w:sz w:val="20"/>
          <w:szCs w:val="20"/>
          <w:color w:val="auto"/>
        </w:rPr>
      </w:pPr>
      <w:r>
        <w:rPr>
          <w:rFonts w:ascii="Times New Roman" w:cs="Times New Roman" w:eastAsia="Times New Roman" w:hAnsi="Times New Roman"/>
          <w:sz w:val="18"/>
          <w:szCs w:val="18"/>
          <w:color w:val="auto"/>
        </w:rPr>
        <w:t>The accounting policies for the Company are identical for both the period of ownership by CMA CGM and the Predecessor. The accounting policies have been consistently applied throughout the periods presented.</w:t>
      </w:r>
    </w:p>
    <w:p>
      <w:pPr>
        <w:spacing w:after="0" w:line="160" w:lineRule="exact"/>
        <w:rPr>
          <w:sz w:val="20"/>
          <w:szCs w:val="20"/>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90" w:lineRule="exact"/>
        <w:rPr>
          <w:sz w:val="20"/>
          <w:szCs w:val="20"/>
          <w:color w:val="auto"/>
        </w:rPr>
      </w:pPr>
    </w:p>
    <w:p>
      <w:pPr>
        <w:jc w:val="both"/>
        <w:ind w:left="920" w:right="60"/>
        <w:spacing w:after="0" w:line="258"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and assumptions that affect the amounts reported in the combined financial statements and the accompanying notes. It is reasonably possible that actual results differ from those estimates. Allocation methodologies used to prepare the combined financial statements are based on estimates and have been described in the notes, where appropriate.</w:t>
      </w:r>
    </w:p>
    <w:p>
      <w:pPr>
        <w:spacing w:after="0" w:line="177"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90" w:lineRule="exact"/>
        <w:rPr>
          <w:sz w:val="20"/>
          <w:szCs w:val="20"/>
          <w:color w:val="auto"/>
        </w:rPr>
      </w:pPr>
    </w:p>
    <w:p>
      <w:pPr>
        <w:ind w:left="920" w:right="140"/>
        <w:spacing w:after="0" w:line="275" w:lineRule="auto"/>
        <w:rPr>
          <w:sz w:val="20"/>
          <w:szCs w:val="20"/>
          <w:color w:val="auto"/>
        </w:rPr>
      </w:pPr>
      <w:r>
        <w:rPr>
          <w:rFonts w:ascii="Times New Roman" w:cs="Times New Roman" w:eastAsia="Times New Roman" w:hAnsi="Times New Roman"/>
          <w:sz w:val="18"/>
          <w:szCs w:val="18"/>
          <w:color w:val="auto"/>
        </w:rPr>
        <w:t>Cash and cash equivalents include cash in hand, deposits held at call with banks, other short-term highly liquid investments with original maturities of three months or less.</w:t>
      </w:r>
    </w:p>
    <w:p>
      <w:pPr>
        <w:spacing w:after="0" w:line="160"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Cash and cash equivalent subject to restrictions are excluded from cash and cash equivalent in the balance sheet and are presented as restricted cash.</w:t>
      </w:r>
    </w:p>
    <w:p>
      <w:pPr>
        <w:spacing w:after="0" w:line="235"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90"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$nil as of December 31, 2008 (2007: $1).</w:t>
      </w:r>
    </w:p>
    <w:p>
      <w:pPr>
        <w:spacing w:after="0" w:line="58"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During the period of operations under ownership by CMA CGM, customers were shippers, comprising exporters and importers, and intermediaries, also known as freight forwarders. At that time, the Company sub 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179"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90" w:lineRule="exact"/>
        <w:rPr>
          <w:sz w:val="20"/>
          <w:szCs w:val="20"/>
          <w:color w:val="auto"/>
        </w:rPr>
      </w:pPr>
    </w:p>
    <w:p>
      <w:pPr>
        <w:jc w:val="both"/>
        <w:ind w:left="920" w:right="100"/>
        <w:spacing w:after="0" w:line="262" w:lineRule="auto"/>
        <w:rPr>
          <w:sz w:val="20"/>
          <w:szCs w:val="20"/>
          <w:color w:val="auto"/>
        </w:rPr>
      </w:pPr>
      <w:r>
        <w:rPr>
          <w:rFonts w:ascii="Times New Roman" w:cs="Times New Roman" w:eastAsia="Times New Roman" w:hAnsi="Times New Roman"/>
          <w:sz w:val="18"/>
          <w:szCs w:val="18"/>
          <w:color w:val="auto"/>
        </w:rPr>
        <w:t>Inventories consisted of bunkers on board vessels and lubricants in the period when the vessels were owned by CMA CGM. They are valued at cost on a first-in-first-out basis. Inventory costs include the transfer from equity of any gains/losses on qualifying cash flow hedges relating to inventory purchases.</w:t>
      </w:r>
    </w:p>
    <w:p>
      <w:pPr>
        <w:spacing w:after="0" w:line="173" w:lineRule="exact"/>
        <w:rPr>
          <w:sz w:val="20"/>
          <w:szCs w:val="20"/>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Vessels</w:t>
      </w:r>
    </w:p>
    <w:p>
      <w:pPr>
        <w:spacing w:after="0" w:line="90" w:lineRule="exact"/>
        <w:rPr>
          <w:sz w:val="20"/>
          <w:szCs w:val="20"/>
          <w:color w:val="auto"/>
        </w:rPr>
      </w:pPr>
    </w:p>
    <w:p>
      <w:pPr>
        <w:jc w:val="both"/>
        <w:ind w:left="920" w:right="140"/>
        <w:spacing w:after="0" w:line="262" w:lineRule="auto"/>
        <w:rPr>
          <w:sz w:val="20"/>
          <w:szCs w:val="20"/>
          <w:color w:val="auto"/>
        </w:rPr>
      </w:pPr>
      <w:r>
        <w:rPr>
          <w:rFonts w:ascii="Times New Roman" w:cs="Times New Roman" w:eastAsia="Times New Roman" w:hAnsi="Times New Roman"/>
          <w:sz w:val="18"/>
          <w:szCs w:val="18"/>
          <w:color w:val="auto"/>
        </w:rPr>
        <w:t>Vessels are recorded at their acquisition cost (less an amount allocated to dry dock component), less accumulated depreciation and impairment loss, if any. Following the merger described in note 1, the vessels are recorded at their fair value less a proportion of the negative goodwill arising on the acquisition allocated to these vessels.</w:t>
      </w:r>
    </w:p>
    <w:p>
      <w:pPr>
        <w:spacing w:after="0" w:line="51" w:lineRule="exact"/>
        <w:rPr>
          <w:sz w:val="20"/>
          <w:szCs w:val="20"/>
          <w:color w:val="auto"/>
        </w:rPr>
      </w:pPr>
    </w:p>
    <w:p>
      <w:pPr>
        <w:ind w:left="920" w:right="420"/>
        <w:spacing w:after="0" w:line="275" w:lineRule="auto"/>
        <w:rPr>
          <w:sz w:val="20"/>
          <w:szCs w:val="20"/>
          <w:color w:val="auto"/>
        </w:rPr>
      </w:pPr>
      <w:r>
        <w:rPr>
          <w:rFonts w:ascii="Times New Roman" w:cs="Times New Roman" w:eastAsia="Times New Roman" w:hAnsi="Times New Roman"/>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39" w:lineRule="exact"/>
        <w:rPr>
          <w:sz w:val="20"/>
          <w:szCs w:val="20"/>
          <w:color w:val="auto"/>
        </w:rPr>
      </w:pPr>
    </w:p>
    <w:p>
      <w:pPr>
        <w:ind w:left="920" w:right="560"/>
        <w:spacing w:after="0" w:line="339" w:lineRule="auto"/>
        <w:rPr>
          <w:sz w:val="20"/>
          <w:szCs w:val="20"/>
          <w:color w:val="auto"/>
        </w:rPr>
      </w:pPr>
      <w:r>
        <w:rPr>
          <w:rFonts w:ascii="Times New Roman" w:cs="Times New Roman" w:eastAsia="Times New Roman" w:hAnsi="Times New Roman"/>
          <w:sz w:val="16"/>
          <w:szCs w:val="16"/>
          <w:color w:val="auto"/>
        </w:rPr>
        <w:t>Borrowing costs incurred during the construction of vessels or as part of the prefinancing of the acquisition of vessels are capitalized. Interest capitalized in the year ended December 31, 2008 was $1,643 (2007: $833 and 2006: $nil). Other borrowing costs are expensed as incurred.</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Vessels (continued)</w:t>
      </w:r>
    </w:p>
    <w:p>
      <w:pPr>
        <w:spacing w:after="0" w:line="158" w:lineRule="exact"/>
        <w:rPr>
          <w:sz w:val="20"/>
          <w:szCs w:val="20"/>
          <w:color w:val="auto"/>
        </w:rPr>
      </w:pPr>
    </w:p>
    <w:p>
      <w:pPr>
        <w:ind w:left="920" w:right="20"/>
        <w:spacing w:after="0" w:line="255" w:lineRule="auto"/>
        <w:rPr>
          <w:sz w:val="20"/>
          <w:szCs w:val="20"/>
          <w:color w:val="auto"/>
        </w:rPr>
      </w:pPr>
      <w:r>
        <w:rPr>
          <w:rFonts w:ascii="Times New Roman" w:cs="Times New Roman" w:eastAsia="Times New Roman" w:hAnsi="Times New Roman"/>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the containerized transportation, the useful life was estimated as 25 years. Following the sale of the vessels to the Company, the nature of operations changed significantly and from this date, the vessels are earning time charter income from the chartering out of the vessels instead of from carrying cargo. On this new basis of operations the useful life was reassessed and estimated to be 30 years.</w:t>
      </w:r>
    </w:p>
    <w:p>
      <w:pPr>
        <w:spacing w:after="0" w:line="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Prepayments and costs directly related to the future acquisition of vessels are presented in the balance sheet as vessel deposits.</w:t>
      </w:r>
    </w:p>
    <w:p>
      <w:pPr>
        <w:spacing w:after="0" w:line="212"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Drydocking costs</w:t>
      </w:r>
    </w:p>
    <w:p>
      <w:pPr>
        <w:spacing w:after="0" w:line="90" w:lineRule="exact"/>
        <w:rPr>
          <w:sz w:val="20"/>
          <w:szCs w:val="20"/>
          <w:color w:val="auto"/>
        </w:rPr>
      </w:pPr>
    </w:p>
    <w:p>
      <w:pPr>
        <w:ind w:left="920"/>
        <w:spacing w:after="0" w:line="301" w:lineRule="auto"/>
        <w:rPr>
          <w:sz w:val="20"/>
          <w:szCs w:val="20"/>
          <w:color w:val="auto"/>
        </w:rPr>
      </w:pPr>
      <w:r>
        <w:rPr>
          <w:rFonts w:ascii="Times New Roman" w:cs="Times New Roman" w:eastAsia="Times New Roman" w:hAnsi="Times New Roman"/>
          <w:sz w:val="16"/>
          <w:szCs w:val="16"/>
          <w:color w:val="auto"/>
        </w:rPr>
        <w:t>Vessels are drydocked approximately every five years for major repairs and maintenance that cannot be performed while the vessels are operating. Costs directly associated with the required regulatory inspection of the ship,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amortized on a straight line basis to the anticipated next dry dock.</w:t>
      </w:r>
    </w:p>
    <w:p>
      <w:pPr>
        <w:spacing w:after="0" w:line="144" w:lineRule="exact"/>
        <w:rPr>
          <w:sz w:val="20"/>
          <w:szCs w:val="20"/>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purchase agreement</w:t>
      </w:r>
    </w:p>
    <w:p>
      <w:pPr>
        <w:spacing w:after="0" w:line="90" w:lineRule="exact"/>
        <w:rPr>
          <w:sz w:val="20"/>
          <w:szCs w:val="20"/>
          <w:color w:val="auto"/>
        </w:rPr>
      </w:pPr>
    </w:p>
    <w:p>
      <w:pPr>
        <w:ind w:left="920" w:right="20"/>
        <w:spacing w:after="0" w:line="262" w:lineRule="auto"/>
        <w:rPr>
          <w:sz w:val="20"/>
          <w:szCs w:val="20"/>
          <w:color w:val="auto"/>
        </w:rPr>
      </w:pPr>
      <w:r>
        <w:rPr>
          <w:rFonts w:ascii="Times New Roman" w:cs="Times New Roman" w:eastAsia="Times New Roman" w:hAnsi="Times New Roman"/>
          <w:sz w:val="18"/>
          <w:szCs w:val="18"/>
          <w:color w:val="auto"/>
        </w:rPr>
        <w:t>In connection with the merger (note 1), the Company recognised an intangible asset arising from the comparison of the acquisition prices per the asset purchase agreement and the estimated fair value at the merger date of the vessels yet to be purchased. This intangible asset is not amortized and has or will be transferred to the appropriate vessel on delivery.</w:t>
      </w:r>
    </w:p>
    <w:p>
      <w:pPr>
        <w:spacing w:after="0" w:line="51"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8"/>
          <w:szCs w:val="18"/>
          <w:color w:val="auto"/>
        </w:rPr>
        <w:t>Intangible assets are tested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173" w:lineRule="exact"/>
        <w:rPr>
          <w:sz w:val="20"/>
          <w:szCs w:val="20"/>
          <w:color w:val="auto"/>
        </w:rPr>
      </w:pPr>
    </w:p>
    <w:p>
      <w:pPr>
        <w:ind w:left="900" w:hanging="446"/>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long-lived assets</w:t>
      </w:r>
    </w:p>
    <w:p>
      <w:pPr>
        <w:spacing w:after="0" w:line="90"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In accordance with SFAS No. 144, “Impairment of long-lived assets”, intangible and fixed assets such as vessels, are reviewed for impairment when events or changes in circumstances indicate that it’s carrying amount may not be recoverable. An impairment loss is recognized when the sum of the expected future cash flows (undiscounted and without interest) from the asset over its estimated remaining useful life is less than its carrying amount. An impairment loss is recorded equal to the amount by which the asset’s carrying amount exceeds its fair value. Fair value is the net present value of future cash flows discounted by an appropriate discount rate.</w:t>
      </w:r>
    </w:p>
    <w:p>
      <w:pPr>
        <w:spacing w:after="0" w:line="179" w:lineRule="exact"/>
        <w:rPr>
          <w:sz w:val="20"/>
          <w:szCs w:val="20"/>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hedging activities</w:t>
      </w:r>
    </w:p>
    <w:p>
      <w:pPr>
        <w:spacing w:after="0" w:line="90"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certain hedging agreements in connection with its borrowings.</w:t>
      </w:r>
    </w:p>
    <w:p>
      <w:pPr>
        <w:spacing w:after="0" w:line="90" w:lineRule="exact"/>
        <w:rPr>
          <w:rFonts w:ascii="Times New Roman" w:cs="Times New Roman" w:eastAsia="Times New Roman" w:hAnsi="Times New Roman"/>
          <w:sz w:val="18"/>
          <w:szCs w:val="18"/>
          <w:color w:val="auto"/>
        </w:rPr>
      </w:pPr>
    </w:p>
    <w:p>
      <w:pPr>
        <w:ind w:left="1500" w:right="5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51" w:lineRule="exact"/>
        <w:rPr>
          <w:rFonts w:ascii="Times New Roman" w:cs="Times New Roman" w:eastAsia="Times New Roman" w:hAnsi="Times New Roman"/>
          <w:sz w:val="18"/>
          <w:szCs w:val="18"/>
          <w:color w:val="auto"/>
        </w:rPr>
      </w:pPr>
    </w:p>
    <w:p>
      <w:pPr>
        <w:ind w:left="1500"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interest rate derivative instruments do not qualify for hedge accounting. Changes in the fair value, as well as cash settlements of interest rate derivative instruments, are recognized immediately in the statement of income within “Realized and unrealized gain on interest rate derivatives”. Cash flows related to interest rate derivatives (including payments and periodic cash settlements) are included within “Net cash provided (used) by investing activities”.</w:t>
      </w:r>
    </w:p>
    <w:p>
      <w:pPr>
        <w:spacing w:after="0" w:line="55" w:lineRule="exact"/>
        <w:rPr>
          <w:rFonts w:ascii="Times New Roman" w:cs="Times New Roman" w:eastAsia="Times New Roman" w:hAnsi="Times New Roman"/>
          <w:sz w:val="18"/>
          <w:szCs w:val="18"/>
          <w:color w:val="auto"/>
        </w:rPr>
      </w:pPr>
    </w:p>
    <w:p>
      <w:pPr>
        <w:ind w:left="150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derivatives is presented on the face of the balance sheet under the line item “Derivative instruments” and are split into their current and non-current portions based on the net cash flows expected within one year.</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hedging activities</w:t>
      </w:r>
    </w:p>
    <w:p>
      <w:pPr>
        <w:spacing w:after="0" w:line="90" w:lineRule="exact"/>
        <w:rPr>
          <w:rFonts w:ascii="Times New Roman" w:cs="Times New Roman" w:eastAsia="Times New Roman" w:hAnsi="Times New Roman"/>
          <w:sz w:val="18"/>
          <w:szCs w:val="18"/>
          <w:color w:val="auto"/>
        </w:rPr>
      </w:pPr>
    </w:p>
    <w:p>
      <w:pPr>
        <w:jc w:val="both"/>
        <w:ind w:left="1500" w:right="4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CMA CGM.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(continued)</w:t>
      </w:r>
    </w:p>
    <w:p>
      <w:pPr>
        <w:spacing w:after="0" w:line="15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hedging activities (continued)</w:t>
      </w:r>
    </w:p>
    <w:p>
      <w:pPr>
        <w:spacing w:after="0" w:line="157" w:lineRule="exact"/>
        <w:rPr>
          <w:rFonts w:ascii="Times New Roman" w:cs="Times New Roman" w:eastAsia="Times New Roman" w:hAnsi="Times New Roman"/>
          <w:sz w:val="18"/>
          <w:szCs w:val="18"/>
          <w:color w:val="auto"/>
        </w:rPr>
      </w:pPr>
    </w:p>
    <w:p>
      <w:pPr>
        <w:ind w:left="150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Voyage operating expenses, incurred during period of operations under ownership by CMA CGM, were highly dependent on the cost of bunkers. During this period, the risk management policy was to hedge the price risk on anticipated bunker consumption through “over-the-counter” derivative instruments such as swaps and options.</w:t>
      </w:r>
    </w:p>
    <w:p>
      <w:pPr>
        <w:spacing w:after="0" w:line="51" w:lineRule="exact"/>
        <w:rPr>
          <w:rFonts w:ascii="Times New Roman" w:cs="Times New Roman" w:eastAsia="Times New Roman" w:hAnsi="Times New Roman"/>
          <w:sz w:val="18"/>
          <w:szCs w:val="18"/>
          <w:color w:val="auto"/>
        </w:rPr>
      </w:pPr>
    </w:p>
    <w:p>
      <w:pPr>
        <w:ind w:left="1500" w:right="8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Derivatives were initially recognized at fair value on the date a derivative contract was entered into and were subsequently re-measured at fair value. The method of recognizing the resulting gain or loss depended on whether the derivative was designated as a hedging instrument, and if so, the nature of the item being hedged. Certain derivatives were designated as hedges of highly probable forecast transactions (cash flow hedge). The fair value of derivatives is presented on the face of the balance sheet under the line item “Derivative instruments”.</w:t>
      </w:r>
    </w:p>
    <w:p>
      <w:pPr>
        <w:spacing w:after="0" w:line="22" w:lineRule="exact"/>
        <w:rPr>
          <w:rFonts w:ascii="Times New Roman" w:cs="Times New Roman" w:eastAsia="Times New Roman" w:hAnsi="Times New Roman"/>
          <w:sz w:val="18"/>
          <w:szCs w:val="18"/>
          <w:color w:val="auto"/>
        </w:rPr>
      </w:pPr>
    </w:p>
    <w:p>
      <w:pPr>
        <w:ind w:left="150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portion of changes in the fair value of derivatives that were designated and qualified as cash flow hedges were recognized in equity within “Accumulated other comprehensive income (loss).” The gain or loss relating to the ineffective portion was recognized immediately in the statement of income.</w:t>
      </w:r>
    </w:p>
    <w:p>
      <w:pPr>
        <w:spacing w:after="0" w:line="51" w:lineRule="exact"/>
        <w:rPr>
          <w:rFonts w:ascii="Times New Roman" w:cs="Times New Roman" w:eastAsia="Times New Roman" w:hAnsi="Times New Roman"/>
          <w:sz w:val="18"/>
          <w:szCs w:val="18"/>
          <w:color w:val="auto"/>
        </w:rPr>
      </w:pPr>
    </w:p>
    <w:p>
      <w:pPr>
        <w:ind w:left="1500"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accumulated in equity were recycled in the statement of income in the periods when the hedged item affected profit or loss when the forecast transaction that was hedged took place. When the forecast transaction that was hedged resulted in the recognition of a non-financial asset (for example, inventory when bunker purchases were hedged), the gains and losses previously deferred in equity were transferred from equity and included in the initial measurement of the cost of the asset.</w:t>
      </w:r>
    </w:p>
    <w:p>
      <w:pPr>
        <w:spacing w:after="0" w:line="55" w:lineRule="exact"/>
        <w:rPr>
          <w:rFonts w:ascii="Times New Roman" w:cs="Times New Roman" w:eastAsia="Times New Roman" w:hAnsi="Times New Roman"/>
          <w:sz w:val="18"/>
          <w:szCs w:val="18"/>
          <w:color w:val="auto"/>
        </w:rPr>
      </w:pPr>
    </w:p>
    <w:p>
      <w:pPr>
        <w:ind w:left="150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hedging instrument expired or was sold, or when a hedge no longer met the criteria for hedge accounting, any cumulative gain or loss existing in equity at that time remained in equity and was recognized when the forecast transaction was ultimately recognized in the statement of income. When a forecast transaction was no longer expected to occur, the cumulative gain or loss that was reported in equity was immediately transferred to the statement of income.</w:t>
      </w:r>
    </w:p>
    <w:p>
      <w:pPr>
        <w:spacing w:after="0" w:line="55" w:lineRule="exact"/>
        <w:rPr>
          <w:rFonts w:ascii="Times New Roman" w:cs="Times New Roman" w:eastAsia="Times New Roman" w:hAnsi="Times New Roman"/>
          <w:sz w:val="18"/>
          <w:szCs w:val="18"/>
          <w:color w:val="auto"/>
        </w:rPr>
      </w:pPr>
    </w:p>
    <w:p>
      <w:pPr>
        <w:ind w:left="1500" w:right="2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income impact (effective and ineffective portion) of bunker hedging activities that qualified as cash flow hedges was presented in the line item “Voyage expenses.” The settlement of transactions that qualified as cash flow hedges was presented within “Net cash provided (used) by operating activities”.</w:t>
      </w:r>
    </w:p>
    <w:p>
      <w:pPr>
        <w:spacing w:after="0" w:line="51" w:lineRule="exact"/>
        <w:rPr>
          <w:rFonts w:ascii="Times New Roman" w:cs="Times New Roman" w:eastAsia="Times New Roman" w:hAnsi="Times New Roman"/>
          <w:sz w:val="18"/>
          <w:szCs w:val="18"/>
          <w:color w:val="auto"/>
        </w:rPr>
      </w:pPr>
    </w:p>
    <w:p>
      <w:pPr>
        <w:ind w:left="150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bunker derivative instruments contracted by CMA CGM did not qualify for hedge accounting. These transactions were recorded at fair value within the balance sheet with related gains and losses recorded in earnings. The statement of income impact of such derivatives was presented in the line item “Other operating income (expense).”</w:t>
      </w:r>
    </w:p>
    <w:p>
      <w:pPr>
        <w:spacing w:after="0" w:line="17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finance costs</w:t>
      </w:r>
    </w:p>
    <w:p>
      <w:pPr>
        <w:spacing w:after="0" w:line="90" w:lineRule="exact"/>
        <w:rPr>
          <w:sz w:val="20"/>
          <w:szCs w:val="20"/>
          <w:color w:val="auto"/>
        </w:rPr>
      </w:pPr>
    </w:p>
    <w:p>
      <w:pPr>
        <w:ind w:left="920" w:right="20"/>
        <w:spacing w:after="0" w:line="262" w:lineRule="auto"/>
        <w:rPr>
          <w:sz w:val="20"/>
          <w:szCs w:val="20"/>
          <w:color w:val="auto"/>
        </w:rPr>
      </w:pPr>
      <w:r>
        <w:rPr>
          <w:rFonts w:ascii="Times New Roman" w:cs="Times New Roman" w:eastAsia="Times New Roman" w:hAnsi="Times New Roman"/>
          <w:sz w:val="18"/>
          <w:szCs w:val="18"/>
          <w:color w:val="auto"/>
        </w:rPr>
        <w:t>Costs incurred in connection with obtaining long-term debt are recorded as deferred financing costs and are amortized to interest expense over the estimated duration of the related debt. Such costs include fees paid to the lenders or on the lenders’ behalf and associated legal and other professional fees.</w:t>
      </w:r>
    </w:p>
    <w:p>
      <w:pPr>
        <w:spacing w:after="0" w:line="173" w:lineRule="exact"/>
        <w:rPr>
          <w:sz w:val="20"/>
          <w:szCs w:val="20"/>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90" w:lineRule="exact"/>
        <w:rPr>
          <w:sz w:val="20"/>
          <w:szCs w:val="20"/>
          <w:color w:val="auto"/>
        </w:rPr>
      </w:pPr>
    </w:p>
    <w:p>
      <w:pPr>
        <w:ind w:left="920"/>
        <w:spacing w:after="0" w:line="301" w:lineRule="auto"/>
        <w:rPr>
          <w:sz w:val="20"/>
          <w:szCs w:val="20"/>
          <w:color w:val="auto"/>
        </w:rPr>
      </w:pPr>
      <w:r>
        <w:rPr>
          <w:rFonts w:ascii="Times New Roman" w:cs="Times New Roman" w:eastAsia="Times New Roman" w:hAnsi="Times New Roman"/>
          <w:sz w:val="16"/>
          <w:szCs w:val="16"/>
          <w:color w:val="auto"/>
        </w:rPr>
        <w:t>Preferred shares have been included within liabilities in the combined balance sheet and preferred share dividends included within interest expense in the combined income statement as their nature is similar to that of a liability rather than equity. Holders of these mandatorily redeemable preferred shares are entitled to receive a quarterly dividend equal to 3-month LIBOR plus 2% of the original issue price and rank senior to the Class A, Class B and Class C common shares with respect to dividend rights and rights upon liquidation, dissolution or winding up of the Company.</w:t>
      </w:r>
    </w:p>
    <w:p>
      <w:pPr>
        <w:spacing w:after="0" w:line="144" w:lineRule="exact"/>
        <w:rPr>
          <w:sz w:val="20"/>
          <w:szCs w:val="20"/>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liabilities – charter agreements</w:t>
      </w:r>
    </w:p>
    <w:p>
      <w:pPr>
        <w:spacing w:after="0" w:line="90" w:lineRule="exact"/>
        <w:rPr>
          <w:sz w:val="20"/>
          <w:szCs w:val="20"/>
          <w:color w:val="auto"/>
        </w:rPr>
      </w:pPr>
    </w:p>
    <w:p>
      <w:pPr>
        <w:ind w:left="920" w:right="340"/>
        <w:spacing w:after="0" w:line="275" w:lineRule="auto"/>
        <w:rPr>
          <w:sz w:val="20"/>
          <w:szCs w:val="20"/>
          <w:color w:val="auto"/>
        </w:rPr>
      </w:pPr>
      <w:r>
        <w:rPr>
          <w:rFonts w:ascii="Times New Roman" w:cs="Times New Roman" w:eastAsia="Times New Roman" w:hAnsi="Times New Roman"/>
          <w:sz w:val="18"/>
          <w:szCs w:val="18"/>
          <w:color w:val="auto"/>
        </w:rPr>
        <w:t>In connection with the merger (note 1), the Company recognised an intangible liability using the market approach wherein the Company’s actual charter agreements were compared to market rates at the merger date.</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These intangible lease liabilities are amortized as an increase of time charter revenue over the remaining term of the relevant charter.</w:t>
      </w:r>
    </w:p>
    <w:p>
      <w:pPr>
        <w:spacing w:after="0" w:line="212" w:lineRule="exact"/>
        <w:rPr>
          <w:sz w:val="20"/>
          <w:szCs w:val="20"/>
          <w:color w:val="auto"/>
        </w:rPr>
      </w:pPr>
    </w:p>
    <w:p>
      <w:pPr>
        <w:ind w:left="900" w:hanging="446"/>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comprehensive income (loss)</w:t>
      </w:r>
    </w:p>
    <w:p>
      <w:pPr>
        <w:spacing w:after="0" w:line="90" w:lineRule="exact"/>
        <w:rPr>
          <w:sz w:val="20"/>
          <w:szCs w:val="20"/>
          <w:color w:val="auto"/>
        </w:rPr>
      </w:pPr>
    </w:p>
    <w:p>
      <w:pPr>
        <w:ind w:left="920" w:right="20"/>
        <w:spacing w:after="0" w:line="256" w:lineRule="auto"/>
        <w:rPr>
          <w:sz w:val="20"/>
          <w:szCs w:val="20"/>
          <w:color w:val="auto"/>
        </w:rPr>
      </w:pPr>
      <w:r>
        <w:rPr>
          <w:rFonts w:ascii="Times New Roman" w:cs="Times New Roman" w:eastAsia="Times New Roman" w:hAnsi="Times New Roman"/>
          <w:sz w:val="18"/>
          <w:szCs w:val="18"/>
          <w:color w:val="auto"/>
        </w:rPr>
        <w:t>Other comprehensive income (loss), which was reported in the accompanying combined statement of equity, consisted of net income (loss) and other gains and losses affecting equity that, under US GAAP, were excluded from net income (loss). Other comprehensive income (loss) included the effective portion of derivative financial instruments that qualified as hedge accounting which were deferred in accordance with accounting principles described above, and the impact of the translation of foreign currency statements, as certain subsidiary entities had a functional currency different from the U.S. dollar.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 (continued)</w:t>
      </w:r>
    </w:p>
    <w:p>
      <w:pPr>
        <w:spacing w:after="0" w:line="160" w:lineRule="exact"/>
        <w:rPr>
          <w:sz w:val="20"/>
          <w:szCs w:val="20"/>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figures</w:t>
      </w:r>
    </w:p>
    <w:p>
      <w:pPr>
        <w:spacing w:after="0" w:line="90" w:lineRule="exact"/>
        <w:rPr>
          <w:sz w:val="20"/>
          <w:szCs w:val="20"/>
          <w:color w:val="auto"/>
        </w:rPr>
      </w:pPr>
    </w:p>
    <w:p>
      <w:pPr>
        <w:ind w:left="920" w:right="800"/>
        <w:spacing w:after="0" w:line="275" w:lineRule="auto"/>
        <w:rPr>
          <w:sz w:val="20"/>
          <w:szCs w:val="20"/>
          <w:color w:val="auto"/>
        </w:rPr>
      </w:pPr>
      <w:r>
        <w:rPr>
          <w:rFonts w:ascii="Times New Roman" w:cs="Times New Roman" w:eastAsia="Times New Roman" w:hAnsi="Times New Roman"/>
          <w:sz w:val="18"/>
          <w:szCs w:val="18"/>
          <w:color w:val="auto"/>
        </w:rPr>
        <w:t>Certain of the figures presented in the balance sheet have been reclassified for comparative purposes to conform to the financial statement presentation adopted for the current year.</w:t>
      </w:r>
    </w:p>
    <w:p>
      <w:pPr>
        <w:spacing w:after="0" w:line="160" w:lineRule="exact"/>
        <w:rPr>
          <w:sz w:val="20"/>
          <w:szCs w:val="20"/>
          <w:color w:val="auto"/>
        </w:rPr>
      </w:pPr>
    </w:p>
    <w:p>
      <w:pPr>
        <w:ind w:left="900" w:hanging="44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90" w:lineRule="exact"/>
        <w:rPr>
          <w:sz w:val="20"/>
          <w:szCs w:val="20"/>
          <w:color w:val="auto"/>
        </w:rPr>
      </w:pPr>
    </w:p>
    <w:p>
      <w:pPr>
        <w:ind w:left="920" w:right="120"/>
        <w:spacing w:after="0" w:line="301" w:lineRule="auto"/>
        <w:rPr>
          <w:sz w:val="20"/>
          <w:szCs w:val="20"/>
          <w:color w:val="auto"/>
        </w:rPr>
      </w:pPr>
      <w:r>
        <w:rPr>
          <w:rFonts w:ascii="Times New Roman" w:cs="Times New Roman" w:eastAsia="Times New Roman" w:hAnsi="Times New Roman"/>
          <w:sz w:val="16"/>
          <w:szCs w:val="16"/>
          <w:color w:val="auto"/>
        </w:rPr>
        <w:t>Segment information has been prepared on the same basis that it is reported internally to the Company’s chief operating decision maker. The Company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w:t>
      </w:r>
    </w:p>
    <w:p>
      <w:pPr>
        <w:spacing w:after="0" w:line="144" w:lineRule="exact"/>
        <w:rPr>
          <w:sz w:val="20"/>
          <w:szCs w:val="20"/>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related operating expense</w:t>
      </w:r>
    </w:p>
    <w:p>
      <w:pPr>
        <w:spacing w:after="0" w:line="90"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revenues are accounted for as operating leases and are therefore recognized on a straight line basis as the average revenues over the rental periods of such charter agreements, as service is performed, except for loss generating time charters, in which case the loss would be recognized in the period when such accumulated loss is determined.</w:t>
      </w:r>
    </w:p>
    <w:p>
      <w:pPr>
        <w:spacing w:after="0" w:line="55" w:lineRule="exact"/>
        <w:rPr>
          <w:sz w:val="20"/>
          <w:szCs w:val="20"/>
          <w:color w:val="auto"/>
        </w:rPr>
      </w:pPr>
    </w:p>
    <w:p>
      <w:pPr>
        <w:ind w:left="920" w:right="160"/>
        <w:spacing w:after="0" w:line="275" w:lineRule="auto"/>
        <w:rPr>
          <w:sz w:val="20"/>
          <w:szCs w:val="20"/>
          <w:color w:val="auto"/>
        </w:rPr>
      </w:pPr>
      <w:r>
        <w:rPr>
          <w:rFonts w:ascii="Times New Roman" w:cs="Times New Roman" w:eastAsia="Times New Roman" w:hAnsi="Times New Roman"/>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39"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excluding mainly time based costs such as charter costs, fuel and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179" w:lineRule="exact"/>
        <w:rPr>
          <w:sz w:val="20"/>
          <w:szCs w:val="20"/>
          <w:color w:val="auto"/>
        </w:rPr>
      </w:pPr>
    </w:p>
    <w:p>
      <w:pPr>
        <w:ind w:left="900" w:hanging="446"/>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transactions</w:t>
      </w:r>
    </w:p>
    <w:p>
      <w:pPr>
        <w:spacing w:after="0" w:line="90"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177" w:lineRule="exact"/>
        <w:rPr>
          <w:sz w:val="20"/>
          <w:szCs w:val="20"/>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90" w:lineRule="exact"/>
        <w:rPr>
          <w:sz w:val="20"/>
          <w:szCs w:val="20"/>
          <w:color w:val="auto"/>
        </w:rPr>
      </w:pPr>
    </w:p>
    <w:p>
      <w:pPr>
        <w:jc w:val="both"/>
        <w:ind w:left="920" w:right="100"/>
        <w:spacing w:after="0" w:line="310" w:lineRule="auto"/>
        <w:rPr>
          <w:sz w:val="20"/>
          <w:szCs w:val="20"/>
          <w:color w:val="auto"/>
        </w:rPr>
      </w:pPr>
      <w:r>
        <w:rPr>
          <w:rFonts w:ascii="Times New Roman" w:cs="Times New Roman" w:eastAsia="Times New Roman" w:hAnsi="Times New Roman"/>
          <w:sz w:val="16"/>
          <w:szCs w:val="16"/>
          <w:color w:val="auto"/>
        </w:rPr>
        <w:t>The Company maintains hull and machinery insurance, war risk insurance, protection and indemnity insurance coverage, increased value insurance, demurrage and defence insurance coverage in amounts considered prudent to cover normal risks in the ordinary course of its operations. Premiums paid in advance to insurance companies are recognized as prepaid expenses and expensed over the period covered by the insurance contract.</w:t>
      </w:r>
    </w:p>
    <w:p>
      <w:pPr>
        <w:spacing w:after="0" w:line="138" w:lineRule="exact"/>
        <w:rPr>
          <w:sz w:val="20"/>
          <w:szCs w:val="20"/>
          <w:color w:val="auto"/>
        </w:rPr>
      </w:pPr>
    </w:p>
    <w:p>
      <w:pPr>
        <w:ind w:left="900" w:hanging="44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w:t>
      </w:r>
    </w:p>
    <w:p>
      <w:pPr>
        <w:spacing w:after="0" w:line="90" w:lineRule="exact"/>
        <w:rPr>
          <w:sz w:val="20"/>
          <w:szCs w:val="20"/>
          <w:color w:val="auto"/>
        </w:rPr>
      </w:pPr>
    </w:p>
    <w:p>
      <w:pPr>
        <w:ind w:left="920" w:right="200"/>
        <w:spacing w:after="0" w:line="275" w:lineRule="auto"/>
        <w:rPr>
          <w:sz w:val="20"/>
          <w:szCs w:val="20"/>
          <w:color w:val="auto"/>
        </w:rPr>
      </w:pPr>
      <w:r>
        <w:rPr>
          <w:rFonts w:ascii="Times New Roman" w:cs="Times New Roman" w:eastAsia="Times New Roman" w:hAnsi="Times New Roman"/>
          <w:sz w:val="18"/>
          <w:szCs w:val="18"/>
          <w:color w:val="auto"/>
        </w:rPr>
        <w:t>The Company awards restricted stock units to its employees and directors which vest, based on service conditions only, over a period of time up to three years from the award date.</w:t>
      </w:r>
    </w:p>
    <w:p>
      <w:pPr>
        <w:spacing w:after="0" w:line="39" w:lineRule="exact"/>
        <w:rPr>
          <w:sz w:val="20"/>
          <w:szCs w:val="20"/>
          <w:color w:val="auto"/>
        </w:rPr>
      </w:pPr>
    </w:p>
    <w:p>
      <w:pPr>
        <w:jc w:val="both"/>
        <w:ind w:left="920" w:right="500"/>
        <w:spacing w:after="0" w:line="262" w:lineRule="auto"/>
        <w:rPr>
          <w:sz w:val="20"/>
          <w:szCs w:val="20"/>
          <w:color w:val="auto"/>
        </w:rPr>
      </w:pPr>
      <w:r>
        <w:rPr>
          <w:rFonts w:ascii="Times New Roman" w:cs="Times New Roman" w:eastAsia="Times New Roman" w:hAnsi="Times New Roman"/>
          <w:sz w:val="18"/>
          <w:szCs w:val="18"/>
          <w:color w:val="auto"/>
        </w:rPr>
        <w:t>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173" w:lineRule="exact"/>
        <w:rPr>
          <w:sz w:val="20"/>
          <w:szCs w:val="20"/>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90" w:lineRule="exact"/>
        <w:rPr>
          <w:sz w:val="20"/>
          <w:szCs w:val="20"/>
          <w:color w:val="auto"/>
        </w:rPr>
      </w:pPr>
    </w:p>
    <w:p>
      <w:pPr>
        <w:jc w:val="both"/>
        <w:ind w:left="920" w:right="160"/>
        <w:spacing w:after="0" w:line="262" w:lineRule="auto"/>
        <w:rPr>
          <w:sz w:val="20"/>
          <w:szCs w:val="20"/>
          <w:color w:val="auto"/>
        </w:rPr>
      </w:pPr>
      <w:r>
        <w:rPr>
          <w:rFonts w:ascii="Times New Roman" w:cs="Times New Roman" w:eastAsia="Times New Roman" w:hAnsi="Times New Roman"/>
          <w:sz w:val="18"/>
          <w:szCs w:val="18"/>
          <w:color w:val="auto"/>
        </w:rPr>
        <w:t>The Company and its Marshall Island subsidiaries are exempt from taxation in the Marshall Islands. The Company’s Cypriot subsidiaries are liable for a tax based on the tonnage of each vessel. The cost, which is included within operating expenses, totaled $48, $nil and $nil for the years ended December 31, 2008, 2007 and 2006, respectively.</w:t>
      </w:r>
    </w:p>
    <w:p>
      <w:pPr>
        <w:spacing w:after="0" w:line="51" w:lineRule="exact"/>
        <w:rPr>
          <w:sz w:val="20"/>
          <w:szCs w:val="20"/>
          <w:color w:val="auto"/>
        </w:rPr>
      </w:pPr>
    </w:p>
    <w:p>
      <w:pPr>
        <w:ind w:left="920" w:right="200"/>
        <w:spacing w:after="0" w:line="275" w:lineRule="auto"/>
        <w:rPr>
          <w:sz w:val="20"/>
          <w:szCs w:val="20"/>
          <w:color w:val="auto"/>
        </w:rPr>
      </w:pPr>
      <w:r>
        <w:rPr>
          <w:rFonts w:ascii="Times New Roman" w:cs="Times New Roman" w:eastAsia="Times New Roman" w:hAnsi="Times New Roman"/>
          <w:sz w:val="18"/>
          <w:szCs w:val="18"/>
          <w:color w:val="auto"/>
        </w:rPr>
        <w:t>The Company has one subsidiary in the United Kingdom which was incorporated in 2007, where the principal rate of corporate income tax is 28% (2007: 30%, 2006: n.a). This subsidiary earns management and other fees from fellow subsidiary companies.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(continued)</w:t>
      </w:r>
    </w:p>
    <w:p>
      <w:pPr>
        <w:spacing w:after="0" w:line="158" w:lineRule="exact"/>
        <w:rPr>
          <w:sz w:val="20"/>
          <w:szCs w:val="20"/>
          <w:color w:val="auto"/>
        </w:rPr>
      </w:pPr>
    </w:p>
    <w:p>
      <w:pPr>
        <w:ind w:left="920" w:right="160"/>
        <w:spacing w:after="0" w:line="262" w:lineRule="auto"/>
        <w:rPr>
          <w:sz w:val="20"/>
          <w:szCs w:val="20"/>
          <w:color w:val="auto"/>
        </w:rPr>
      </w:pPr>
      <w:r>
        <w:rPr>
          <w:rFonts w:ascii="Times New Roman" w:cs="Times New Roman" w:eastAsia="Times New Roman" w:hAnsi="Times New Roman"/>
          <w:sz w:val="18"/>
          <w:szCs w:val="18"/>
          <w:color w:val="auto"/>
        </w:rPr>
        <w:t>During the period of the vessels’ ownership by CMA CGM, the Company was liable for a tax based on the tonnage of each vessel. The cost, which is included within general and administrative expenses, totaled $nil, $310 and $200 for the years ended December 31, 2008, 2007 and 2006, respectively.</w:t>
      </w:r>
    </w:p>
    <w:p>
      <w:pPr>
        <w:spacing w:after="0" w:line="51" w:lineRule="exact"/>
        <w:rPr>
          <w:sz w:val="20"/>
          <w:szCs w:val="20"/>
          <w:color w:val="auto"/>
        </w:rPr>
      </w:pPr>
    </w:p>
    <w:p>
      <w:pPr>
        <w:ind w:left="920"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However, with regard to a deferred tax asset arising from the recognition of compensation costs for share awards, the Company recognizes a deferred asset based on the compensation cost booked in the reporting period with no adjustment for a valuation allowance, in accordance with the requirements of FAS 123R “Accounting for stock based compensation”. At December 31, 2008 a deferred tax asset of $293 presented within “Other receivables” was recognized relating to the stock based compensation costs booked in the year.</w:t>
      </w:r>
    </w:p>
    <w:p>
      <w:pPr>
        <w:spacing w:after="0" w:line="179" w:lineRule="exact"/>
        <w:rPr>
          <w:sz w:val="20"/>
          <w:szCs w:val="20"/>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90" w:lineRule="exact"/>
        <w:rPr>
          <w:sz w:val="20"/>
          <w:szCs w:val="20"/>
          <w:color w:val="auto"/>
        </w:rPr>
      </w:pPr>
    </w:p>
    <w:p>
      <w:pPr>
        <w:ind w:left="920" w:right="440"/>
        <w:spacing w:after="0" w:line="275" w:lineRule="auto"/>
        <w:rPr>
          <w:sz w:val="20"/>
          <w:szCs w:val="20"/>
          <w:color w:val="auto"/>
        </w:rPr>
      </w:pPr>
      <w:r>
        <w:rPr>
          <w:rFonts w:ascii="Times New Roman" w:cs="Times New Roman" w:eastAsia="Times New Roman" w:hAnsi="Times New Roman"/>
          <w:sz w:val="18"/>
          <w:szCs w:val="18"/>
          <w:color w:val="auto"/>
        </w:rPr>
        <w:t>Dividends are recorded in the period in which they are declared by the Company’s Board of directors. Dividends to be paid are presented in the combined balance sheet in the line item “dividend payable”.</w:t>
      </w:r>
    </w:p>
    <w:p>
      <w:pPr>
        <w:spacing w:after="0" w:line="160"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90" w:lineRule="exact"/>
        <w:rPr>
          <w:sz w:val="20"/>
          <w:szCs w:val="20"/>
          <w:color w:val="auto"/>
        </w:rPr>
      </w:pPr>
    </w:p>
    <w:p>
      <w:pPr>
        <w:ind w:left="920" w:right="180"/>
        <w:spacing w:after="0" w:line="256" w:lineRule="auto"/>
        <w:rPr>
          <w:sz w:val="20"/>
          <w:szCs w:val="20"/>
          <w:color w:val="auto"/>
        </w:rPr>
      </w:pPr>
      <w:r>
        <w:rPr>
          <w:rFonts w:ascii="Times New Roman" w:cs="Times New Roman" w:eastAsia="Times New Roman" w:hAnsi="Times New Roman"/>
          <w:sz w:val="18"/>
          <w:szCs w:val="18"/>
          <w:color w:val="auto"/>
        </w:rPr>
        <w:t>In accordance with SFAS No. 128,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179" w:lineRule="exact"/>
        <w:rPr>
          <w:sz w:val="20"/>
          <w:szCs w:val="20"/>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issued accounting standards</w:t>
      </w:r>
    </w:p>
    <w:p>
      <w:pPr>
        <w:spacing w:after="0" w:line="90" w:lineRule="exact"/>
        <w:rPr>
          <w:sz w:val="20"/>
          <w:szCs w:val="20"/>
          <w:color w:val="auto"/>
        </w:rPr>
      </w:pPr>
    </w:p>
    <w:p>
      <w:pPr>
        <w:ind w:left="920" w:right="220"/>
        <w:spacing w:after="0" w:line="254" w:lineRule="auto"/>
        <w:rPr>
          <w:sz w:val="20"/>
          <w:szCs w:val="20"/>
          <w:color w:val="auto"/>
        </w:rPr>
      </w:pPr>
      <w:r>
        <w:rPr>
          <w:rFonts w:ascii="Times New Roman" w:cs="Times New Roman" w:eastAsia="Times New Roman" w:hAnsi="Times New Roman"/>
          <w:sz w:val="18"/>
          <w:szCs w:val="18"/>
          <w:color w:val="auto"/>
        </w:rPr>
        <w:t>In September 2006, the Financial Accounting Standards Board (“FASB”) issued SFAS No. 157, Fair Value Measurements (“FAS 157”). FAS 157 enhances existing guidance for measuring assets and liabilities using fair value. Previously, guidance for applying fair value was incorporated in several accounting pronouncements. The new statement provides a single definition of fair value, together with a framework for measuring it, and requires additional disclosure about the use of fair value to measure assets and liabilities. While the statement does not add any new fair value measurements, it did change previous practice. One such change is a requirement to adjust the value of non-vested stock for the effect of the restriction even if the restriction lapses within one year. FAS 157 is effective for financial statements issued for fiscal years beginning after November 15, 2007, and interim periods within those fiscal years. The adoption of FAS 157 on January 1, 2008, did not have a material impact on the combined financial statements of the Company.</w:t>
      </w:r>
    </w:p>
    <w:p>
      <w:pPr>
        <w:spacing w:after="0" w:line="57" w:lineRule="exact"/>
        <w:rPr>
          <w:sz w:val="20"/>
          <w:szCs w:val="20"/>
          <w:color w:val="auto"/>
        </w:rPr>
      </w:pPr>
    </w:p>
    <w:p>
      <w:pPr>
        <w:ind w:left="920" w:right="320"/>
        <w:spacing w:after="0" w:line="275" w:lineRule="auto"/>
        <w:rPr>
          <w:sz w:val="20"/>
          <w:szCs w:val="20"/>
          <w:color w:val="auto"/>
        </w:rPr>
      </w:pPr>
      <w:r>
        <w:rPr>
          <w:rFonts w:ascii="Times New Roman" w:cs="Times New Roman" w:eastAsia="Times New Roman" w:hAnsi="Times New Roman"/>
          <w:sz w:val="18"/>
          <w:szCs w:val="18"/>
          <w:color w:val="auto"/>
        </w:rPr>
        <w:t>In November 2007, the FASB provided under FASB Staff Position (“FSP”) FSP 157-2 a one year deferral for the implementation of FAS 157 for non-financial assets and liabilities reported or disclosed at fair value in the financial statements on a nonrecurring basis.</w:t>
      </w:r>
    </w:p>
    <w:p>
      <w:pPr>
        <w:spacing w:after="0" w:line="39" w:lineRule="exact"/>
        <w:rPr>
          <w:sz w:val="20"/>
          <w:szCs w:val="20"/>
          <w:color w:val="auto"/>
        </w:rPr>
      </w:pPr>
    </w:p>
    <w:p>
      <w:pPr>
        <w:ind w:left="920"/>
        <w:spacing w:after="0" w:line="288" w:lineRule="auto"/>
        <w:rPr>
          <w:sz w:val="20"/>
          <w:szCs w:val="20"/>
          <w:color w:val="auto"/>
        </w:rPr>
      </w:pPr>
      <w:r>
        <w:rPr>
          <w:rFonts w:ascii="Times New Roman" w:cs="Times New Roman" w:eastAsia="Times New Roman" w:hAnsi="Times New Roman"/>
          <w:sz w:val="16"/>
          <w:szCs w:val="16"/>
          <w:color w:val="auto"/>
        </w:rPr>
        <w:t>SFAS No. 141(R), Business Combinations (“SFAS 141(R)”), was issued in December 2007 (“FAS 141(R)”). FAS 141(R) requires that upon initially obtaining control, an acquirer will recognize 100% of the fair values of acquired assets, including goodwill, and assumed liabilities, with only limited exceptions, even if the acquirer has not acquired 100% of its target. Additionally, contingent consideration arrangements will be fair valued at the acquisition date and included on that basis in the purchase price consideration and transaction costs will be expensed as incurred. FAS 141(R) also modifies the recognition for pre-acquisition contingencies, such as environmental or legal issues, restructuring plans and acquired research and development value in purchase accounting. FAS 141(R) amends Statement of Financial Accounting Standards No. 109, Accounting for Income Taxes, to require the acquirer to recognize changes in the amount of its deferred tax benefits that are recognizable because of a business combination either in income from continuing operations in the period of the combination or directly in contributed capital, depending on the circumstances. FAS 141(R) is effective for fiscal years beginning after December 15, 2008. Adoption is prospective and early adoption is not permitted. The Company expects to adopt FAS 141 (R) on January 1, 2009. FAS 141(R)’s impact on accounting for business combinations is dependent upon acquisitions at that time. The Company does not anticipate any material impact from the adoption of FAS 141 (R).</w:t>
      </w:r>
    </w:p>
    <w:p>
      <w:pPr>
        <w:spacing w:after="0" w:line="250"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18"/>
          <w:szCs w:val="18"/>
          <w:color w:val="auto"/>
        </w:rPr>
        <w:t>SFAS No. 160, Non-controlling Interests in Consolidated Financial Statements—an amendment of ARB No. 51 (“FAS 160”), was issued in December 2007. FAS 160 clarifies the classification of non-controlling interests in consolidated statements of financial position and the accounting for and reporting of transactions between the reporting entity and holders of such non-controlling interests. Under FAS 160 non-controlling interests are considered equity and should be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10"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Accounting Policies (continued)</w:t>
      </w:r>
    </w:p>
    <w:p>
      <w:pPr>
        <w:spacing w:after="0" w:line="15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issued accounting standards (continued)</w:t>
      </w:r>
    </w:p>
    <w:p>
      <w:pPr>
        <w:spacing w:after="0" w:line="158" w:lineRule="exact"/>
        <w:rPr>
          <w:sz w:val="20"/>
          <w:szCs w:val="20"/>
          <w:color w:val="auto"/>
        </w:rPr>
      </w:pPr>
    </w:p>
    <w:p>
      <w:pPr>
        <w:ind w:left="920" w:right="60"/>
        <w:spacing w:after="0" w:line="254" w:lineRule="auto"/>
        <w:rPr>
          <w:sz w:val="20"/>
          <w:szCs w:val="20"/>
          <w:color w:val="auto"/>
        </w:rPr>
      </w:pPr>
      <w:r>
        <w:rPr>
          <w:rFonts w:ascii="Times New Roman" w:cs="Times New Roman" w:eastAsia="Times New Roman" w:hAnsi="Times New Roman"/>
          <w:sz w:val="18"/>
          <w:szCs w:val="18"/>
          <w:color w:val="auto"/>
        </w:rPr>
        <w:t>reported as an element of consolidated equity, net income will encompass the total income of all consolidated subsidiaries and there will be separate disclosure on the face of the income statement of the attribution of that income between the controlling and non-controlling interests, and increases and decreases in the non-controlling ownership interest amount will be accounted for as equity transactions. FAS 160 is effective for the first annual reporting period beginning on or after December 15, 2008, and earlier application is prohibited. FAS 160 is required to be adopted prospectively, except for the reclassification of non controlling interests to equity, separate from the parent’s shareholders’ equity, in the consolidated statement of financial position and recasting consolidated net income (loss) to include net income (loss) attributable to both the controlling and non-controlling interests, both of which are required to be adopted retrospectively. The Company expects to adopt FAS 160 on January 1, 2009 and does not anticipate any material impact of this adoption on its combined financial statements.</w:t>
      </w:r>
    </w:p>
    <w:p>
      <w:pPr>
        <w:spacing w:after="0" w:line="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March 2008, the FASB issued SFAS No. 161, Disclosures about Derivative Instruments and Hedging Activities – an amendment of SFAS</w:t>
      </w:r>
    </w:p>
    <w:p>
      <w:pPr>
        <w:spacing w:after="0" w:line="21"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No. 133, Accounting for Derivative Instruments and Hedging Activities (“FAS 161”). FAS 161 expands disclosures previously required under FAS 133 about how derivatives and hedging activities affect the Company’s financial position, financial performance, and cash flow. FAS 161 is effective for fiscal years beginning after November 15, 2008. The Company expects to adopt FAS 161 on January 1, 2009. FAS 161’s will extend the disclosures provided in notes to the combined financial statements related to derivative instruments and hedging activities.</w:t>
      </w:r>
    </w:p>
    <w:p>
      <w:pPr>
        <w:spacing w:after="0" w:line="57"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In April 2008, the FASB issued FSP No.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 FSP 142-3 is effective for financial statements issued for fiscal years beginning after December 15, 2008. Early adoption is prohibited. The Company does not expect the adoption of FSP 142-3 to have a material impact on its combined financial statements.</w:t>
      </w:r>
    </w:p>
    <w:p>
      <w:pPr>
        <w:spacing w:after="0" w:line="58" w:lineRule="exact"/>
        <w:rPr>
          <w:sz w:val="20"/>
          <w:szCs w:val="20"/>
          <w:color w:val="auto"/>
        </w:rPr>
      </w:pPr>
    </w:p>
    <w:p>
      <w:pPr>
        <w:ind w:left="920" w:right="260"/>
        <w:spacing w:after="0" w:line="301" w:lineRule="auto"/>
        <w:rPr>
          <w:sz w:val="20"/>
          <w:szCs w:val="20"/>
          <w:color w:val="auto"/>
        </w:rPr>
      </w:pPr>
      <w:r>
        <w:rPr>
          <w:rFonts w:ascii="Times New Roman" w:cs="Times New Roman" w:eastAsia="Times New Roman" w:hAnsi="Times New Roman"/>
          <w:sz w:val="16"/>
          <w:szCs w:val="16"/>
          <w:color w:val="auto"/>
        </w:rPr>
        <w:t>The FASB issued SFAS No. 162, “The Hierarchy of Generally Accepted Accounting Principles” (“FAS 162”) in May 2008, which identifies the sources of accounting principles and the framework for selecting the principles to be used in the preparation of financial statements of nongovernmental entities that are presented in conformity with US GAAP. The effective date of FAS 162 is November 15, 2008. The adoption of FAS 162 did not change the Company’s accounting policies nor did it have an effect on its results of operations or financial position.</w:t>
      </w:r>
    </w:p>
    <w:p>
      <w:pPr>
        <w:spacing w:after="0" w:line="22"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18"/>
          <w:szCs w:val="18"/>
          <w:color w:val="auto"/>
        </w:rPr>
        <w:t>In June 2008, the FASB ratified the consensus reached on EITF Issue No. 07-05, “Determining Whether an Instrument (or Embedded Feature) Is Indexed to an Entity’s Own Stock” (“EITF 07-05”). EITF 07-05 clarifies the determination of whether an instrument (or an embedded feature) is indexed to an entity’s own stock, which would qualify as a scope exception under FAS 133. EITF 07-05 is effective for financial statements issued for fiscal years beginning after December 15, 2008. Early adoption for an existing instrument is not permitted. The Company does not expect the adoption of EITF 07-05 to have a material impact on its combined financial statements.</w:t>
      </w:r>
    </w:p>
    <w:p>
      <w:pPr>
        <w:spacing w:after="0" w:line="58"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18"/>
          <w:szCs w:val="18"/>
          <w:color w:val="auto"/>
        </w:rPr>
        <w:t>In June 2008, the FASB issued FSP no. EITF 03-6-1, “Determining Whether Instruments Granted in Share-Based Payment Transactions Are Participating Securities” (“EITF 03-6-1”). FSP EITF 03-6-1 clarifies whether instruments granted in share-based payment transactions should be included in the computation of EPS using the two-class method prior to vesting. The Company is in the process of analyzing the impact of FSP EITF03-6-1, which is effective for financial statements issued for fiscal years beginning after December 15, 2008.</w:t>
      </w:r>
    </w:p>
    <w:p>
      <w:pPr>
        <w:spacing w:after="0" w:line="55" w:lineRule="exact"/>
        <w:rPr>
          <w:sz w:val="20"/>
          <w:szCs w:val="20"/>
          <w:color w:val="auto"/>
        </w:rPr>
      </w:pPr>
    </w:p>
    <w:p>
      <w:pPr>
        <w:ind w:left="920" w:right="400"/>
        <w:spacing w:after="0" w:line="275" w:lineRule="auto"/>
        <w:rPr>
          <w:sz w:val="20"/>
          <w:szCs w:val="20"/>
          <w:color w:val="auto"/>
        </w:rPr>
      </w:pPr>
      <w:r>
        <w:rPr>
          <w:rFonts w:ascii="Times New Roman" w:cs="Times New Roman" w:eastAsia="Times New Roman" w:hAnsi="Times New Roman"/>
          <w:sz w:val="18"/>
          <w:szCs w:val="18"/>
          <w:color w:val="auto"/>
        </w:rPr>
        <w:t>Management do not believe that any other recently issued, but not yet effective accounting pronouncements, if currently adopted, would have a material impact on the combined financial statements of the Company.</w:t>
      </w:r>
    </w:p>
    <w:p>
      <w:pPr>
        <w:spacing w:after="0" w:line="239"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Vessels in Operation, less Accumulated Depreciation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4600" w:type="dxa"/>
            <w:vAlign w:val="bottom"/>
            <w:gridSpan w:val="2"/>
            <w:shd w:val="clear" w:color="auto" w:fill="CCEEFF"/>
          </w:tcPr>
          <w:p>
            <w:pPr>
              <w:ind w:left="4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915,627</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539,350</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(8,731)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(64,051)</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4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906,896</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475,299</w:t>
            </w:r>
          </w:p>
        </w:tc>
        <w:tc>
          <w:tcPr>
            <w:tcW w:w="100" w:type="dxa"/>
            <w:vAlign w:val="bottom"/>
            <w:shd w:val="clear" w:color="auto" w:fill="CCEEFF"/>
          </w:tcPr>
          <w:p>
            <w:pPr>
              <w:spacing w:after="0"/>
              <w:rPr>
                <w:sz w:val="18"/>
                <w:szCs w:val="18"/>
                <w:color w:val="auto"/>
              </w:rPr>
            </w:pPr>
          </w:p>
        </w:tc>
      </w:tr>
      <w:tr>
        <w:trPr>
          <w:trHeight w:val="40"/>
        </w:trPr>
        <w:tc>
          <w:tcPr>
            <w:tcW w:w="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3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F-22</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Vessels in Operation, less Accumulated Depreciation (continued)</w:t>
      </w:r>
    </w:p>
    <w:p>
      <w:pPr>
        <w:spacing w:after="0" w:line="15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net book value of vessels, including drydocking, are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Borders>
              <w:right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5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475,299</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286,229</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expense (Predecessor)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(12,163)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(16,119)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in the period (Predecessor)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188,463</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price adjustment (note 3)</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59,302</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in the period (Successor)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356,862</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 from intangible assets – purchase agreement (note 7)</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expense (Successor)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906,896</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475,299</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2008 all 16 of the vessels delivered to the Company were pledged as collateral under the credit facility agreement.</w:t>
      </w:r>
    </w:p>
    <w:p>
      <w:pPr>
        <w:spacing w:after="0" w:line="90" w:lineRule="exact"/>
        <w:rPr>
          <w:sz w:val="20"/>
          <w:szCs w:val="20"/>
          <w:color w:val="auto"/>
        </w:rPr>
      </w:pPr>
    </w:p>
    <w:p>
      <w:pPr>
        <w:ind w:left="460" w:right="580"/>
        <w:spacing w:after="0" w:line="275" w:lineRule="auto"/>
        <w:rPr>
          <w:sz w:val="20"/>
          <w:szCs w:val="20"/>
          <w:color w:val="auto"/>
        </w:rPr>
      </w:pPr>
      <w:r>
        <w:rPr>
          <w:rFonts w:ascii="Times New Roman" w:cs="Times New Roman" w:eastAsia="Times New Roman" w:hAnsi="Times New Roman"/>
          <w:sz w:val="18"/>
          <w:szCs w:val="18"/>
          <w:color w:val="auto"/>
        </w:rPr>
        <w:t>In December 2008 the Company took delivery of four of the five vessels in the contracted fleet. Included within additions is an advance payment of $99,000 made during the year and capitalized interest relating to these payments of $1,400 (2007: $833, 2006: $nil)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6.</w:t>
            </w:r>
          </w:p>
        </w:tc>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Vessel Deposits</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the period</w:t>
            </w:r>
          </w:p>
        </w:tc>
        <w:tc>
          <w:tcPr>
            <w:tcW w:w="330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50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3300" w:type="dxa"/>
            <w:vAlign w:val="bottom"/>
            <w:gridSpan w:val="2"/>
            <w:shd w:val="clear" w:color="auto" w:fill="CCEEFF"/>
          </w:tcPr>
          <w:p>
            <w:pPr>
              <w:ind w:left="3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15,720</w:t>
            </w:r>
          </w:p>
        </w:tc>
        <w:tc>
          <w:tcPr>
            <w:tcW w:w="50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color w:val="auto"/>
        </w:rPr>
        <w:t>The additions during the period relate to deposits paid for two 4,250 TEU newbuildings the Company has agreed to acquire from German interests for approximately $77 million per vessel. The purchase is subject to the completion of customary additional documentation and closing conditions. The two vessels are scheduled to be delivered in the fourth quarter of 2010. Both vessels will be chartered to ZISS for a term of seven to eight years at a net rate of $28,000 per vessel per day.</w:t>
      </w:r>
    </w:p>
    <w:p>
      <w:pPr>
        <w:spacing w:after="0" w:line="55"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The Company is not liable to any other prepayments before the delivery of these vessels. Vessel deposits include capitalized interests for an amount of $243 as at December 31, 2008.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Intangible Assets – Purchase Agreement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allocation (note 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42,707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Transfer to vessels in operation</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(34,867)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7,840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8"/>
          <w:szCs w:val="18"/>
          <w:color w:val="auto"/>
        </w:rPr>
        <w:t>Intangible assets relate to the agreement as at August 14, 2008 to purchase five vessels from CMA CGM. These intangible assets are not being amortized but on delivery of the related vessel are or will be allocated to the cost of the purchased vessels on a pro rata basis.</w:t>
      </w:r>
    </w:p>
    <w:p>
      <w:pPr>
        <w:spacing w:after="0" w:line="39" w:lineRule="exact"/>
        <w:rPr>
          <w:sz w:val="20"/>
          <w:szCs w:val="20"/>
          <w:color w:val="auto"/>
        </w:rPr>
      </w:pPr>
    </w:p>
    <w:p>
      <w:pPr>
        <w:ind w:left="460" w:right="540"/>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2008 four of the five vessels with an intangible asset amount of $34,867 were purchased by the Company. The remaining vessel with a related intangible asset of $7,840 is expected to be delivered to the Company in July 2009.</w:t>
      </w:r>
    </w:p>
    <w:p>
      <w:pPr>
        <w:spacing w:after="0" w:line="239"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Instruments</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derivative financial instruments contracted by the Company is presented as follows:</w:t>
      </w: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bunker cost hedging instruments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1"/>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interest rate swap hedging instruments – current and non current portions</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(47,041)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right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(47,041)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81"/>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As at December 31, 2008, none of the Company’s derivative instruments qualify for hedge accounting. In the years ended December 31, 2007 and 2006 the net gains recognised in earnings during the period for bunker derivative instruments that qualified as cash flow hedging instruments amounted to $3,083 and $5,499 respectively.</w:t>
      </w:r>
    </w:p>
    <w:p>
      <w:pPr>
        <w:spacing w:after="0" w:line="51"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During 2008 the Company has entered into certain derivative interest rate agreements to fix the interest rate on debt drawn or anticipated to be drawn under its credit facility. A total of $580,000 of anticipated core debt has been swapped into fixed rate debt at a weighted average rate of 3.59%, with details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79"/>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240" w:type="dxa"/>
            <w:vAlign w:val="bottom"/>
          </w:tcPr>
          <w:p>
            <w:pPr>
              <w:spacing w:after="0"/>
              <w:rPr>
                <w:sz w:val="15"/>
                <w:szCs w:val="15"/>
                <w:color w:val="auto"/>
              </w:rPr>
            </w:pPr>
          </w:p>
        </w:tc>
        <w:tc>
          <w:tcPr>
            <w:tcW w:w="33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58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Fixed 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12, 2008</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March 17, 2013</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60,000</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19, 2008</w:t>
            </w:r>
          </w:p>
        </w:tc>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March 17, 2013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60,000</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 2008</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March 17, 2013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68,000</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19, 2008</w:t>
            </w:r>
          </w:p>
        </w:tc>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September 17, 2013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50,000</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3.32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17, 2008</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March 17, 2013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20,000</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17, 2008</w:t>
            </w:r>
          </w:p>
        </w:tc>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December 17, 2016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60,000</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3.69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17, 2008</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17, 2016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60,000</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3.80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17, 2008</w:t>
            </w:r>
          </w:p>
        </w:tc>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March 17, 2013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45,000</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17, 2008</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17, 2016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71,000</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3.70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2009</w:t>
            </w:r>
          </w:p>
        </w:tc>
        <w:tc>
          <w:tcPr>
            <w:tcW w:w="4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June 17, 2014</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41,000</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3.80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2010</w:t>
            </w:r>
          </w:p>
        </w:tc>
        <w:tc>
          <w:tcPr>
            <w:tcW w:w="4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October 29, 2015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45,000</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4.25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Total / Weighted average rate:</w:t>
            </w:r>
          </w:p>
        </w:tc>
        <w:tc>
          <w:tcPr>
            <w:tcW w:w="5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580,000</w:t>
            </w:r>
          </w:p>
        </w:tc>
        <w:tc>
          <w:tcPr>
            <w:tcW w:w="580" w:type="dxa"/>
            <w:vAlign w:val="bottom"/>
            <w:vMerge w:val="continue"/>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3.59%</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F-24</w:t>
            </w:r>
          </w:p>
        </w:tc>
        <w:tc>
          <w:tcPr>
            <w:tcW w:w="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Instruments (continued)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swap counterparty has a one time option to cancel the swap as of March 17, 2013</w:t>
      </w:r>
    </w:p>
    <w:p>
      <w:pPr>
        <w:spacing w:after="0" w:line="23" w:lineRule="exact"/>
        <w:rPr>
          <w:rFonts w:ascii="Times New Roman" w:cs="Times New Roman" w:eastAsia="Times New Roman" w:hAnsi="Times New Roman"/>
          <w:sz w:val="18"/>
          <w:szCs w:val="18"/>
          <w:i w:val="1"/>
          <w:iCs w:val="1"/>
          <w:color w:val="auto"/>
        </w:rPr>
      </w:pPr>
    </w:p>
    <w:p>
      <w:pPr>
        <w:ind w:left="900" w:hanging="446"/>
        <w:spacing w:after="0"/>
        <w:tabs>
          <w:tab w:leader="none" w:pos="900" w:val="left"/>
        </w:tabs>
        <w:numPr>
          <w:ilvl w:val="1"/>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December 31, 2008, interest rate derivatives cover $542,100 outstanding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-378460</wp:posOffset>
            </wp:positionV>
            <wp:extent cx="5143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8"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As of December 31, 2008 the maximum length of time over which the entity is hedging its interest rate exposure is approximately eight years. In the year ended December 31, 2008 unrealized losses of $52,544 were recognised in earnings relating to derivative instruments, of which there was a $2,749 gain in the Predecessor period and a $55,293 loss in the Successor period.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9.</w:t>
            </w: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7"/>
                <w:szCs w:val="17"/>
                <w:color w:val="auto"/>
              </w:rPr>
            </w:pPr>
          </w:p>
        </w:tc>
        <w:tc>
          <w:tcPr>
            <w:tcW w:w="380" w:type="dxa"/>
            <w:vAlign w:val="bottom"/>
            <w:vMerge w:val="restart"/>
          </w:tcPr>
          <w:p>
            <w:pPr>
              <w:spacing w:after="0"/>
              <w:rPr>
                <w:sz w:val="17"/>
                <w:szCs w:val="17"/>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8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2008</w:t>
            </w:r>
          </w:p>
        </w:tc>
        <w:tc>
          <w:tcPr>
            <w:tcW w:w="5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expense included within interest expense (Predecessor)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Expenditure in the period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price adjustment (note3)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(5,391)</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expense included within interest expense (Successor)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3,657</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2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F-25</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Intangible Liability – Charter Agreements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allocation (note3)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28,023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 period</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27,956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Intangible liabilities relate to management’s estimate of fair value of below-market charters at the date of the merger (note 1) on August 14, 2008. The intangible liabilities will be amortized for each vessel over the remaining life of the charter. The fair value was estimated by management based on its experience with regard to availability of similar vessels, costs to build new vessels and current market demand. The contracted lease rates were compared to the estimated current market lease rates for similar vessels. The estimated lease intangibles were computed by discounting the difference in the projected lease cash flows using a discount rate of 8.0% and the length of the charter as the relevant time period.</w:t>
      </w:r>
    </w:p>
    <w:p>
      <w:pPr>
        <w:spacing w:after="0" w:line="58" w:lineRule="exact"/>
        <w:rPr>
          <w:sz w:val="20"/>
          <w:szCs w:val="20"/>
          <w:color w:val="auto"/>
        </w:rPr>
      </w:pPr>
    </w:p>
    <w:p>
      <w:pPr>
        <w:ind w:left="460" w:right="100"/>
        <w:spacing w:after="0" w:line="339" w:lineRule="auto"/>
        <w:rPr>
          <w:sz w:val="20"/>
          <w:szCs w:val="20"/>
          <w:color w:val="auto"/>
        </w:rPr>
      </w:pPr>
      <w:r>
        <w:rPr>
          <w:rFonts w:ascii="Times New Roman" w:cs="Times New Roman" w:eastAsia="Times New Roman" w:hAnsi="Times New Roman"/>
          <w:sz w:val="16"/>
          <w:szCs w:val="16"/>
          <w:color w:val="auto"/>
        </w:rPr>
        <w:t>Amortization of the intangible liabilities for the 12 initial vessels began on the date following the merger and for the four vessels delivered to the company in December 2008 on delivery to the Company. Amortization for the vessel due to be delivered in July 2009 will commence on delivery to the Company.</w:t>
      </w:r>
    </w:p>
    <w:p>
      <w:pPr>
        <w:spacing w:after="0" w:line="113" w:lineRule="exact"/>
        <w:rPr>
          <w:sz w:val="20"/>
          <w:szCs w:val="20"/>
          <w:color w:val="auto"/>
        </w:rPr>
      </w:pPr>
    </w:p>
    <w:p>
      <w:pPr>
        <w:ind w:left="460" w:hanging="452"/>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Debt</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is summarized as follows:</w:t>
      </w: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4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at Libor USD + 0.75% to 1.10% (below)</w:t>
            </w:r>
          </w:p>
        </w:tc>
        <w:tc>
          <w:tcPr>
            <w:tcW w:w="218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542,100</w:t>
            </w:r>
          </w:p>
        </w:tc>
        <w:tc>
          <w:tcPr>
            <w:tcW w:w="4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installments of long-term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542,100</w:t>
            </w:r>
          </w:p>
        </w:tc>
        <w:tc>
          <w:tcPr>
            <w:tcW w:w="4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The Company established an $800,000 senior secured credit facility with Fortis Bank, Citibank, HSH Nordbank, Sumitomo Mitsui, KFW and DnB Nor Bank. The margin applicable on interest payable under the credit facility varies from 0.75% to 1.10% depending on the “leverage ratio”, which is the ratio of the balance outstanding on the credit facility to the aggregate market value of the vessels, as determined from time to time. The Company also pays a commitment fee of 0.25% per annum based on the undrawn portion of the credit facility, which amounted to $257,900 at December 31, 2008. Further to the amendment of the terms of the credit facility as described below and in note 21 “Subsequent events”, the credit facility amount will reduce commencing four years from the date of the closing of the facility, which was in December 2007 in 16 quarterly installments.</w:t>
      </w:r>
    </w:p>
    <w:p>
      <w:pPr>
        <w:spacing w:after="0" w:line="58" w:lineRule="exact"/>
        <w:rPr>
          <w:sz w:val="20"/>
          <w:szCs w:val="20"/>
          <w:color w:val="auto"/>
        </w:rPr>
      </w:pPr>
    </w:p>
    <w:p>
      <w:pPr>
        <w:ind w:left="460" w:right="100"/>
        <w:spacing w:after="0" w:line="256" w:lineRule="auto"/>
        <w:rPr>
          <w:sz w:val="20"/>
          <w:szCs w:val="20"/>
          <w:color w:val="auto"/>
        </w:rPr>
      </w:pPr>
      <w:r>
        <w:rPr>
          <w:rFonts w:ascii="Times New Roman" w:cs="Times New Roman" w:eastAsia="Times New Roman" w:hAnsi="Times New Roman"/>
          <w:sz w:val="18"/>
          <w:szCs w:val="18"/>
          <w:color w:val="auto"/>
        </w:rPr>
        <w:t>This credit facility is secured by, inter alia, first priority mortgages on each of the vessels in the security package, a pledge of shares of the vessel owning subsidiaries as well as assignments of earnings and insurances. The financial covenants within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 The credit facility also has a loan to value maintenance covenant of 75%.</w:t>
      </w:r>
    </w:p>
    <w:p>
      <w:pPr>
        <w:spacing w:after="0" w:line="58"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On February 10, 2009, the Company announced it had amended the terms of its $800,000 credit facility agreement. Further details are provided in note 21 “Subsequent events”.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operating (income) expense</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expense is summarized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Successor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Predecessor</w:t>
            </w:r>
          </w:p>
        </w:tc>
        <w:tc>
          <w:tcPr>
            <w:tcW w:w="6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Predecessor</w:t>
            </w:r>
          </w:p>
        </w:tc>
        <w:tc>
          <w:tcPr>
            <w:tcW w:w="6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Predecessor</w:t>
            </w:r>
          </w:p>
        </w:tc>
        <w:tc>
          <w:tcPr>
            <w:tcW w:w="100" w:type="dxa"/>
            <w:vAlign w:val="bottom"/>
          </w:tcPr>
          <w:p>
            <w:pPr>
              <w:spacing w:after="0"/>
              <w:rPr>
                <w:sz w:val="12"/>
                <w:szCs w:val="12"/>
                <w:color w:val="auto"/>
              </w:rPr>
            </w:pPr>
          </w:p>
        </w:tc>
      </w:tr>
      <w:tr>
        <w:trPr>
          <w:trHeight w:val="125"/>
        </w:trPr>
        <w:tc>
          <w:tcPr>
            <w:tcW w:w="4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August 15 to</w:t>
            </w:r>
          </w:p>
        </w:tc>
        <w:tc>
          <w:tcPr>
            <w:tcW w:w="3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January 1 to</w:t>
            </w: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August 14</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shipping income</w:t>
            </w:r>
          </w:p>
        </w:tc>
        <w:tc>
          <w:tcPr>
            <w:tcW w:w="8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 on bunker derivative instruments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(11,908)</w:t>
            </w:r>
          </w:p>
        </w:tc>
      </w:tr>
      <w:tr>
        <w:trPr>
          <w:trHeight w:val="27"/>
        </w:trPr>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(11,908)</w:t>
            </w:r>
          </w:p>
        </w:tc>
      </w:tr>
      <w:tr>
        <w:trPr>
          <w:trHeight w:val="20"/>
        </w:trPr>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7"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rFonts w:ascii="Times New Roman" w:cs="Times New Roman" w:eastAsia="Times New Roman" w:hAnsi="Times New Roman"/>
          <w:sz w:val="18"/>
          <w:szCs w:val="18"/>
          <w:color w:val="auto"/>
        </w:rPr>
      </w:pPr>
    </w:p>
    <w:p>
      <w:pPr>
        <w:ind w:left="460"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CMA CGM is presented as a related party as it was, until the merger, the parent company of Global Ship Lease, Inc. and at December 31, 2008 is a significant shareholder of the Company, owning certain Class A common shares representing a 23.9% voting interest in the Company and all 12,375,000 Class C common shares which converted to Class A common shares on January 1, 2009.</w:t>
      </w:r>
    </w:p>
    <w:p>
      <w:pPr>
        <w:spacing w:after="0" w:line="5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CMA CGM companies are summarized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5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2008</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Loan—5.25% per annum ((a) below)</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related party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 ((b) below)</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5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Amounts due to CMA CGM companies presented within liabilities</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520" w:type="dxa"/>
            <w:vAlign w:val="bottom"/>
            <w:tcBorders>
              <w:right w:val="single" w:sz="8" w:color="auto"/>
            </w:tcBorders>
          </w:tcPr>
          <w:p>
            <w:pPr>
              <w:spacing w:after="0"/>
              <w:rPr>
                <w:sz w:val="24"/>
                <w:szCs w:val="24"/>
                <w:color w:val="auto"/>
              </w:rPr>
            </w:pP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 ((b) below)</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5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Amounts due from CMA CGM companies presented within assets</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520" w:type="dxa"/>
            <w:vAlign w:val="bottom"/>
            <w:tcBorders>
              <w:right w:val="single" w:sz="8" w:color="auto"/>
            </w:tcBorders>
          </w:tcPr>
          <w:p>
            <w:pPr>
              <w:spacing w:after="0"/>
              <w:rPr>
                <w:sz w:val="24"/>
                <w:szCs w:val="24"/>
                <w:color w:val="auto"/>
              </w:rPr>
            </w:pP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00" w:right="140" w:hanging="446"/>
        <w:spacing w:after="0" w:line="255"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shareholder’s loan agreement dated December 11, 2007, CMA CGM provided to the Predecessor a credit facility of $250,000. The amount of the loan outstanding on August 14, 2008 of $176,875 was cancelled upon completion of the merger (note 1). The loan was unsecured and bore interest at 5.25% per annum.</w:t>
      </w:r>
    </w:p>
    <w:p>
      <w:pPr>
        <w:ind w:left="900" w:right="240" w:hanging="446"/>
        <w:spacing w:after="0" w:line="261"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CMA CGM subsidiaries provide Global Ship Lease, Inc. and its subsidiaries with certain ship management services related to the operation of the Company’s fleet. The current account at December 31, 2008 and 2007 related to amounts payable by or recoverable from CMA CGM.</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92"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As reported in note 2, the Company entered into an asset purchase agreement with CMA CGM on December 5, 2007. Pursuant to this agreement, during December 2007, the Company purchased 10 secondhand vessels for a total price of $385,000 and in January 2008, the Company purchased two newly built vessels for a total price of $188,000. In December 2008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 (continued)</w:t>
      </w:r>
    </w:p>
    <w:p>
      <w:pPr>
        <w:spacing w:after="0" w:line="159" w:lineRule="exact"/>
        <w:rPr>
          <w:rFonts w:ascii="Times New Roman" w:cs="Times New Roman" w:eastAsia="Times New Roman" w:hAnsi="Times New Roman"/>
          <w:sz w:val="18"/>
          <w:szCs w:val="18"/>
          <w:color w:val="auto"/>
        </w:rPr>
      </w:pPr>
    </w:p>
    <w:p>
      <w:pPr>
        <w:ind w:left="460"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four vessels for a total price of $354,780 of which $99,000 was prepaid by virtue of the 12,375,000 Class C common shares in the Company issued to CMA CGM in the merger (note 3).</w:t>
      </w:r>
    </w:p>
    <w:p>
      <w:pPr>
        <w:spacing w:after="0" w:line="38" w:lineRule="exact"/>
        <w:rPr>
          <w:rFonts w:ascii="Times New Roman" w:cs="Times New Roman" w:eastAsia="Times New Roman" w:hAnsi="Times New Roman"/>
          <w:sz w:val="18"/>
          <w:szCs w:val="18"/>
          <w:color w:val="auto"/>
        </w:rPr>
      </w:pPr>
    </w:p>
    <w:p>
      <w:pPr>
        <w:ind w:left="460" w:right="5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asset purchase agreement, the Company is committed, subject to financing, to purchasing a further vessel from CMA CGM for a price of $82,000, with an expected purchase date of July 2009.</w:t>
      </w:r>
    </w:p>
    <w:p>
      <w:pPr>
        <w:spacing w:after="0" w:line="19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Charter Agreements</w:t>
      </w:r>
    </w:p>
    <w:p>
      <w:pPr>
        <w:spacing w:after="0" w:line="92" w:lineRule="exact"/>
        <w:rPr>
          <w:rFonts w:ascii="Times New Roman" w:cs="Times New Roman" w:eastAsia="Times New Roman" w:hAnsi="Times New Roman"/>
          <w:sz w:val="18"/>
          <w:szCs w:val="18"/>
          <w:color w:val="auto"/>
        </w:rPr>
      </w:pPr>
    </w:p>
    <w:p>
      <w:pPr>
        <w:ind w:left="460" w:righ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16 vessels owned during the period were time chartered to CMA CGM. Of the three vessels due to be delivered during 2009 to 2010, one has been chartered to CMA CGM. Under the time charters, hire is paid in advance and the daily rate is fixed for the duration of the charter. The charters are for remaining periods of between four and seventeen years. Of the $1,808,305 maximum future charter hire receivable for the total fleet set out in note 14, $1,665,113 relates to the 17 ships chartered or to be chartered to CMA CGM (including the vessel due for delivery).</w:t>
      </w:r>
    </w:p>
    <w:p>
      <w:pPr>
        <w:spacing w:after="0" w:line="21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Ship Management Agreement</w:t>
      </w:r>
    </w:p>
    <w:p>
      <w:pPr>
        <w:spacing w:after="0" w:line="92" w:lineRule="exact"/>
        <w:rPr>
          <w:rFonts w:ascii="Times New Roman" w:cs="Times New Roman" w:eastAsia="Times New Roman" w:hAnsi="Times New Roman"/>
          <w:sz w:val="18"/>
          <w:szCs w:val="18"/>
          <w:color w:val="auto"/>
        </w:rPr>
      </w:pPr>
    </w:p>
    <w:p>
      <w:pPr>
        <w:ind w:lef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outsources day to day technical management of its vessels to a ship manager that is closely supervised by the Company’s own staff. The ship manager for the initial and contracted fleet (excluding the two vessels to be purchased from German interests) is CMA Ships Ltd, a wholly owned subsidiary of CMA CGM. CMA CGM guarantees the performance of all services and any payment due to the Company by the ship manager pursuant to the ship management agreements. The ship management agreements are for a period of three years from the date of delivery of the vessels to Global Ship Lease, Inc. and its subsidiaries, although they can be terminated early by the Company in certain circumstances.</w:t>
      </w:r>
    </w:p>
    <w:p>
      <w:pPr>
        <w:spacing w:after="0" w:line="57" w:lineRule="exact"/>
        <w:rPr>
          <w:rFonts w:ascii="Times New Roman" w:cs="Times New Roman" w:eastAsia="Times New Roman" w:hAnsi="Times New Roman"/>
          <w:sz w:val="18"/>
          <w:szCs w:val="18"/>
          <w:color w:val="auto"/>
        </w:rPr>
      </w:pPr>
    </w:p>
    <w:p>
      <w:pPr>
        <w:ind w:left="4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CMA Ships an annual management fee of $114 per vessel and reimburses costs incurred on its behalf mainly being for the provision of crew and lubricating oils and routine maintenance. Such reimbursement is subject to a cap of between $5.4 and $8.8 per day depending on the vessel. The impact of the cap is determined quarterly and for the fleet as a whole. Ship management fees expensed for the year ended December 31, 2008 amounted to $848 for the Successor period and $528 for the Predecessor period (2007: $49, 2006: $nil).</w:t>
      </w:r>
    </w:p>
    <w:p>
      <w:pPr>
        <w:spacing w:after="0" w:line="5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transactions with CMA CGM, the Company did not enter into any other related party transactions.</w:t>
      </w:r>
    </w:p>
    <w:p>
      <w:pPr>
        <w:spacing w:after="0" w:line="290" w:lineRule="exact"/>
        <w:rPr>
          <w:rFonts w:ascii="Times New Roman" w:cs="Times New Roman" w:eastAsia="Times New Roman" w:hAnsi="Times New Roman"/>
          <w:sz w:val="18"/>
          <w:szCs w:val="18"/>
          <w:color w:val="auto"/>
        </w:rPr>
      </w:pPr>
    </w:p>
    <w:p>
      <w:pPr>
        <w:ind w:left="460" w:right="8460" w:hanging="452"/>
        <w:spacing w:after="0" w:line="388" w:lineRule="auto"/>
        <w:tabs>
          <w:tab w:leader="none" w:pos="44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Commitments and Contingencies Contracted Vessel Purchases</w:t>
      </w:r>
    </w:p>
    <w:p>
      <w:pPr>
        <w:spacing w:after="0" w:line="1" w:lineRule="exact"/>
        <w:rPr>
          <w:rFonts w:ascii="Times New Roman" w:cs="Times New Roman" w:eastAsia="Times New Roman" w:hAnsi="Times New Roman"/>
          <w:sz w:val="16"/>
          <w:szCs w:val="16"/>
          <w:color w:val="auto"/>
        </w:rPr>
      </w:pPr>
    </w:p>
    <w:p>
      <w:pPr>
        <w:ind w:left="460" w:right="8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reported in note 2, the Company has contracted to purchase a further vessel from CMA CGM at a cost of $82,000. In addition, the Company is committed to purchasing two vessels from German interests in the fourth quarter of 2010 for approximately $77,000 each. A deposit of 10% has been paid for these two vessels.</w:t>
      </w:r>
    </w:p>
    <w:p>
      <w:pPr>
        <w:spacing w:after="0" w:line="21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Charter Hire Receivable</w:t>
      </w:r>
    </w:p>
    <w:p>
      <w:pPr>
        <w:spacing w:after="0" w:line="92" w:lineRule="exact"/>
        <w:rPr>
          <w:rFonts w:ascii="Times New Roman" w:cs="Times New Roman" w:eastAsia="Times New Roman" w:hAnsi="Times New Roman"/>
          <w:sz w:val="16"/>
          <w:szCs w:val="16"/>
          <w:color w:val="auto"/>
        </w:rPr>
      </w:pPr>
    </w:p>
    <w:p>
      <w:pPr>
        <w:ind w:left="460" w:right="8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 has entered into long term charters for its vessels owned at December 31, 2008. The charter hire (including those relating to vessels due for delivery in 2009 and 2010), is paid in advance and the daily rate is fixed for the duration of the charter. The charters are for periods of between five and 17 years and the maximum annual charter hire receivable for the fleet of 16 vessels as at December 31, 2008 and for the total contracted fleet of 19 vessels, taking account of actual or anticipated delivery dates and before allowance for any off-hire periods, is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Fleet operated as at</w:t>
            </w:r>
          </w:p>
        </w:tc>
        <w:tc>
          <w:tcPr>
            <w:tcW w:w="50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Total fleet to</w:t>
            </w:r>
          </w:p>
        </w:tc>
      </w:tr>
      <w:tr>
        <w:trPr>
          <w:trHeight w:val="165"/>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December 31, 2008</w:t>
            </w:r>
          </w:p>
        </w:tc>
        <w:tc>
          <w:tcPr>
            <w:tcW w:w="5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 operated</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6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144,347</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and thereafter</w:t>
            </w:r>
          </w:p>
        </w:tc>
        <w:tc>
          <w:tcPr>
            <w:tcW w:w="6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938,891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1,145,087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1,515,990</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1,808,305</w:t>
            </w:r>
          </w:p>
        </w:tc>
        <w:tc>
          <w:tcPr>
            <w:tcW w:w="20" w:type="dxa"/>
            <w:vAlign w:val="bottom"/>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4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F-28</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Segments</w:t>
      </w:r>
    </w:p>
    <w:p>
      <w:pPr>
        <w:spacing w:after="0" w:line="92"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58" w:lineRule="exact"/>
        <w:rPr>
          <w:rFonts w:ascii="Times New Roman" w:cs="Times New Roman" w:eastAsia="Times New Roman" w:hAnsi="Times New Roman"/>
          <w:sz w:val="18"/>
          <w:szCs w:val="18"/>
          <w:color w:val="auto"/>
        </w:rPr>
      </w:pPr>
    </w:p>
    <w:p>
      <w:pPr>
        <w:ind w:left="460"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column in the table below includes (i) the elimination of the Containerized Transportation activity performed by the Predecessor up to August 14, 2008 and (ii) the IPO and merger costs expensed by the Predecessor.</w:t>
      </w:r>
    </w:p>
    <w:p>
      <w:pPr>
        <w:spacing w:after="0" w:line="3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2008, 2007 and 2006 the activities can be analyzed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3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Period August 15 to</w:t>
            </w:r>
          </w:p>
        </w:tc>
        <w:tc>
          <w:tcPr>
            <w:tcW w:w="3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Period January 1 to August 14</w:t>
            </w:r>
          </w:p>
        </w:tc>
        <w:tc>
          <w:tcPr>
            <w:tcW w:w="200" w:type="dxa"/>
            <w:vAlign w:val="bottom"/>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8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Time</w:t>
            </w:r>
          </w:p>
        </w:tc>
        <w:tc>
          <w:tcPr>
            <w:tcW w:w="3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rPr>
              <w:t>Time</w:t>
            </w: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Time</w:t>
            </w: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jc w:val="right"/>
              <w:ind w:right="16"/>
              <w:spacing w:after="0" w:line="125" w:lineRule="exact"/>
              <w:rPr>
                <w:sz w:val="20"/>
                <w:szCs w:val="20"/>
                <w:color w:val="auto"/>
              </w:rPr>
            </w:pPr>
            <w:r>
              <w:rPr>
                <w:rFonts w:ascii="Times New Roman" w:cs="Times New Roman" w:eastAsia="Times New Roman" w:hAnsi="Times New Roman"/>
                <w:sz w:val="14"/>
                <w:szCs w:val="14"/>
                <w:b w:val="1"/>
                <w:bCs w:val="1"/>
                <w:color w:val="auto"/>
              </w:rPr>
              <w:t>Time</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Charter</w:t>
            </w:r>
          </w:p>
        </w:tc>
        <w:tc>
          <w:tcPr>
            <w:tcW w:w="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Charter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Adjustment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Charter</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Adjustment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55,883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57,955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332,186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335,095</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299,599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299,599</w:t>
            </w:r>
          </w:p>
        </w:tc>
        <w:tc>
          <w:tcPr>
            <w:tcW w:w="0" w:type="dxa"/>
            <w:vAlign w:val="bottom"/>
          </w:tcPr>
          <w:p>
            <w:pPr>
              <w:spacing w:after="0"/>
              <w:rPr>
                <w:sz w:val="1"/>
                <w:szCs w:val="1"/>
                <w:color w:val="auto"/>
              </w:rPr>
            </w:pPr>
          </w:p>
        </w:tc>
      </w:tr>
      <w:tr>
        <w:trPr>
          <w:trHeight w:val="46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top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1,944</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249,457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249,457</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213,143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213,143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14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11,904</w:t>
            </w: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17,893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18,074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23,219</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23,959</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22,628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11,902</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12,163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16,119</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16,664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17,421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17,751</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11,331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(2,341)</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(2,341)</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(11,908)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31,914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36,088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303,253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304,945</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251,858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251,858</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23,969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21,867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28,933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30,150</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47,741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47,741</w:t>
            </w:r>
          </w:p>
        </w:tc>
        <w:tc>
          <w:tcPr>
            <w:tcW w:w="0" w:type="dxa"/>
            <w:vAlign w:val="bottom"/>
          </w:tcPr>
          <w:p>
            <w:pPr>
              <w:spacing w:after="0"/>
              <w:rPr>
                <w:sz w:val="1"/>
                <w:szCs w:val="1"/>
                <w:color w:val="auto"/>
              </w:rPr>
            </w:pPr>
          </w:p>
        </w:tc>
      </w:tr>
      <w:tr>
        <w:trPr>
          <w:trHeight w:val="45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(3,842)</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(17,600)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(17,600)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(1,103)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(12,251)</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(13,354)</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(15,064)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Realized and unrealized gain on</w:t>
            </w:r>
          </w:p>
        </w:tc>
        <w:tc>
          <w:tcPr>
            <w:tcW w:w="11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14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(55,293)</w:t>
            </w:r>
          </w:p>
        </w:tc>
        <w:tc>
          <w:tcPr>
            <w:tcW w:w="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(expense) before income taxes</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(43,868)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9,542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16,682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16,796</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32,677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45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4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(43,970)</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9,519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16,682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16,776</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32,677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Capital</w:t>
      </w:r>
    </w:p>
    <w:p>
      <w:pPr>
        <w:spacing w:after="0" w:line="92" w:lineRule="exact"/>
        <w:rPr>
          <w:rFonts w:ascii="Times New Roman" w:cs="Times New Roman" w:eastAsia="Times New Roman" w:hAnsi="Times New Roman"/>
          <w:sz w:val="18"/>
          <w:szCs w:val="18"/>
          <w:color w:val="auto"/>
        </w:rPr>
      </w:pPr>
    </w:p>
    <w:p>
      <w:pPr>
        <w:ind w:left="46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2008 the Company has three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and that Class B common share holders are not entitled to dividends for any period prior to the fourth quarter of 2008. The rights of holders of Class C common shares are identical to those of holders of Class A common shares, except that holders of Class C common shares are not entitled to receive any dividends. The Class C common shares converted into Class A common shares on a one-for-one basis on January 1, 2009.</w:t>
      </w:r>
    </w:p>
    <w:p>
      <w:pPr>
        <w:spacing w:after="0" w:line="58" w:lineRule="exact"/>
        <w:rPr>
          <w:rFonts w:ascii="Times New Roman" w:cs="Times New Roman" w:eastAsia="Times New Roman" w:hAnsi="Times New Roman"/>
          <w:sz w:val="18"/>
          <w:szCs w:val="18"/>
          <w:color w:val="auto"/>
        </w:rPr>
      </w:pPr>
    </w:p>
    <w:p>
      <w:pPr>
        <w:ind w:left="460" w:right="4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shares rank senior to the common shares and are mandatorily redeemable on August 14, 2011 and are required to be redeemed earlier using the proceeds of the exercise of any Public Warrants. The shares are redeemed each time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Capital (continued)</w:t>
      </w:r>
    </w:p>
    <w:p>
      <w:pPr>
        <w:spacing w:after="0" w:line="159" w:lineRule="exact"/>
        <w:rPr>
          <w:rFonts w:ascii="Times New Roman" w:cs="Times New Roman" w:eastAsia="Times New Roman" w:hAnsi="Times New Roman"/>
          <w:sz w:val="18"/>
          <w:szCs w:val="18"/>
          <w:color w:val="auto"/>
        </w:rPr>
      </w:pPr>
    </w:p>
    <w:p>
      <w:pPr>
        <w:ind w:left="46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proceeds from the exercise of warrants reach $5,000. As at December 31, 2008 total proceeds received from the exercise of warrants classified in the balance sheet as restricted cash were $3,026, and therefore none of the preferred shares were redeemed. Series A preferred shares are classified as a liability. The dividend that preferred shares holders are entitled to receive quarterly is presented as part of interest expense.</w:t>
      </w:r>
    </w:p>
    <w:p>
      <w:pPr>
        <w:spacing w:after="0" w:line="51" w:lineRule="exact"/>
        <w:rPr>
          <w:rFonts w:ascii="Times New Roman" w:cs="Times New Roman" w:eastAsia="Times New Roman" w:hAnsi="Times New Roman"/>
          <w:sz w:val="18"/>
          <w:szCs w:val="18"/>
          <w:color w:val="auto"/>
        </w:rPr>
      </w:pPr>
    </w:p>
    <w:p>
      <w:pPr>
        <w:ind w:left="4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Class A, B and C common shares and the Series A Preferred shares, there are 39,531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6,188 Class A Warrants which expire on September 1, 2011 and give the holders the right to purchase one Class A common share at a price of $9.25 per share.</w:t>
      </w:r>
    </w:p>
    <w:p>
      <w:pPr>
        <w:spacing w:after="0" w:line="5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2008 500,102 Public Warrants were exercised at a price of $6 each and 500,102 Class A common shares issued.</w:t>
      </w:r>
    </w:p>
    <w:p>
      <w:pPr>
        <w:spacing w:after="0" w:line="90" w:lineRule="exact"/>
        <w:rPr>
          <w:rFonts w:ascii="Times New Roman" w:cs="Times New Roman" w:eastAsia="Times New Roman" w:hAnsi="Times New Roman"/>
          <w:sz w:val="18"/>
          <w:szCs w:val="18"/>
          <w:color w:val="auto"/>
        </w:rPr>
      </w:pPr>
    </w:p>
    <w:p>
      <w:pPr>
        <w:ind w:left="460" w:right="5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22, 2008 the Company’s Board declared a starting dividend of $0.23 per Class A common share that was paid on October 14, 2008 to Class A common shareholders and unit holders of record on October 2, 2008.</w:t>
      </w:r>
    </w:p>
    <w:p>
      <w:pPr>
        <w:spacing w:after="0" w:line="3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2008, 4,400 Public Warrants were exercised at a price of $6 each and 4,400 Class A common shares issued.</w:t>
      </w:r>
    </w:p>
    <w:p>
      <w:pPr>
        <w:spacing w:after="0" w:line="90" w:lineRule="exact"/>
        <w:rPr>
          <w:rFonts w:ascii="Times New Roman" w:cs="Times New Roman" w:eastAsia="Times New Roman" w:hAnsi="Times New Roman"/>
          <w:sz w:val="18"/>
          <w:szCs w:val="18"/>
          <w:color w:val="auto"/>
        </w:rPr>
      </w:pPr>
    </w:p>
    <w:p>
      <w:pPr>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2008 the Company’s Board declared a third quarter dividend of $0.23 per Class A common share that was paid on November 28, 2008 to Class A common shareholders and unit holders of record as of November 21, 2008.</w:t>
      </w:r>
    </w:p>
    <w:p>
      <w:pPr>
        <w:spacing w:after="0" w:line="23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Rate Derivatives and Fair Value Measurements</w:t>
      </w:r>
    </w:p>
    <w:p>
      <w:pPr>
        <w:spacing w:after="0" w:line="92" w:lineRule="exact"/>
        <w:rPr>
          <w:rFonts w:ascii="Times New Roman" w:cs="Times New Roman" w:eastAsia="Times New Roman" w:hAnsi="Times New Roman"/>
          <w:sz w:val="18"/>
          <w:szCs w:val="18"/>
          <w:color w:val="auto"/>
        </w:rPr>
      </w:pPr>
    </w:p>
    <w:p>
      <w:pPr>
        <w:ind w:left="46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During the Predecessor period ended August 14, 2008, initial payments on derivatives of $4,730 were made (Nil for the Successor period ended December 31, 2008).</w:t>
      </w:r>
    </w:p>
    <w:p>
      <w:pPr>
        <w:spacing w:after="0" w:line="60" w:lineRule="exact"/>
        <w:rPr>
          <w:rFonts w:ascii="Times New Roman" w:cs="Times New Roman" w:eastAsia="Times New Roman" w:hAnsi="Times New Roman"/>
          <w:sz w:val="18"/>
          <w:szCs w:val="18"/>
          <w:color w:val="auto"/>
        </w:rPr>
      </w:pPr>
    </w:p>
    <w:p>
      <w:pPr>
        <w:ind w:left="46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loss on interest rate derivatives for the year ended December 31, 2008 was $51,770.</w:t>
      </w:r>
    </w:p>
    <w:p>
      <w:pPr>
        <w:spacing w:after="0" w:line="51" w:lineRule="exact"/>
        <w:rPr>
          <w:rFonts w:ascii="Times New Roman" w:cs="Times New Roman" w:eastAsia="Times New Roman" w:hAnsi="Times New Roman"/>
          <w:sz w:val="18"/>
          <w:szCs w:val="18"/>
          <w:color w:val="auto"/>
        </w:rPr>
      </w:pPr>
    </w:p>
    <w:p>
      <w:pPr>
        <w:ind w:left="460" w:right="4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2008, the Company adopted SFAS No. 157, “Fair Value Measurements” (“SFAS No. 157”). The fair value hierarchy under SFAS No. 157 has three levels based on the reliability of the inputs used to determine fair value as follows:</w:t>
      </w:r>
    </w:p>
    <w:p>
      <w:pPr>
        <w:spacing w:after="0" w:line="3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w:t>
      </w:r>
      <w:r>
        <w:rPr>
          <w:rFonts w:ascii="Times New Roman" w:cs="Times New Roman" w:eastAsia="Times New Roman" w:hAnsi="Times New Roman"/>
          <w:sz w:val="16"/>
          <w:szCs w:val="16"/>
          <w:color w:val="auto"/>
        </w:rPr>
        <w:t>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w:t>
      </w:r>
      <w:r>
        <w:rPr>
          <w:rFonts w:ascii="Times New Roman" w:cs="Times New Roman" w:eastAsia="Times New Roman" w:hAnsi="Times New Roman"/>
          <w:sz w:val="16"/>
          <w:szCs w:val="16"/>
          <w:color w:val="auto"/>
        </w:rPr>
        <w:t>Inputs, other than the quoted prices in active markets, that are observable either directly or indirectly; and</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w:t>
      </w:r>
      <w:r>
        <w:rPr>
          <w:rFonts w:ascii="Times New Roman" w:cs="Times New Roman" w:eastAsia="Times New Roman" w:hAnsi="Times New Roman"/>
          <w:sz w:val="16"/>
          <w:szCs w:val="16"/>
          <w:color w:val="auto"/>
        </w:rPr>
        <w:t>Unobservable inputs in which there is little or no market data, which require the reporting entity to develop its own assumptions.</w:t>
      </w:r>
    </w:p>
    <w:p>
      <w:pPr>
        <w:spacing w:after="0" w:line="90" w:lineRule="exact"/>
        <w:rPr>
          <w:rFonts w:ascii="Times New Roman" w:cs="Times New Roman" w:eastAsia="Times New Roman" w:hAnsi="Times New Roman"/>
          <w:sz w:val="18"/>
          <w:szCs w:val="18"/>
          <w:color w:val="auto"/>
        </w:rPr>
      </w:pPr>
    </w:p>
    <w:p>
      <w:pPr>
        <w:ind w:left="460"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2008 there was a liability of $47,041. The fair value of the Company’s derivative instruments is the estimated amount that the Company would receive or pay to terminate the agreements at the reporting date, taking into account interest rates at that date.</w:t>
      </w:r>
    </w:p>
    <w:p>
      <w:pPr>
        <w:spacing w:after="0" w:line="2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w:t>
      </w:r>
    </w:p>
    <w:p>
      <w:pPr>
        <w:spacing w:after="0" w:line="92" w:lineRule="exact"/>
        <w:rPr>
          <w:rFonts w:ascii="Times New Roman" w:cs="Times New Roman" w:eastAsia="Times New Roman" w:hAnsi="Times New Roman"/>
          <w:sz w:val="18"/>
          <w:szCs w:val="18"/>
          <w:color w:val="auto"/>
        </w:rPr>
      </w:pPr>
    </w:p>
    <w:p>
      <w:pPr>
        <w:ind w:left="460" w:right="3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2008, the Company’s Board adopted the 2008 Equity Incentive Plan (the “Plan”), which entitles employees, consultants and Directors of the Company and its subsidiaries to receive options, stock appreciation rights, stock grants, stock units and dividend equivalents.</w:t>
      </w:r>
    </w:p>
    <w:p>
      <w:pPr>
        <w:spacing w:after="0" w:line="38" w:lineRule="exact"/>
        <w:rPr>
          <w:rFonts w:ascii="Times New Roman" w:cs="Times New Roman" w:eastAsia="Times New Roman" w:hAnsi="Times New Roman"/>
          <w:sz w:val="18"/>
          <w:szCs w:val="18"/>
          <w:color w:val="auto"/>
        </w:rPr>
      </w:pPr>
    </w:p>
    <w:p>
      <w:pPr>
        <w:ind w:left="46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w:t>
      </w:r>
    </w:p>
    <w:p>
      <w:pPr>
        <w:spacing w:after="0" w:line="51" w:lineRule="exact"/>
        <w:rPr>
          <w:rFonts w:ascii="Times New Roman" w:cs="Times New Roman" w:eastAsia="Times New Roman" w:hAnsi="Times New Roman"/>
          <w:sz w:val="18"/>
          <w:szCs w:val="18"/>
          <w:color w:val="auto"/>
        </w:rPr>
      </w:pPr>
    </w:p>
    <w:p>
      <w:pPr>
        <w:ind w:left="460" w:right="6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8"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8"/>
          <w:szCs w:val="18"/>
          <w:color w:val="auto"/>
        </w:rPr>
        <w:t>On August 14, 2008 the Company granted a total of 780,000 restricted share units under the Plan to the Chief Executive Officer, Chief Financial Officer and Chief Commercial Officer. The shares vest over a period of three years; one third on the first anniversary of the merger, one third on the second anniversary and one third on the third anniversary.</w:t>
      </w:r>
    </w:p>
    <w:p>
      <w:pPr>
        <w:spacing w:after="0" w:line="51"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On November 12, 2008 the Company granted 80,000 restricted share units under the Plan to the Chief Technical Officer. The shares vest over a period of two years; half on the first anniversary of the merger and half on the second anniversary.</w:t>
      </w:r>
    </w:p>
    <w:p>
      <w:pPr>
        <w:spacing w:after="0" w:line="39"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On November 12, 2008 the Company granted 37,671 restricted share units under the Plan to the Directors of the Company which vested on January 1, 2009.</w:t>
      </w:r>
    </w:p>
    <w:p>
      <w:pPr>
        <w:spacing w:after="0" w:line="1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20"/>
          </w:cols>
          <w:pgMar w:left="24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 (continued)</w:t>
      </w:r>
    </w:p>
    <w:p>
      <w:pPr>
        <w:spacing w:after="0" w:line="159" w:lineRule="exact"/>
        <w:rPr>
          <w:rFonts w:ascii="Times New Roman" w:cs="Times New Roman" w:eastAsia="Times New Roman" w:hAnsi="Times New Roman"/>
          <w:sz w:val="18"/>
          <w:szCs w:val="18"/>
          <w:color w:val="auto"/>
        </w:rPr>
      </w:pPr>
    </w:p>
    <w:p>
      <w:pPr>
        <w:ind w:left="460" w:right="4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restricted share units on issue is calculated by multiplying the number of share units by the share value at the grant date, which is discounted for dividends forfeited over the vesting period.</w:t>
      </w:r>
    </w:p>
    <w:p>
      <w:pPr>
        <w:spacing w:after="0" w:line="38" w:lineRule="exact"/>
        <w:rPr>
          <w:rFonts w:ascii="Times New Roman" w:cs="Times New Roman" w:eastAsia="Times New Roman" w:hAnsi="Times New Roman"/>
          <w:sz w:val="18"/>
          <w:szCs w:val="18"/>
          <w:color w:val="auto"/>
        </w:rPr>
      </w:pPr>
    </w:p>
    <w:p>
      <w:pPr>
        <w:ind w:left="460" w:right="4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awards granted by the Company during this period. There were no share based compensation schemes in place in the predecessor periods, and therefore no comparatives are provided.</w:t>
      </w:r>
    </w:p>
    <w:p>
      <w:pPr>
        <w:spacing w:after="0" w:line="3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awards are summarized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r>
      <w:tr>
        <w:trPr>
          <w:trHeight w:val="125"/>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400" w:type="dxa"/>
            <w:vAlign w:val="bottom"/>
            <w:tcBorders>
              <w:top w:val="single" w:sz="8" w:color="auto"/>
            </w:tcBorders>
            <w:gridSpan w:val="2"/>
          </w:tcPr>
          <w:p>
            <w:pPr>
              <w:jc w:val="right"/>
              <w:ind w:right="7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6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Weighted Average</w:t>
            </w:r>
          </w:p>
        </w:tc>
        <w:tc>
          <w:tcPr>
            <w:tcW w:w="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2007</w:t>
            </w:r>
          </w:p>
        </w:tc>
        <w:tc>
          <w:tcPr>
            <w:tcW w:w="14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Granted – August 14, 2008</w:t>
            </w: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780,000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w w:val="95"/>
              </w:rPr>
              <w:t>7.37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 November 12, 2008</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117,671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w w:val="95"/>
              </w:rPr>
              <w:t>2.80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2008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897,671</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5"/>
              </w:rPr>
              <w:t>6.77</w:t>
            </w:r>
          </w:p>
        </w:tc>
        <w:tc>
          <w:tcPr>
            <w:tcW w:w="20" w:type="dxa"/>
            <w:vAlign w:val="bottom"/>
          </w:tcPr>
          <w:p>
            <w:pPr>
              <w:spacing w:after="0"/>
              <w:rPr>
                <w:sz w:val="18"/>
                <w:szCs w:val="18"/>
                <w:color w:val="auto"/>
              </w:rPr>
            </w:pPr>
          </w:p>
        </w:tc>
      </w:tr>
    </w:tbl>
    <w:p>
      <w:pPr>
        <w:spacing w:after="0" w:line="80" w:lineRule="exact"/>
        <w:rPr>
          <w:sz w:val="20"/>
          <w:szCs w:val="20"/>
          <w:color w:val="auto"/>
        </w:rPr>
      </w:pPr>
    </w:p>
    <w:p>
      <w:pPr>
        <w:jc w:val="both"/>
        <w:ind w:left="460" w:right="20"/>
        <w:spacing w:after="0" w:line="262" w:lineRule="auto"/>
        <w:rPr>
          <w:sz w:val="20"/>
          <w:szCs w:val="20"/>
          <w:color w:val="auto"/>
        </w:rPr>
      </w:pPr>
      <w:r>
        <w:rPr>
          <w:rFonts w:ascii="Times New Roman" w:cs="Times New Roman" w:eastAsia="Times New Roman" w:hAnsi="Times New Roman"/>
          <w:sz w:val="18"/>
          <w:szCs w:val="18"/>
          <w:color w:val="auto"/>
        </w:rPr>
        <w:t>The fair value at the grant dates are $7.37 for the grants on August 14, 2008 and $2.80 for the grants on November 12, 2008, both of which are the average closing prices for the common stock surrounding those dates. The share values are discounted by 10.75% (the same rate used to discount the Class C shares in the purchase price allocation) and for the estimated $0.23 quarterly dividend over the relevant vesting periods.</w:t>
      </w:r>
    </w:p>
    <w:p>
      <w:pPr>
        <w:spacing w:after="0" w:line="51" w:lineRule="exact"/>
        <w:rPr>
          <w:sz w:val="20"/>
          <w:szCs w:val="20"/>
          <w:color w:val="auto"/>
        </w:rPr>
      </w:pPr>
    </w:p>
    <w:p>
      <w:pPr>
        <w:ind w:left="460"/>
        <w:spacing w:after="0" w:line="301" w:lineRule="auto"/>
        <w:rPr>
          <w:sz w:val="20"/>
          <w:szCs w:val="20"/>
          <w:color w:val="auto"/>
        </w:rPr>
      </w:pPr>
      <w:r>
        <w:rPr>
          <w:rFonts w:ascii="Times New Roman" w:cs="Times New Roman" w:eastAsia="Times New Roman" w:hAnsi="Times New Roman"/>
          <w:sz w:val="16"/>
          <w:szCs w:val="16"/>
          <w:color w:val="auto"/>
        </w:rPr>
        <w:t>Using the graded vesting method of expensing the restricted stock unit grants, the weighted average fair value of the shares calculated thereon is recognized as compensation costs in the income statement over the vesting period. During the period August 14, 2008 to December 31, 2008, the Company recognized a total of $1,167 share based compensation costs (2007: Nil). As at December 31, 2008, there was a total of $3,363 unrecognized compensation costs relating to the above share based awards (2007: Nil). The remaining costs are expected to be recognized over a period of 32 months.</w:t>
      </w:r>
    </w:p>
    <w:p>
      <w:pPr>
        <w:spacing w:after="0" w:line="223"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associated with concentration</w:t>
      </w:r>
    </w:p>
    <w:p>
      <w:pPr>
        <w:spacing w:after="0" w:line="9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exposed to certain concentration risks that may adversely affect the Company’s financial position in the near term:</w:t>
      </w:r>
    </w:p>
    <w:p>
      <w:pPr>
        <w:spacing w:after="0" w:line="90" w:lineRule="exact"/>
        <w:rPr>
          <w:rFonts w:ascii="Times New Roman" w:cs="Times New Roman" w:eastAsia="Times New Roman" w:hAnsi="Times New Roman"/>
          <w:sz w:val="18"/>
          <w:szCs w:val="18"/>
          <w:color w:val="auto"/>
        </w:rPr>
      </w:pPr>
    </w:p>
    <w:p>
      <w:pPr>
        <w:ind w:left="900" w:right="340" w:hanging="446"/>
        <w:spacing w:after="0" w:line="334" w:lineRule="auto"/>
        <w:tabs>
          <w:tab w:leader="none" w:pos="90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concentration of credit risk with respect to cash and cash equivalents at December 31, 2008 to the extent that substantially all of the amounts are deposited with one bank. However, the Company believes this risk is remote as the bank is a high credit quality financial institution.</w:t>
      </w:r>
    </w:p>
    <w:p>
      <w:pPr>
        <w:spacing w:after="0" w:line="1"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derives 100% of its revenue from CMA CGM which is itself exposed to the slowdown in the container market industry.</w:t>
      </w:r>
    </w:p>
    <w:p>
      <w:pPr>
        <w:spacing w:after="0" w:line="90" w:lineRule="exact"/>
        <w:rPr>
          <w:rFonts w:ascii="Times New Roman" w:cs="Times New Roman" w:eastAsia="Times New Roman" w:hAnsi="Times New Roman"/>
          <w:sz w:val="18"/>
          <w:szCs w:val="18"/>
          <w:color w:val="auto"/>
        </w:rPr>
      </w:pPr>
    </w:p>
    <w:p>
      <w:pPr>
        <w:ind w:left="900" w:right="380" w:hanging="446"/>
        <w:spacing w:after="0" w:line="275" w:lineRule="auto"/>
        <w:tabs>
          <w:tab w:leader="none" w:pos="9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fund its future acquisition of vessels is dependent upon the Company’s lenders to fulfil their obligations under the credit facility.</w:t>
      </w:r>
    </w:p>
    <w:p>
      <w:pPr>
        <w:spacing w:after="0" w:line="23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Earnings per share</w:t>
      </w:r>
    </w:p>
    <w:p>
      <w:pPr>
        <w:spacing w:after="0" w:line="92" w:lineRule="exact"/>
        <w:rPr>
          <w:rFonts w:ascii="Times New Roman" w:cs="Times New Roman" w:eastAsia="Times New Roman" w:hAnsi="Times New Roman"/>
          <w:sz w:val="18"/>
          <w:szCs w:val="18"/>
          <w:color w:val="auto"/>
        </w:rPr>
      </w:pPr>
    </w:p>
    <w:p>
      <w:pPr>
        <w:ind w:left="4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earnings per common share presented under the two-class method is computed by dividing the earnings applicable to common stockholders by the weighted average number of common shares outstanding for the period. At December 31, 2008, there were 45,031,348 warrants to purchase Class A common shares outstanding, including 5,500,000 sponsor warrants (which must be exercised on a cashless basis), at an exercise price of $6, and there were 860,000 restricted stock units authorized as part of management’s equity incentive plan. As of December 31, 2008 only Class A and B common shares are participating securities.</w:t>
      </w:r>
    </w:p>
    <w:p>
      <w:pPr>
        <w:spacing w:after="0" w:line="57" w:lineRule="exact"/>
        <w:rPr>
          <w:rFonts w:ascii="Times New Roman" w:cs="Times New Roman" w:eastAsia="Times New Roman" w:hAnsi="Times New Roman"/>
          <w:sz w:val="18"/>
          <w:szCs w:val="18"/>
          <w:color w:val="auto"/>
        </w:rPr>
      </w:pPr>
    </w:p>
    <w:p>
      <w:pPr>
        <w:ind w:left="4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diluted weighted average number of Class A common shares outstanding as at December 31, 2008 is the same as the basic weighted average number of shares. As there is a loss in the period ended December 31, 2008 it is considered anti dilutive to include instruments that convert to Class A common shares.</w:t>
      </w:r>
    </w:p>
    <w:p>
      <w:pPr>
        <w:spacing w:after="0" w:line="13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w:t>
      </w:r>
    </w:p>
    <w:p>
      <w:pPr>
        <w:spacing w:after="0" w:line="90" w:lineRule="exact"/>
        <w:rPr>
          <w:rFonts w:ascii="Times New Roman" w:cs="Times New Roman" w:eastAsia="Times New Roman" w:hAnsi="Times New Roman"/>
          <w:sz w:val="18"/>
          <w:szCs w:val="18"/>
          <w:color w:val="auto"/>
        </w:rPr>
      </w:pPr>
    </w:p>
    <w:p>
      <w:pPr>
        <w:ind w:left="4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created 7,405,956 shares of Class B common shares. Class B common shareholders were not entitled to receive dividends in respect of income prior to the fourth quarter of 2008 and their dividend rights is be subordinated to those of holders of Class A common shares.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 (continued)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56" w:lineRule="exact"/>
        <w:rPr>
          <w:sz w:val="20"/>
          <w:szCs w:val="20"/>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events</w:t>
      </w:r>
    </w:p>
    <w:p>
      <w:pPr>
        <w:spacing w:after="0" w:line="92" w:lineRule="exact"/>
        <w:rPr>
          <w:rFonts w:ascii="Times New Roman" w:cs="Times New Roman" w:eastAsia="Times New Roman" w:hAnsi="Times New Roman"/>
          <w:sz w:val="18"/>
          <w:szCs w:val="18"/>
          <w:color w:val="auto"/>
        </w:rPr>
      </w:pPr>
    </w:p>
    <w:p>
      <w:pPr>
        <w:ind w:left="900" w:right="100" w:hanging="446"/>
        <w:spacing w:after="0" w:line="289" w:lineRule="auto"/>
        <w:tabs>
          <w:tab w:leader="none" w:pos="90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10, 2009 the Company announced it had amended the terms of its $800 million credit agreement. Under the amendment, the maximum permitted loan to value maintenance ratio will be increased to 100%, from 75% previously, applicable for test dates in the period April 30, 2009 to April 30, 2010. During this period, the Company will have no restrictions on its ability to distribute dividends unless the loan to value ratio exceeds 90%, at which point the Company will be required to place 50% of its quarterly cash available for distribution in a pledged account. The pledged account would be released back to the Company if loan to value falls back below 90% during a subsequent valuation period. As part of the amended facility, the Company has agreed to increase the margin of interest paid on the existing loan to value pricing grid by 50 basis points, and the grid has been extended to accommodate higher loan to value ratios. The facility will now bear an interest margin ranging from 1.25% to 2.75% over LIBOR, depending on loan to value. In addition, the commitment fee will increase to 0.50% from 0.25% and the maximum availability under the credit facility will begin to amortize from December 2011 rather than December 2012 previously.</w:t>
      </w:r>
    </w:p>
    <w:p>
      <w:pPr>
        <w:spacing w:after="0" w:line="253" w:lineRule="exact"/>
        <w:rPr>
          <w:rFonts w:ascii="Times New Roman" w:cs="Times New Roman" w:eastAsia="Times New Roman" w:hAnsi="Times New Roman"/>
          <w:sz w:val="16"/>
          <w:szCs w:val="16"/>
          <w:color w:val="auto"/>
        </w:rPr>
      </w:pPr>
    </w:p>
    <w:p>
      <w:pPr>
        <w:ind w:left="900" w:right="300" w:hanging="446"/>
        <w:spacing w:after="0" w:line="27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10, 2009, the Company announced a fourth quarter dividend of $0.23 per Class A common share, unit and Class B share that will be paid on March 5, 2009 to Class A common shareholders and unit holders and Class B shareholders of record as of February 20, 2009.</w:t>
      </w:r>
    </w:p>
    <w:p>
      <w:pPr>
        <w:spacing w:after="0" w:line="38" w:lineRule="exact"/>
        <w:rPr>
          <w:rFonts w:ascii="Times New Roman" w:cs="Times New Roman" w:eastAsia="Times New Roman" w:hAnsi="Times New Roman"/>
          <w:sz w:val="18"/>
          <w:szCs w:val="18"/>
          <w:color w:val="auto"/>
        </w:rPr>
      </w:pPr>
    </w:p>
    <w:p>
      <w:pPr>
        <w:ind w:left="900" w:right="120" w:hanging="446"/>
        <w:spacing w:after="0" w:line="25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2009, the Company agreed a further amendment to the terms of its $800 million credit agreement in the light of recent significant falls in charter free market values of containerships. During the period from April 30, 2009 to June 30, 2009 there will be no new valuations and the loan to value test will not be performed. Global Ship Lease, Inc. will not declare or pay any dividends to its common shareholders during the period and the facility will bear an interest margin of 2.75%. The Company is in active discussion with its bank group to agree a resolution to the loan to value maintenance covenant and amend the credit facility agreement to levels that Global Ship Lease, Inc. expects to be able to comply with in future periods.</w:t>
      </w:r>
    </w:p>
    <w:p>
      <w:pPr>
        <w:spacing w:after="0" w:line="58"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note 16, the 12,375,000 Class C common shares held by CMA CGM converted on a one for one basis to Class A common shares on January 1, 2009.</w:t>
      </w:r>
    </w:p>
    <w:p>
      <w:pPr>
        <w:spacing w:after="0" w:line="23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events (unaudited)</w:t>
      </w:r>
    </w:p>
    <w:p>
      <w:pPr>
        <w:spacing w:after="0" w:line="92" w:lineRule="exact"/>
        <w:rPr>
          <w:rFonts w:ascii="Times New Roman" w:cs="Times New Roman" w:eastAsia="Times New Roman" w:hAnsi="Times New Roman"/>
          <w:sz w:val="18"/>
          <w:szCs w:val="18"/>
          <w:color w:val="auto"/>
        </w:rPr>
      </w:pPr>
    </w:p>
    <w:p>
      <w:pPr>
        <w:ind w:left="4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ratio, to be determined at the end of April and November each year.</w:t>
      </w:r>
    </w:p>
    <w:p>
      <w:pPr>
        <w:spacing w:after="0" w:line="58" w:lineRule="exact"/>
        <w:rPr>
          <w:rFonts w:ascii="Times New Roman" w:cs="Times New Roman" w:eastAsia="Times New Roman" w:hAnsi="Times New Roman"/>
          <w:sz w:val="18"/>
          <w:szCs w:val="18"/>
          <w:color w:val="auto"/>
        </w:rPr>
      </w:pPr>
    </w:p>
    <w:p>
      <w:pPr>
        <w:ind w:left="4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amendment, all undrawn commitments of $200,900 were cancelled after the delivery of the CMA CGM Berlioz. No further commitment fees are payable subsequent to the cancellation of the undrawn commitments. The Company may not declare or pay dividends to common shareholders during the period up to November 30, 2010 or thereafter until the loan to value ratio is at or below 75%.</w:t>
      </w:r>
    </w:p>
    <w:p>
      <w:pPr>
        <w:spacing w:after="0" w:line="51" w:lineRule="exact"/>
        <w:rPr>
          <w:rFonts w:ascii="Times New Roman" w:cs="Times New Roman" w:eastAsia="Times New Roman" w:hAnsi="Times New Roman"/>
          <w:sz w:val="18"/>
          <w:szCs w:val="18"/>
          <w:color w:val="auto"/>
        </w:rPr>
      </w:pPr>
    </w:p>
    <w:p>
      <w:pPr>
        <w:ind w:left="46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repayment of the OAP Loan was made in November 2009 in an amount equal to free cash in excess of $20,000 determined as at the end of October 2009. The second repayment is due in February 2010 on the same basis, with free cash determined as at the end of January 2010. The OAP Loan must be repaid in full by June 30, 2010.</w:t>
      </w:r>
    </w:p>
    <w:p>
      <w:pPr>
        <w:spacing w:after="0" w:line="51" w:lineRule="exact"/>
        <w:rPr>
          <w:rFonts w:ascii="Times New Roman" w:cs="Times New Roman" w:eastAsia="Times New Roman" w:hAnsi="Times New Roman"/>
          <w:sz w:val="18"/>
          <w:szCs w:val="18"/>
          <w:color w:val="auto"/>
        </w:rPr>
      </w:pPr>
    </w:p>
    <w:p>
      <w:pPr>
        <w:ind w:left="460" w:right="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borrowings under the credit facility are to be repaid quarterly commencing June 30, 2010 in an amount equal to free cash in excess of $20,000 determined as at the previous month end subject to a minimum of $40,000 repayment a year on a rolling 12 month trailing basis. Once loan to value is at or below 75%, repayment of borrowings will become fixed at $10,000 per quarter. The final maturity date of the credit facility remains August 14, 2016 at which point any remaining outstanding balance must be repaid.</w:t>
      </w:r>
    </w:p>
    <w:p>
      <w:pPr>
        <w:spacing w:after="0" w:line="55" w:lineRule="exact"/>
        <w:rPr>
          <w:rFonts w:ascii="Times New Roman" w:cs="Times New Roman" w:eastAsia="Times New Roman" w:hAnsi="Times New Roman"/>
          <w:sz w:val="18"/>
          <w:szCs w:val="18"/>
          <w:color w:val="auto"/>
        </w:rPr>
      </w:pPr>
    </w:p>
    <w:p>
      <w:pPr>
        <w:ind w:left="460" w:right="4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August 20, 2009 amendment, CMA CGM has agreed to defer redemption of the $48,000 preferred shares it holds until after the final maturity of the credit facility in August 2016, subject to any earlier redemption from proceeds from the exercise of warrants (see Note 16), and also to retain its current holding of approximately 24.4 million common shares in the Company until at least November 30, 2010.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455"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20-F/A of Global Ship Lease,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40" w:hanging="452"/>
        <w:spacing w:after="0" w:line="275"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38"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38" w:lineRule="exact"/>
        <w:rPr>
          <w:rFonts w:ascii="Times New Roman" w:cs="Times New Roman" w:eastAsia="Times New Roman" w:hAnsi="Times New Roman"/>
          <w:sz w:val="18"/>
          <w:szCs w:val="18"/>
          <w:color w:val="auto"/>
        </w:rPr>
      </w:pPr>
    </w:p>
    <w:p>
      <w:pPr>
        <w:ind w:left="460" w:right="660" w:hanging="452"/>
        <w:spacing w:after="0" w:line="275"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p>
      <w:pPr>
        <w:spacing w:after="0"/>
        <w:tabs>
          <w:tab w:leader="none" w:pos="5480" w:val="left"/>
          <w:tab w:leader="none" w:pos="6040" w:val="left"/>
        </w:tabs>
        <w:rPr>
          <w:sz w:val="20"/>
          <w:szCs w:val="20"/>
          <w:color w:val="auto"/>
        </w:rPr>
      </w:pPr>
      <w:r>
        <w:rPr>
          <w:rFonts w:ascii="Times New Roman" w:cs="Times New Roman" w:eastAsia="Times New Roman" w:hAnsi="Times New Roman"/>
          <w:sz w:val="18"/>
          <w:szCs w:val="18"/>
          <w:color w:val="auto"/>
        </w:rPr>
        <w:t>Dated: December 9, 2009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J. Webber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20-F/A of Global Ship Lease,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40" w:hanging="452"/>
        <w:spacing w:after="0" w:line="275"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38"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38" w:lineRule="exact"/>
        <w:rPr>
          <w:rFonts w:ascii="Times New Roman" w:cs="Times New Roman" w:eastAsia="Times New Roman" w:hAnsi="Times New Roman"/>
          <w:sz w:val="18"/>
          <w:szCs w:val="18"/>
          <w:color w:val="auto"/>
        </w:rPr>
      </w:pPr>
    </w:p>
    <w:p>
      <w:pPr>
        <w:ind w:left="460" w:right="660" w:hanging="452"/>
        <w:spacing w:after="0" w:line="275"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9,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Susan J. Cook</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69"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Global Ship Lease,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20-F/A for the year ended December 31, 2008 as filed with the Securities and Exchange Commission on the date hereof (the “</w:t>
      </w:r>
      <w:r>
        <w:rPr>
          <w:rFonts w:ascii="Times New Roman" w:cs="Times New Roman" w:eastAsia="Times New Roman" w:hAnsi="Times New Roman"/>
          <w:sz w:val="18"/>
          <w:szCs w:val="18"/>
          <w:b w:val="1"/>
          <w:bCs w:val="1"/>
          <w:i w:val="1"/>
          <w:iCs w:val="1"/>
          <w:color w:val="auto"/>
        </w:rPr>
        <w:t>Form 20-F</w:t>
      </w:r>
      <w:r>
        <w:rPr>
          <w:rFonts w:ascii="Times New Roman" w:cs="Times New Roman" w:eastAsia="Times New Roman" w:hAnsi="Times New Roman"/>
          <w:sz w:val="18"/>
          <w:szCs w:val="18"/>
          <w:color w:val="auto"/>
        </w:rPr>
        <w:t>”), I Ian J. Webber, Chief Executive Officer of the Company, certify, pursuant to 18 U.S.C. §1350, as adopted pursuant to §906 of the Sarbanes-Oxley Act of 2002, that:</w:t>
      </w:r>
    </w:p>
    <w:p>
      <w:pPr>
        <w:spacing w:after="0" w:line="48" w:lineRule="exact"/>
        <w:rPr>
          <w:sz w:val="20"/>
          <w:szCs w:val="20"/>
          <w:color w:val="auto"/>
        </w:rPr>
      </w:pPr>
    </w:p>
    <w:p>
      <w:pPr>
        <w:ind w:left="900" w:right="260" w:hanging="446"/>
        <w:spacing w:after="0" w:line="275"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20-F fully complies with the requirements of Section 13(a) or 15(d) of the Securities Exchange Act of 1934 (15 U.S.C. 78m or 78o(d));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9, 2009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Ian J. Webber</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69"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Global Ship Lease,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20-F/A for the year ended December 31, 2008 as filed with the Securities and Exchange Commission on the date hereof (the “</w:t>
      </w:r>
      <w:r>
        <w:rPr>
          <w:rFonts w:ascii="Times New Roman" w:cs="Times New Roman" w:eastAsia="Times New Roman" w:hAnsi="Times New Roman"/>
          <w:sz w:val="18"/>
          <w:szCs w:val="18"/>
          <w:b w:val="1"/>
          <w:bCs w:val="1"/>
          <w:i w:val="1"/>
          <w:iCs w:val="1"/>
          <w:color w:val="auto"/>
        </w:rPr>
        <w:t>Form 20-F</w:t>
      </w:r>
      <w:r>
        <w:rPr>
          <w:rFonts w:ascii="Times New Roman" w:cs="Times New Roman" w:eastAsia="Times New Roman" w:hAnsi="Times New Roman"/>
          <w:sz w:val="18"/>
          <w:szCs w:val="18"/>
          <w:color w:val="auto"/>
        </w:rPr>
        <w:t>”), I Susan J. Cook, Chief Financial Officer of the Company, certify, pursuant to 18 U.S.C. §1350, as adopted pursuant to §906 of the Sarbanes-Oxley Act of 2002, that:</w:t>
      </w:r>
    </w:p>
    <w:p>
      <w:pPr>
        <w:spacing w:after="0" w:line="48" w:lineRule="exact"/>
        <w:rPr>
          <w:sz w:val="20"/>
          <w:szCs w:val="20"/>
          <w:color w:val="auto"/>
        </w:rPr>
      </w:pPr>
    </w:p>
    <w:p>
      <w:pPr>
        <w:ind w:left="900" w:right="260" w:hanging="446"/>
        <w:spacing w:after="0" w:line="275"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20-F fully complies with the requirements of Section 13(a) or 15(d) of the Securities Exchange Act of 1934 (15 U.S.C. 78m or 78o(d));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9, 2009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Susan J. Cook</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333-156454 of Global Ship Lease, Inc. of our reports dated June 19, 2009 relating to the combined financial statements of Global Ship Lease, Inc., and its Predecessor, which appears in this Amendment No 1 to the Annual Report on Form 20-F.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PricewaterhouseCoopers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Neuilly-sir-Seine, France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2009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lowerRoman"/>
      <w:start w:val="2"/>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1)"/>
      <w:numFmt w:val="decimal"/>
      <w:start w:val="2"/>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upperLetter"/>
      <w:start w:val="1"/>
    </w:lvl>
    <w:lvl w:ilvl="1">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decimal"/>
      <w:start w:val="2"/>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1."/>
      <w:numFmt w:val="decimal"/>
      <w:start w:val="1"/>
    </w:lvl>
    <w:lvl w:ilvl="1">
      <w:lvlJc w:val="left"/>
      <w:lvlText w:val="(%2)"/>
      <w:numFmt w:val="lowerLetter"/>
      <w:start w:val="1"/>
    </w:lvl>
  </w:abstractNum>
  <w:abstractNum w:abstractNumId="52">
    <w:nsid w:val="7FFFCA11"/>
    <w:multiLevelType w:val="hybridMultilevel"/>
    <w:lvl w:ilvl="0">
      <w:lvlJc w:val="left"/>
      <w:lvlText w:val="%1."/>
      <w:numFmt w:val="decimal"/>
      <w:start w:val="2"/>
    </w:lvl>
    <w:lvl w:ilvl="1">
      <w:lvlJc w:val="left"/>
      <w:lvlText w:val="(%2)"/>
      <w:numFmt w:val="lowerLetter"/>
      <w:start w:val="2"/>
    </w:lvl>
  </w:abstractNum>
  <w:abstractNum w:abstractNumId="53">
    <w:nsid w:val="1A27709E"/>
    <w:multiLevelType w:val="hybridMultilevel"/>
    <w:lvl w:ilvl="0">
      <w:lvlJc w:val="left"/>
      <w:lvlText w:val="(%1)"/>
      <w:numFmt w:val="decimal"/>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3"/>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decimal"/>
      <w:start w:val="3"/>
    </w:lvl>
  </w:abstractNum>
  <w:abstractNum w:abstractNumId="58">
    <w:nsid w:val="6F6DD9AC"/>
    <w:multiLevelType w:val="hybridMultilevel"/>
    <w:lvl w:ilvl="0">
      <w:lvlJc w:val="left"/>
      <w:lvlText w:val="%1."/>
      <w:numFmt w:val="decimal"/>
      <w:start w:val="3"/>
    </w:lvl>
  </w:abstractNum>
  <w:abstractNum w:abstractNumId="59">
    <w:nsid w:val="94211F2"/>
    <w:multiLevelType w:val="hybridMultilevel"/>
    <w:lvl w:ilvl="0">
      <w:lvlJc w:val="left"/>
      <w:lvlText w:val="(%1)"/>
      <w:numFmt w:val="lowerLetter"/>
      <w:start w:val="1"/>
    </w:lvl>
  </w:abstractNum>
  <w:abstractNum w:abstractNumId="60">
    <w:nsid w:val="885E1B"/>
    <w:multiLevelType w:val="hybridMultilevel"/>
    <w:lvl w:ilvl="0">
      <w:lvlJc w:val="left"/>
      <w:lvlText w:val="%1."/>
      <w:numFmt w:val="decimal"/>
      <w:start w:val="4"/>
    </w:lvl>
  </w:abstractNum>
  <w:abstractNum w:abstractNumId="61">
    <w:nsid w:val="76272110"/>
    <w:multiLevelType w:val="hybridMultilevel"/>
    <w:lvl w:ilvl="0">
      <w:lvlJc w:val="left"/>
      <w:lvlText w:val="(%1)"/>
      <w:numFmt w:val="lowerLetter"/>
      <w:start w:val="1"/>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lowerLetter"/>
      <w:start w:val="3"/>
    </w:lvl>
  </w:abstractNum>
  <w:abstractNum w:abstractNumId="64">
    <w:nsid w:val="14E17E33"/>
    <w:multiLevelType w:val="hybridMultilevel"/>
    <w:lvl w:ilvl="0">
      <w:lvlJc w:val="left"/>
      <w:lvlText w:val="(%1)"/>
      <w:numFmt w:val="lowerLetter"/>
      <w:start w:val="4"/>
    </w:lvl>
  </w:abstractNum>
  <w:abstractNum w:abstractNumId="65">
    <w:nsid w:val="3222E7CD"/>
    <w:multiLevelType w:val="hybridMultilevel"/>
    <w:lvl w:ilvl="0">
      <w:lvlJc w:val="left"/>
      <w:lvlText w:val="(%1)"/>
      <w:numFmt w:val="lowerLetter"/>
      <w:start w:val="5"/>
    </w:lvl>
  </w:abstractNum>
  <w:abstractNum w:abstractNumId="66">
    <w:nsid w:val="74DE0EE3"/>
    <w:multiLevelType w:val="hybridMultilevel"/>
    <w:lvl w:ilvl="0">
      <w:lvlJc w:val="left"/>
      <w:lvlText w:val="(%1)"/>
      <w:numFmt w:val="lowerLetter"/>
      <w:start w:val="6"/>
    </w:lvl>
  </w:abstractNum>
  <w:abstractNum w:abstractNumId="67">
    <w:nsid w:val="68EBC550"/>
    <w:multiLevelType w:val="hybridMultilevel"/>
    <w:lvl w:ilvl="0">
      <w:lvlJc w:val="left"/>
      <w:lvlText w:val="(%1)"/>
      <w:numFmt w:val="lowerLetter"/>
      <w:start w:val="7"/>
    </w:lvl>
  </w:abstractNum>
  <w:abstractNum w:abstractNumId="68">
    <w:nsid w:val="2DF6D648"/>
    <w:multiLevelType w:val="hybridMultilevel"/>
    <w:lvl w:ilvl="0">
      <w:lvlJc w:val="left"/>
      <w:lvlText w:val="%1."/>
      <w:numFmt w:val="decimal"/>
      <w:start w:val="4"/>
    </w:lvl>
    <w:lvl w:ilvl="1">
      <w:lvlJc w:val="left"/>
      <w:lvlText w:val="(%2)"/>
      <w:numFmt w:val="lowerLetter"/>
      <w:start w:val="7"/>
    </w:lvl>
  </w:abstractNum>
  <w:abstractNum w:abstractNumId="69">
    <w:nsid w:val="46B7D447"/>
    <w:multiLevelType w:val="hybridMultilevel"/>
    <w:lvl w:ilvl="0">
      <w:lvlJc w:val="left"/>
      <w:lvlText w:val="(%1)"/>
      <w:numFmt w:val="lowerLetter"/>
      <w:start w:val="8"/>
    </w:lvl>
  </w:abstractNum>
  <w:abstractNum w:abstractNumId="70">
    <w:nsid w:val="4A2AC315"/>
    <w:multiLevelType w:val="hybridMultilevel"/>
    <w:lvl w:ilvl="0">
      <w:lvlJc w:val="left"/>
      <w:lvlText w:val="(%1)"/>
      <w:numFmt w:val="lowerRoman"/>
      <w:start w:val="1"/>
    </w:lvl>
  </w:abstractNum>
  <w:abstractNum w:abstractNumId="71">
    <w:nsid w:val="39EE015C"/>
    <w:multiLevelType w:val="hybridMultilevel"/>
    <w:lvl w:ilvl="0">
      <w:lvlJc w:val="left"/>
      <w:lvlText w:val="(%1)"/>
      <w:numFmt w:val="lowerLetter"/>
      <w:start w:val="10"/>
    </w:lvl>
  </w:abstractNum>
  <w:abstractNum w:abstractNumId="72">
    <w:nsid w:val="57FC4FBB"/>
    <w:multiLevelType w:val="hybridMultilevel"/>
    <w:lvl w:ilvl="0">
      <w:lvlJc w:val="left"/>
      <w:lvlText w:val="(%1)"/>
      <w:numFmt w:val="lowerLetter"/>
      <w:start w:val="11"/>
    </w:lvl>
    <w:lvl w:ilvl="1">
      <w:lvlJc w:val="left"/>
      <w:lvlText w:val="(%2)"/>
      <w:numFmt w:val="lowerRoman"/>
      <w:start w:val="1"/>
    </w:lvl>
  </w:abstractNum>
  <w:abstractNum w:abstractNumId="73">
    <w:nsid w:val="CC1016F"/>
    <w:multiLevelType w:val="hybridMultilevel"/>
    <w:lvl w:ilvl="0">
      <w:lvlJc w:val="left"/>
      <w:lvlText w:val="%1."/>
      <w:numFmt w:val="decimal"/>
      <w:start w:val="4"/>
    </w:lvl>
    <w:lvl w:ilvl="1">
      <w:lvlJc w:val="left"/>
      <w:lvlText w:val="(%2)"/>
      <w:numFmt w:val="lowerLetter"/>
      <w:start w:val="11"/>
    </w:lvl>
    <w:lvl w:ilvl="2">
      <w:lvlJc w:val="left"/>
      <w:lvlText w:val="(%3)"/>
      <w:numFmt w:val="lowerLetter"/>
      <w:start w:val="35"/>
    </w:lvl>
  </w:abstractNum>
  <w:abstractNum w:abstractNumId="74">
    <w:nsid w:val="43F18422"/>
    <w:multiLevelType w:val="hybridMultilevel"/>
    <w:lvl w:ilvl="0">
      <w:lvlJc w:val="left"/>
      <w:lvlText w:val="(%1)"/>
      <w:numFmt w:val="lowerLetter"/>
      <w:start w:val="13"/>
    </w:lvl>
  </w:abstractNum>
  <w:abstractNum w:abstractNumId="75">
    <w:nsid w:val="60EF0119"/>
    <w:multiLevelType w:val="hybridMultilevel"/>
    <w:lvl w:ilvl="0">
      <w:lvlJc w:val="left"/>
      <w:lvlText w:val="(%1)"/>
      <w:numFmt w:val="lowerLetter"/>
      <w:start w:val="14"/>
    </w:lvl>
  </w:abstractNum>
  <w:abstractNum w:abstractNumId="76">
    <w:nsid w:val="26F324BA"/>
    <w:multiLevelType w:val="hybridMultilevel"/>
    <w:lvl w:ilvl="0">
      <w:lvlJc w:val="left"/>
      <w:lvlText w:val="(%1)"/>
      <w:numFmt w:val="lowerLetter"/>
      <w:start w:val="15"/>
    </w:lvl>
  </w:abstractNum>
  <w:abstractNum w:abstractNumId="77">
    <w:nsid w:val="7F01579B"/>
    <w:multiLevelType w:val="hybridMultilevel"/>
    <w:lvl w:ilvl="0">
      <w:lvlJc w:val="left"/>
      <w:lvlText w:val="%1."/>
      <w:numFmt w:val="decimal"/>
      <w:start w:val="4"/>
    </w:lvl>
  </w:abstractNum>
  <w:abstractNum w:abstractNumId="78">
    <w:nsid w:val="49DA307D"/>
    <w:multiLevelType w:val="hybridMultilevel"/>
    <w:lvl w:ilvl="0">
      <w:lvlJc w:val="left"/>
      <w:lvlText w:val="(%1)"/>
      <w:numFmt w:val="lowerLetter"/>
      <w:start w:val="16"/>
    </w:lvl>
  </w:abstractNum>
  <w:abstractNum w:abstractNumId="79">
    <w:nsid w:val="7055A5F5"/>
    <w:multiLevelType w:val="hybridMultilevel"/>
    <w:lvl w:ilvl="0">
      <w:lvlJc w:val="left"/>
      <w:lvlText w:val="(%1)"/>
      <w:numFmt w:val="lowerLetter"/>
      <w:start w:val="17"/>
    </w:lvl>
  </w:abstractNum>
  <w:abstractNum w:abstractNumId="80">
    <w:nsid w:val="5FB8370B"/>
    <w:multiLevelType w:val="hybridMultilevel"/>
    <w:lvl w:ilvl="0">
      <w:lvlJc w:val="left"/>
      <w:lvlText w:val="(%1)"/>
      <w:numFmt w:val="lowerLetter"/>
      <w:start w:val="18"/>
    </w:lvl>
  </w:abstractNum>
  <w:abstractNum w:abstractNumId="81">
    <w:nsid w:val="50801EE1"/>
    <w:multiLevelType w:val="hybridMultilevel"/>
    <w:lvl w:ilvl="0">
      <w:lvlJc w:val="left"/>
      <w:lvlText w:val="(%1)"/>
      <w:numFmt w:val="lowerLetter"/>
      <w:start w:val="19"/>
    </w:lvl>
  </w:abstractNum>
  <w:abstractNum w:abstractNumId="82">
    <w:nsid w:val="488AC1A"/>
    <w:multiLevelType w:val="hybridMultilevel"/>
    <w:lvl w:ilvl="0">
      <w:lvlJc w:val="left"/>
      <w:lvlText w:val="(%1)"/>
      <w:numFmt w:val="lowerLetter"/>
      <w:start w:val="20"/>
    </w:lvl>
  </w:abstractNum>
  <w:abstractNum w:abstractNumId="83">
    <w:nsid w:val="5FB8011C"/>
    <w:multiLevelType w:val="hybridMultilevel"/>
    <w:lvl w:ilvl="0">
      <w:lvlJc w:val="left"/>
      <w:lvlText w:val="(%1)"/>
      <w:numFmt w:val="lowerLetter"/>
      <w:start w:val="21"/>
    </w:lvl>
  </w:abstractNum>
  <w:abstractNum w:abstractNumId="84">
    <w:nsid w:val="6AA78F7F"/>
    <w:multiLevelType w:val="hybridMultilevel"/>
    <w:lvl w:ilvl="0">
      <w:lvlJc w:val="left"/>
      <w:lvlText w:val="(%1)"/>
      <w:numFmt w:val="lowerRoman"/>
      <w:start w:val="5"/>
    </w:lvl>
  </w:abstractNum>
  <w:abstractNum w:abstractNumId="85">
    <w:nsid w:val="7672BD23"/>
    <w:multiLevelType w:val="hybridMultilevel"/>
    <w:lvl w:ilvl="0">
      <w:lvlJc w:val="left"/>
      <w:lvlText w:val="(%1)"/>
      <w:numFmt w:val="lowerLetter"/>
      <w:start w:val="23"/>
    </w:lvl>
  </w:abstractNum>
  <w:abstractNum w:abstractNumId="86">
    <w:nsid w:val="6FC75AF8"/>
    <w:multiLevelType w:val="hybridMultilevel"/>
    <w:lvl w:ilvl="0">
      <w:lvlJc w:val="left"/>
      <w:lvlText w:val="%1."/>
      <w:numFmt w:val="decimal"/>
      <w:start w:val="4"/>
    </w:lvl>
    <w:lvl w:ilvl="1">
      <w:lvlJc w:val="left"/>
      <w:lvlText w:val="(%2)"/>
      <w:numFmt w:val="lowerLetter"/>
      <w:start w:val="23"/>
    </w:lvl>
  </w:abstractNum>
  <w:abstractNum w:abstractNumId="87">
    <w:nsid w:val="6A5F7029"/>
    <w:multiLevelType w:val="hybridMultilevel"/>
    <w:lvl w:ilvl="0">
      <w:lvlJc w:val="left"/>
      <w:lvlText w:val="(%1)"/>
      <w:numFmt w:val="lowerRoman"/>
      <w:start w:val="10"/>
    </w:lvl>
  </w:abstractNum>
  <w:abstractNum w:abstractNumId="88">
    <w:nsid w:val="7D5E18F8"/>
    <w:multiLevelType w:val="hybridMultilevel"/>
    <w:lvl w:ilvl="0">
      <w:lvlJc w:val="left"/>
      <w:lvlText w:val="(%1)"/>
      <w:numFmt w:val="lowerLetter"/>
      <w:start w:val="25"/>
    </w:lvl>
  </w:abstractNum>
  <w:abstractNum w:abstractNumId="89">
    <w:nsid w:val="5F3534A4"/>
    <w:multiLevelType w:val="hybridMultilevel"/>
    <w:lvl w:ilvl="0">
      <w:lvlJc w:val="left"/>
      <w:lvlText w:val="(%1)"/>
      <w:numFmt w:val="lowerLetter"/>
      <w:start w:val="26"/>
    </w:lvl>
  </w:abstractNum>
  <w:abstractNum w:abstractNumId="90">
    <w:nsid w:val="73A1821B"/>
    <w:multiLevelType w:val="hybridMultilevel"/>
    <w:lvl w:ilvl="0">
      <w:lvlJc w:val="left"/>
      <w:lvlText w:val="%1."/>
      <w:numFmt w:val="decimal"/>
      <w:start w:val="4"/>
    </w:lvl>
    <w:lvl w:ilvl="1">
      <w:lvlJc w:val="left"/>
      <w:lvlText w:val="(%2)"/>
      <w:numFmt w:val="lowerLetter"/>
      <w:start w:val="26"/>
    </w:lvl>
  </w:abstractNum>
  <w:abstractNum w:abstractNumId="91">
    <w:nsid w:val="7DE67713"/>
    <w:multiLevelType w:val="hybridMultilevel"/>
    <w:lvl w:ilvl="0">
      <w:lvlJc w:val="left"/>
      <w:lvlText w:val="%1."/>
      <w:numFmt w:val="decimal"/>
      <w:start w:val="5"/>
    </w:lvl>
  </w:abstractNum>
  <w:abstractNum w:abstractNumId="92">
    <w:nsid w:val="555C55B5"/>
    <w:multiLevelType w:val="hybridMultilevel"/>
    <w:lvl w:ilvl="0">
      <w:lvlJc w:val="left"/>
      <w:lvlText w:val="%1."/>
      <w:numFmt w:val="decimal"/>
      <w:start w:val="5"/>
    </w:lvl>
  </w:abstractNum>
  <w:abstractNum w:abstractNumId="93">
    <w:nsid w:val="3FA62ACA"/>
    <w:multiLevelType w:val="hybridMultilevel"/>
    <w:lvl w:ilvl="0">
      <w:lvlJc w:val="left"/>
      <w:lvlText w:val="%1."/>
      <w:numFmt w:val="decimal"/>
      <w:start w:val="7"/>
    </w:lvl>
  </w:abstractNum>
  <w:abstractNum w:abstractNumId="94">
    <w:nsid w:val="14FCE74E"/>
    <w:multiLevelType w:val="hybridMultilevel"/>
    <w:lvl w:ilvl="0">
      <w:lvlJc w:val="left"/>
      <w:lvlText w:val="%1."/>
      <w:numFmt w:val="decimal"/>
      <w:start w:val="8"/>
    </w:lvl>
  </w:abstractNum>
  <w:abstractNum w:abstractNumId="95">
    <w:nsid w:val="6A3DD3E8"/>
    <w:multiLevelType w:val="hybridMultilevel"/>
    <w:lvl w:ilvl="0">
      <w:lvlJc w:val="left"/>
      <w:lvlText w:val="%1."/>
      <w:numFmt w:val="decimal"/>
      <w:start w:val="8"/>
    </w:lvl>
    <w:lvl w:ilvl="1">
      <w:lvlJc w:val="left"/>
      <w:lvlText w:val="(%2)"/>
      <w:numFmt w:val="decimal"/>
      <w:start w:val="1"/>
    </w:lvl>
  </w:abstractNum>
  <w:abstractNum w:abstractNumId="96">
    <w:nsid w:val="71C91298"/>
    <w:multiLevelType w:val="hybridMultilevel"/>
    <w:lvl w:ilvl="0">
      <w:lvlJc w:val="left"/>
      <w:lvlText w:val="%1."/>
      <w:numFmt w:val="decimal"/>
      <w:start w:val="10"/>
    </w:lvl>
  </w:abstractNum>
  <w:abstractNum w:abstractNumId="97">
    <w:nsid w:val="9DAF632"/>
    <w:multiLevelType w:val="hybridMultilevel"/>
    <w:lvl w:ilvl="0">
      <w:lvlJc w:val="left"/>
      <w:lvlText w:val="%1."/>
      <w:numFmt w:val="decimal"/>
      <w:start w:val="11"/>
    </w:lvl>
  </w:abstractNum>
  <w:abstractNum w:abstractNumId="98">
    <w:nsid w:val="53299938"/>
    <w:multiLevelType w:val="hybridMultilevel"/>
    <w:lvl w:ilvl="0">
      <w:lvlJc w:val="left"/>
      <w:lvlText w:val="%1."/>
      <w:numFmt w:val="decimal"/>
      <w:start w:val="12"/>
    </w:lvl>
  </w:abstractNum>
  <w:abstractNum w:abstractNumId="99">
    <w:nsid w:val="1FBFE8E0"/>
    <w:multiLevelType w:val="hybridMultilevel"/>
    <w:lvl w:ilvl="0">
      <w:lvlJc w:val="left"/>
      <w:lvlText w:val="%1."/>
      <w:numFmt w:val="decimal"/>
      <w:start w:val="13"/>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decimal"/>
      <w:start w:val="13"/>
    </w:lvl>
  </w:abstractNum>
  <w:abstractNum w:abstractNumId="102">
    <w:nsid w:val="59ADEA3D"/>
    <w:multiLevelType w:val="hybridMultilevel"/>
    <w:lvl w:ilvl="0">
      <w:lvlJc w:val="left"/>
      <w:lvlText w:val="%1."/>
      <w:numFmt w:val="decimal"/>
      <w:start w:val="15"/>
    </w:lvl>
  </w:abstractNum>
  <w:abstractNum w:abstractNumId="103">
    <w:nsid w:val="288F1A34"/>
    <w:multiLevelType w:val="hybridMultilevel"/>
    <w:lvl w:ilvl="0">
      <w:lvlJc w:val="left"/>
      <w:lvlText w:val="%1."/>
      <w:numFmt w:val="decimal"/>
      <w:start w:val="16"/>
    </w:lvl>
  </w:abstractNum>
  <w:abstractNum w:abstractNumId="104">
    <w:nsid w:val="2A155DBC"/>
    <w:multiLevelType w:val="hybridMultilevel"/>
    <w:lvl w:ilvl="0">
      <w:lvlJc w:val="left"/>
      <w:lvlText w:val="%1."/>
      <w:numFmt w:val="decimal"/>
      <w:start w:val="16"/>
    </w:lvl>
  </w:abstractNum>
  <w:abstractNum w:abstractNumId="105">
    <w:nsid w:val="1D9F6E5F"/>
    <w:multiLevelType w:val="hybridMultilevel"/>
    <w:lvl w:ilvl="0">
      <w:lvlJc w:val="left"/>
      <w:lvlText w:val="%1."/>
      <w:numFmt w:val="decimal"/>
      <w:start w:val="18"/>
    </w:lvl>
  </w:abstractNum>
  <w:abstractNum w:abstractNumId="106">
    <w:nsid w:val="97E1B4E"/>
    <w:multiLevelType w:val="hybridMultilevel"/>
    <w:lvl w:ilvl="0">
      <w:lvlJc w:val="left"/>
      <w:lvlText w:val="%1."/>
      <w:numFmt w:val="decimal"/>
      <w:start w:val="19"/>
    </w:lvl>
    <w:lvl w:ilvl="1">
      <w:lvlJc w:val="left"/>
      <w:lvlText w:val="(%2)"/>
      <w:numFmt w:val="lowerRoman"/>
      <w:start w:val="1"/>
    </w:lvl>
  </w:abstractNum>
  <w:abstractNum w:abstractNumId="107">
    <w:nsid w:val="51088277"/>
    <w:multiLevelType w:val="hybridMultilevel"/>
    <w:lvl w:ilvl="0">
      <w:lvlJc w:val="left"/>
      <w:lvlText w:val="%1."/>
      <w:numFmt w:val="decimal"/>
      <w:start w:val="21"/>
    </w:lvl>
    <w:lvl w:ilvl="1">
      <w:lvlJc w:val="left"/>
      <w:lvlText w:val="(%2)"/>
      <w:numFmt w:val="lowerLetter"/>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2019-12-15T16:33:38Z</dcterms:created>
  <dcterms:modified xsi:type="dcterms:W3CDTF">2019-12-15T16:33:38Z</dcterms:modified>
</cp:coreProperties>
</file>