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001-34153</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GLOBAL SHIP LEASE,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 GSL Enterprises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 Irodou Attikou Street</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Kifisia, Athens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Greece, 14561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Form 20-F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Form 40-F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Quarter 2026 Results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Report on Form 6-K (this “Report”) as </w:t>
      </w:r>
      <w:r>
        <w:rPr>
          <w:rFonts w:ascii="Times New Roman" w:cs="Times New Roman" w:eastAsia="Times New Roman" w:hAnsi="Times New Roman"/>
          <w:sz w:val="18"/>
          <w:szCs w:val="18"/>
          <w:u w:val="single" w:color="auto"/>
          <w:color w:val="0000EE"/>
        </w:rPr>
        <w:t>Exhibit 99.1</w:t>
      </w:r>
      <w:r>
        <w:rPr>
          <w:rFonts w:ascii="Times New Roman" w:cs="Times New Roman" w:eastAsia="Times New Roman" w:hAnsi="Times New Roman"/>
          <w:sz w:val="18"/>
          <w:szCs w:val="18"/>
          <w:color w:val="auto"/>
        </w:rPr>
        <w:t xml:space="preserve"> is a copy of the press release of Global Ship Lease, Inc. (the “Company”), dated May 22, 2026, reporting the Company’s financial results for the three months ended March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Attached to this Report as </w:t>
      </w:r>
      <w:r>
        <w:rPr>
          <w:rFonts w:ascii="Times New Roman" w:cs="Times New Roman" w:eastAsia="Times New Roman" w:hAnsi="Times New Roman"/>
          <w:sz w:val="18"/>
          <w:szCs w:val="18"/>
          <w:u w:val="single" w:color="auto"/>
          <w:color w:val="0000EE"/>
        </w:rPr>
        <w:t>Exhibit 99.2</w:t>
      </w:r>
      <w:r>
        <w:rPr>
          <w:rFonts w:ascii="Times New Roman" w:cs="Times New Roman" w:eastAsia="Times New Roman" w:hAnsi="Times New Roman"/>
          <w:sz w:val="18"/>
          <w:szCs w:val="18"/>
          <w:color w:val="auto"/>
        </w:rPr>
        <w:t xml:space="preserve"> are the Company’s interim unaudited condensed consolidated financial statements, and the accompanying notes thereto, for the three months ended March 31, 2026.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except for the commentary of George Youroukos and Thomas Lister contained in Exhibit 99.1, is hereby incorporated by reference into the Company’s registration statements on Form F-3 (File Nos. 333-231509 and 333-290461) and Form S-8 (File Nos. 333-258992, 333-264113 and 333-294357).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225" w:lineRule="exact"/>
        <w:rPr>
          <w:sz w:val="20"/>
          <w:szCs w:val="20"/>
          <w:color w:val="auto"/>
        </w:rPr>
      </w:pPr>
    </w:p>
    <w:p>
      <w:pPr>
        <w:ind w:left="450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Lister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Investor and Media Contacts: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IGB Group</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Bryan Degnan</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646-673-9701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Leon Berman</w:t>
      </w:r>
    </w:p>
    <w:p>
      <w:pPr>
        <w:spacing w:after="0" w:line="9" w:lineRule="exact"/>
        <w:rPr>
          <w:sz w:val="20"/>
          <w:szCs w:val="20"/>
          <w:color w:val="auto"/>
        </w:rPr>
      </w:pPr>
    </w:p>
    <w:p>
      <w:pPr>
        <w:ind w:left="10220"/>
        <w:spacing w:after="0"/>
        <w:rPr>
          <w:sz w:val="20"/>
          <w:szCs w:val="20"/>
          <w:color w:val="auto"/>
        </w:rPr>
      </w:pPr>
      <w:r>
        <w:rPr>
          <w:rFonts w:ascii="Times New Roman" w:cs="Times New Roman" w:eastAsia="Times New Roman" w:hAnsi="Times New Roman"/>
          <w:sz w:val="17"/>
          <w:szCs w:val="17"/>
          <w:color w:val="auto"/>
        </w:rPr>
        <w:t>212-477-8438</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Reports Results for the First Quarter of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Forward contract cover locked in for 100% of 2026 and 86% of 2027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Annualized dividend of $2.50 per Class A Common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Opportunistic monetization of selected non-core assets</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ATHENS, GREECE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May 22, 2026 </w:t>
      </w:r>
      <w:r>
        <w:rPr>
          <w:rFonts w:ascii="Times New Roman" w:cs="Times New Roman" w:eastAsia="Times New Roman" w:hAnsi="Times New Roman"/>
          <w:sz w:val="18"/>
          <w:szCs w:val="18"/>
          <w:color w:val="auto"/>
        </w:rPr>
        <w:t>- Global Ship Lease, Inc. (NYSE: GSL) (the “Company”, “Global Ship Lease” or “GSL”), an owner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containerships, announced today its unaudited results for the three months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Highlights and Other Recent Developments</w:t>
      </w:r>
    </w:p>
    <w:p>
      <w:pPr>
        <w:spacing w:after="0" w:line="229" w:lineRule="exact"/>
        <w:rPr>
          <w:sz w:val="20"/>
          <w:szCs w:val="20"/>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1Q 2026 operating revenue of $198.1 million.</w:t>
      </w:r>
    </w:p>
    <w:p>
      <w:pPr>
        <w:spacing w:after="0" w:line="22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1Q 2026 net income available to common shareholders of $91.4 million, or $2.54 earnings per share (EPS).</w:t>
      </w:r>
    </w:p>
    <w:p>
      <w:pPr>
        <w:spacing w:after="0" w:line="215"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1Q 2026 normalized net income (a non-U.S. GAAP financial measure, described below)</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$92.1 million, or $2.56 normalized EPS³.</w:t>
      </w:r>
    </w:p>
    <w:p>
      <w:pPr>
        <w:spacing w:after="0" w:line="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1Q 2026 Adjusted EBITDA (a non-U.S. GAAP financial measure, described below)</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of $133.2 million.</w:t>
      </w:r>
    </w:p>
    <w:p>
      <w:pPr>
        <w:spacing w:after="0" w:line="108" w:lineRule="exact"/>
        <w:rPr>
          <w:rFonts w:ascii="Times New Roman" w:cs="Times New Roman" w:eastAsia="Times New Roman" w:hAnsi="Times New Roman"/>
          <w:sz w:val="18"/>
          <w:szCs w:val="18"/>
          <w:color w:val="auto"/>
        </w:rPr>
      </w:pPr>
    </w:p>
    <w:p>
      <w:pPr>
        <w:ind w:firstLine="8"/>
        <w:spacing w:after="0" w:line="282" w:lineRule="auto"/>
        <w:tabs>
          <w:tab w:leader="none" w:pos="11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Added $86.1 million of contracted revenues during first quarter of 2026, bringing total contracted revenues as of March 31, 2026 to $2.05 billion, over a weighted average remaining duration of 2.6 years.</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10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2026, declared a dividend of $0.625 per Class A common share for the first quarter of 2026, to be paid on June 3, 2026 to Class A common shareholders of record as of May 22, 2026. Paid a dividend of $0.625 per Class A common share for the fourth quarter of 2025 on March 6, 2026.</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11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April and May of 2026, entered into agreements for the forward sales of three non-core ships, built 2000 – 2002, for an aggregate price of $52.0 million and anticipated gain on sale of approximately $25.0 million. The ships are scheduled to be delivered to buyers upon expiry of the vessels’ respective charters: Manet (2,200 TEU, 2001-built) and Kumasi (2,200 TEU, 2002-built) in 4Q 2026 – 1Q 2027, and Ian H (5,900 TEU, 2000-built) in 4Q 2027.</w:t>
      </w:r>
    </w:p>
    <w:p>
      <w:pPr>
        <w:spacing w:after="0" w:line="179" w:lineRule="exact"/>
        <w:rPr>
          <w:rFonts w:ascii="Times New Roman" w:cs="Times New Roman" w:eastAsia="Times New Roman" w:hAnsi="Times New Roman"/>
          <w:sz w:val="18"/>
          <w:szCs w:val="18"/>
          <w:color w:val="auto"/>
        </w:rPr>
      </w:pPr>
    </w:p>
    <w:p>
      <w:pPr>
        <w:jc w:val="both"/>
        <w:ind w:firstLine="8"/>
        <w:spacing w:after="0" w:line="266" w:lineRule="auto"/>
        <w:tabs>
          <w:tab w:leader="none" w:pos="1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 2025, announced the purchase of three 8,586 TEU Korean-built containerships with ECO upgrades (the “Three Newly Acquired Vessels”) for an aggregate purchase price of $90.0 million. The Three Newly Acquired Vessels have attached charters with a leading liner company. Two of the vessels were delivered to us in December 2025 and the third was delivered to us in January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George Youroukos, our Executive Chairman, stated: “We are proud to have delivered another successful quarter, carrying our positive momentum into the new year even as the geopolitical instability and freight market volatility that marked 2025 have continued into 2026. Our efforts to bolster optionality have enabled us to continue operating from a position of strength in the face of this unprecedented macro complexity and unpredictability. As the effective closure of the Strait of Hormuz has persisted, fragmented supply chains have only grown more complex and dynamic, adding both to aggregate containership demand and to the value of flexibility and optionality. The significant increase in bunker fuel costs has led the charterers who bear those costs to slow down ships in order to reduce fuel consumption, further reducing effective vessel supply in the charter market.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 w:name="page5"/>
    <w:bookmarkEnd w:id="4"/>
    <w:p>
      <w:pPr>
        <w:jc w:val="both"/>
        <w:spacing w:after="0" w:line="261" w:lineRule="auto"/>
        <w:rPr>
          <w:sz w:val="20"/>
          <w:szCs w:val="20"/>
          <w:color w:val="auto"/>
        </w:rPr>
      </w:pPr>
      <w:r>
        <w:rPr>
          <w:rFonts w:ascii="Times New Roman" w:cs="Times New Roman" w:eastAsia="Times New Roman" w:hAnsi="Times New Roman"/>
          <w:sz w:val="18"/>
          <w:szCs w:val="18"/>
          <w:color w:val="auto"/>
        </w:rPr>
        <w:t>With a highly-flexible and highly-specified fleet well suited to meet the liners’ needs for flexibility and optionality, we have continued to add charter coverage at attractive rates. We now have 100% coverage for 2026 and 86% for 2027, totaling over $2 billion in contracted revenues over 2.6 years. This extensive forward visibility on contracted cash flow generation, combined with our in-demand fleet and prudent, opportunistic strategy, positions us well to create value throughout the cycle and in the face of an ever more unpredictable global environment.”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Thomas Lister, our Chief Executive Officer, stated: “The ever-increasing volatility and uncertainty the shipping world is facing, which already comes on the back of a multi-year run of “black swan” scenarios of various types, has only strengthened our long-standing commitment to maximizing optionality and further strengthening our financial position. These efforts, in conjunction with our prudent risk management and capital allocation, have culminated in a fortress balance sheet that allows us to weather the unpredictability in container shipping and the wider world, while also decisively seizing opportunities as they arise. As we continue to return capital to investors by way of our recently increased dividend, we remain committed to a disciplined and dynamic approach to capital allocation and fleet renewal - including the selective monetization of aging, non-core tonnage at cyclically attractive prices - that has served us well throughout these extraordinary times.”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SELECTED FINANCIAL DATA – UNAUDITED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6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Three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Three</w:t>
            </w:r>
          </w:p>
        </w:tc>
      </w:tr>
      <w:tr>
        <w:trPr>
          <w:trHeight w:val="216"/>
        </w:trPr>
        <w:tc>
          <w:tcPr>
            <w:tcW w:w="86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months ended</w:t>
            </w:r>
          </w:p>
        </w:tc>
      </w:tr>
      <w:tr>
        <w:trPr>
          <w:trHeight w:val="194"/>
        </w:trPr>
        <w:tc>
          <w:tcPr>
            <w:tcW w:w="8640" w:type="dxa"/>
            <w:vAlign w:val="bottom"/>
          </w:tcPr>
          <w:p>
            <w:pPr>
              <w:spacing w:after="0"/>
              <w:rPr>
                <w:sz w:val="16"/>
                <w:szCs w:val="16"/>
                <w:color w:val="auto"/>
              </w:rPr>
            </w:pPr>
          </w:p>
        </w:tc>
        <w:tc>
          <w:tcPr>
            <w:tcW w:w="13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w w:val="99"/>
              </w:rPr>
              <w:t>March 31, 2026</w:t>
            </w:r>
          </w:p>
        </w:tc>
        <w:tc>
          <w:tcPr>
            <w:tcW w:w="12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w w:val="97"/>
              </w:rPr>
              <w:t>March 31, 2025</w:t>
            </w:r>
          </w:p>
        </w:tc>
      </w:tr>
      <w:tr>
        <w:trPr>
          <w:trHeight w:val="237"/>
        </w:trPr>
        <w:tc>
          <w:tcPr>
            <w:tcW w:w="86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Operating Revenues </w:t>
            </w:r>
            <w:r>
              <w:rPr>
                <w:rFonts w:ascii="Times New Roman" w:cs="Times New Roman" w:eastAsia="Times New Roman" w:hAnsi="Times New Roman"/>
                <w:sz w:val="25"/>
                <w:szCs w:val="25"/>
                <w:color w:val="auto"/>
                <w:vertAlign w:val="superscript"/>
              </w:rPr>
              <w:t>(1)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198,079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190,975</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97,418</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128,498</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Net Income </w:t>
            </w:r>
            <w:r>
              <w:rPr>
                <w:rFonts w:ascii="Times New Roman" w:cs="Times New Roman" w:eastAsia="Times New Roman" w:hAnsi="Times New Roman"/>
                <w:sz w:val="25"/>
                <w:szCs w:val="25"/>
                <w:color w:val="auto"/>
                <w:vertAlign w:val="superscript"/>
              </w:rPr>
              <w:t>(2)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121,010</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5"/>
                <w:szCs w:val="25"/>
                <w:color w:val="auto"/>
                <w:vertAlign w:val="superscript"/>
              </w:rPr>
              <w:t>(3)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133,186</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100" w:type="dxa"/>
            <w:vAlign w:val="bottom"/>
          </w:tcPr>
          <w:p>
            <w:pPr>
              <w:spacing w:after="0"/>
              <w:rPr>
                <w:sz w:val="18"/>
                <w:szCs w:val="18"/>
                <w:color w:val="auto"/>
              </w:rPr>
            </w:pPr>
          </w:p>
        </w:tc>
      </w:tr>
      <w:tr>
        <w:trPr>
          <w:trHeight w:val="216"/>
        </w:trPr>
        <w:tc>
          <w:tcPr>
            <w:tcW w:w="86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Normalized Net Income </w:t>
            </w:r>
            <w:r>
              <w:rPr>
                <w:rFonts w:ascii="Times New Roman" w:cs="Times New Roman" w:eastAsia="Times New Roman" w:hAnsi="Times New Roman"/>
                <w:sz w:val="25"/>
                <w:szCs w:val="25"/>
                <w:color w:val="auto"/>
                <w:vertAlign w:val="superscript"/>
              </w:rPr>
              <w:t>(3)</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8"/>
        <w:spacing w:after="0" w:line="261" w:lineRule="auto"/>
        <w:tabs>
          <w:tab w:leader="none" w:pos="2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Revenues are net of address commissions which represent a discount provided directly to a charterer based on a fixed percentage of the agreed upon charter rate and also includes the amortization of intangible liabilities, the effect of the straight lining of time charter modifications and the compensation from charterers for drydock and for other capitalized expenses for vessel upgrades or retrofits. Brokerage commissions are included in “Time charter and voyage expenses” (see below).</w:t>
      </w:r>
    </w:p>
    <w:p>
      <w:pPr>
        <w:spacing w:after="0" w:line="17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available to common shareholders.</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28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Normalized Net Income, and Normalized Earnings per Share are non-U.S. Generally Accepted Accounting Principles (“U.S. GAAP”) financial measures, as explained further in this press release, and are considered by Global Ship Lease to be useful measures of its performance. For reconciliations of these non-U.S. GAAP financial measures to the most directly comparable U.S. GAAP financial measure, please see “Reconciliation of Non-U.S. GAAP Financial Measures”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 and Utilization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revenues derived from fixed-rate, mainly long-term, time-charters were $198.1 million in the first quarter of 2026, up $7.1 million (or 3.7%) on operating revenues of $191.0 million in the prior year period. The period-on-period increase in operating revenues was principally due to (i) the net effect of higher rates on charter renewals, (ii) the addition of the Three Newly Acquired Vessels offset by the sales of Tasman, Keta and Akiteta in the first quarter of 2025 and the sale of Dimitris Y in the fourth quarter of 2025 and (iii) a non-cash $3.0 million increase in the amortization of intangible liabilities arising from below-market charters attached to certain vessel additions counterbalanced by a non-cash $1.3 million negative effect from straight lining time charter modifications. There were 118 days of offhire and idle time in the first quarter of 2026, of which 84 were for scheduled drydockings, compared to 406 days of offhire and idle time in the prior year period, of which 330 were for scheduled drydockings. Utilization for the first quarter of 2026 was 98.2% compared to utilization of 93.7% in the prior year period.</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right="20"/>
        <w:spacing w:after="0" w:line="282" w:lineRule="auto"/>
        <w:rPr>
          <w:sz w:val="20"/>
          <w:szCs w:val="20"/>
          <w:color w:val="auto"/>
        </w:rPr>
      </w:pPr>
      <w:r>
        <w:rPr>
          <w:rFonts w:ascii="Times New Roman" w:cs="Times New Roman" w:eastAsia="Times New Roman" w:hAnsi="Times New Roman"/>
          <w:sz w:val="18"/>
          <w:szCs w:val="18"/>
          <w:color w:val="auto"/>
        </w:rPr>
        <w:t>Our revenue origin by country, using the respective head office location of each of our charterers as a proxy for origin, for the three months ended March 31, 2026 and 2025, respectively, was as follows: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4740" w:type="dxa"/>
            <w:vAlign w:val="bottom"/>
            <w:tcBorders>
              <w:top w:val="single" w:sz="8" w:color="auto"/>
              <w:left w:val="single" w:sz="8" w:color="auto"/>
              <w:bottom w:val="single" w:sz="8" w:color="auto"/>
              <w:right w:val="single" w:sz="8" w:color="auto"/>
            </w:tcBorders>
          </w:tcPr>
          <w:p>
            <w:pPr>
              <w:ind w:left="140"/>
              <w:spacing w:after="0" w:line="243" w:lineRule="exact"/>
              <w:rPr>
                <w:sz w:val="20"/>
                <w:szCs w:val="20"/>
                <w:color w:val="auto"/>
              </w:rPr>
            </w:pPr>
            <w:r>
              <w:rPr>
                <w:rFonts w:ascii="Times New Roman" w:cs="Times New Roman" w:eastAsia="Times New Roman" w:hAnsi="Times New Roman"/>
                <w:sz w:val="17"/>
                <w:szCs w:val="17"/>
                <w:color w:val="auto"/>
              </w:rPr>
              <w:t xml:space="preserve">Unaudited Revenue origin by country </w:t>
            </w:r>
            <w:r>
              <w:rPr>
                <w:rFonts w:ascii="Times New Roman" w:cs="Times New Roman" w:eastAsia="Times New Roman" w:hAnsi="Times New Roman"/>
                <w:sz w:val="28"/>
                <w:szCs w:val="28"/>
                <w:color w:val="auto"/>
                <w:vertAlign w:val="superscript"/>
              </w:rPr>
              <w:t>1</w:t>
            </w:r>
          </w:p>
        </w:tc>
        <w:tc>
          <w:tcPr>
            <w:tcW w:w="324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March 31, 2026</w:t>
            </w:r>
          </w:p>
        </w:tc>
        <w:tc>
          <w:tcPr>
            <w:tcW w:w="3260" w:type="dxa"/>
            <w:vAlign w:val="bottom"/>
            <w:tcBorders>
              <w:top w:val="single" w:sz="8" w:color="auto"/>
              <w:bottom w:val="single" w:sz="8" w:color="auto"/>
              <w:right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 March 31, 2025</w:t>
            </w:r>
          </w:p>
        </w:tc>
      </w:tr>
      <w:tr>
        <w:trPr>
          <w:trHeight w:val="198"/>
        </w:trPr>
        <w:tc>
          <w:tcPr>
            <w:tcW w:w="4740" w:type="dxa"/>
            <w:vAlign w:val="bottom"/>
            <w:tcBorders>
              <w:left w:val="single" w:sz="8" w:color="auto"/>
              <w:right w:val="single" w:sz="8" w:color="auto"/>
            </w:tcBorders>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jc w:val="right"/>
              <w:ind w:right="150"/>
              <w:spacing w:after="0" w:line="198" w:lineRule="exact"/>
              <w:rPr>
                <w:sz w:val="20"/>
                <w:szCs w:val="20"/>
                <w:color w:val="auto"/>
              </w:rPr>
            </w:pPr>
            <w:r>
              <w:rPr>
                <w:rFonts w:ascii="Times New Roman" w:cs="Times New Roman" w:eastAsia="Times New Roman" w:hAnsi="Times New Roman"/>
                <w:sz w:val="18"/>
                <w:szCs w:val="18"/>
                <w:color w:val="auto"/>
              </w:rPr>
              <w:t>Percentage of</w:t>
            </w:r>
          </w:p>
        </w:tc>
        <w:tc>
          <w:tcPr>
            <w:tcW w:w="1900" w:type="dxa"/>
            <w:vAlign w:val="bottom"/>
            <w:tcBorders>
              <w:right w:val="single" w:sz="8" w:color="auto"/>
            </w:tcBorders>
          </w:tcPr>
          <w:p>
            <w:pPr>
              <w:spacing w:after="0"/>
              <w:rPr>
                <w:sz w:val="17"/>
                <w:szCs w:val="17"/>
                <w:color w:val="auto"/>
              </w:rPr>
            </w:pPr>
          </w:p>
        </w:tc>
        <w:tc>
          <w:tcPr>
            <w:tcW w:w="1360" w:type="dxa"/>
            <w:vAlign w:val="bottom"/>
            <w:tcBorders>
              <w:right w:val="single" w:sz="8" w:color="auto"/>
            </w:tcBorders>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Percentage of</w:t>
            </w:r>
          </w:p>
        </w:tc>
      </w:tr>
      <w:tr>
        <w:trPr>
          <w:trHeight w:val="241"/>
        </w:trPr>
        <w:tc>
          <w:tcPr>
            <w:tcW w:w="4740" w:type="dxa"/>
            <w:vAlign w:val="bottom"/>
            <w:tcBorders>
              <w:left w:val="single" w:sz="8" w:color="auto"/>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Revenue (USD million)</w:t>
            </w:r>
          </w:p>
        </w:tc>
        <w:tc>
          <w:tcPr>
            <w:tcW w:w="134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revenue</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Revenue (USD million)</w:t>
            </w:r>
          </w:p>
        </w:tc>
        <w:tc>
          <w:tcPr>
            <w:tcW w:w="1360" w:type="dxa"/>
            <w:vAlign w:val="bottom"/>
            <w:tcBorders>
              <w:bottom w:val="single" w:sz="8" w:color="auto"/>
              <w:right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revenue</w:t>
            </w:r>
          </w:p>
        </w:tc>
      </w:tr>
      <w:tr>
        <w:trPr>
          <w:trHeight w:val="223"/>
        </w:trPr>
        <w:tc>
          <w:tcPr>
            <w:tcW w:w="47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Denmark (Maersk)</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57.70</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58.88</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w:t>
            </w:r>
          </w:p>
        </w:tc>
      </w:tr>
      <w:tr>
        <w:trPr>
          <w:trHeight w:val="223"/>
        </w:trPr>
        <w:tc>
          <w:tcPr>
            <w:tcW w:w="4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France (CMA CGM)</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41.09</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36.07</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w:t>
            </w:r>
          </w:p>
        </w:tc>
      </w:tr>
      <w:tr>
        <w:trPr>
          <w:trHeight w:val="223"/>
        </w:trPr>
        <w:tc>
          <w:tcPr>
            <w:tcW w:w="47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Germany (Hapag Lloyd)</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36.88</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36.11</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23"/>
        </w:trPr>
        <w:tc>
          <w:tcPr>
            <w:tcW w:w="4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Switzerland (MSC)</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26.06</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20.15</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r>
      <w:tr>
        <w:trPr>
          <w:trHeight w:val="223"/>
        </w:trPr>
        <w:tc>
          <w:tcPr>
            <w:tcW w:w="47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Israel (ZIM)</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14.67</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r>
      <w:tr>
        <w:trPr>
          <w:trHeight w:val="223"/>
        </w:trPr>
        <w:tc>
          <w:tcPr>
            <w:tcW w:w="4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China, including Hong Kong (COSCO &amp; OOCL)</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14.40</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11.60</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23"/>
        </w:trPr>
        <w:tc>
          <w:tcPr>
            <w:tcW w:w="47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Singapore (ONE, Swire Shipping, RCL Feeder)</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3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4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USA (Matson)</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3"/>
        </w:trPr>
        <w:tc>
          <w:tcPr>
            <w:tcW w:w="4740" w:type="dxa"/>
            <w:vAlign w:val="bottom"/>
            <w:tcBorders>
              <w:left w:val="single" w:sz="8" w:color="auto"/>
              <w:bottom w:val="single" w:sz="8" w:color="auto"/>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Taiwan (Wan Hai)</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right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c>
          <w:tcPr>
            <w:tcW w:w="13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4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198.08</w:t>
            </w:r>
          </w:p>
        </w:tc>
        <w:tc>
          <w:tcPr>
            <w:tcW w:w="13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1900" w:type="dxa"/>
            <w:vAlign w:val="bottom"/>
            <w:tcBorders>
              <w:bottom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190.98</w:t>
            </w:r>
          </w:p>
        </w:tc>
        <w:tc>
          <w:tcPr>
            <w:tcW w:w="1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r>
    </w:tbl>
    <w:p>
      <w:pPr>
        <w:spacing w:after="0" w:line="19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jurisdiction of head office of each charterer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shows unaudited fleet utilization data for the three months ended March 31, 2026 and 2025, and for the years ended December 31, 2025, 2024, 2023, 2022 and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tcPr>
          <w:p>
            <w:pPr>
              <w:spacing w:after="0"/>
              <w:rPr>
                <w:sz w:val="20"/>
                <w:szCs w:val="20"/>
                <w:color w:val="auto"/>
              </w:rPr>
            </w:pPr>
          </w:p>
        </w:tc>
        <w:tc>
          <w:tcPr>
            <w:tcW w:w="24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Year ended</w:t>
            </w: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700" w:type="dxa"/>
            <w:vAlign w:val="bottom"/>
          </w:tcPr>
          <w:p>
            <w:pPr>
              <w:spacing w:after="0"/>
              <w:rPr>
                <w:sz w:val="17"/>
                <w:szCs w:val="17"/>
                <w:color w:val="auto"/>
              </w:rPr>
            </w:pPr>
          </w:p>
        </w:tc>
        <w:tc>
          <w:tcPr>
            <w:tcW w:w="1300" w:type="dxa"/>
            <w:vAlign w:val="bottom"/>
            <w:tcBorders>
              <w:top w:val="single" w:sz="8" w:color="auto"/>
            </w:tcBorders>
          </w:tcPr>
          <w:p>
            <w:pPr>
              <w:jc w:val="right"/>
              <w:ind w:right="230"/>
              <w:spacing w:after="0" w:line="198" w:lineRule="exact"/>
              <w:rPr>
                <w:sz w:val="20"/>
                <w:szCs w:val="20"/>
                <w:color w:val="auto"/>
              </w:rPr>
            </w:pPr>
            <w:r>
              <w:rPr>
                <w:rFonts w:ascii="Times New Roman" w:cs="Times New Roman" w:eastAsia="Times New Roman" w:hAnsi="Times New Roman"/>
                <w:sz w:val="18"/>
                <w:szCs w:val="18"/>
                <w:color w:val="auto"/>
              </w:rPr>
              <w:t>Mar 31,</w:t>
            </w:r>
          </w:p>
        </w:tc>
        <w:tc>
          <w:tcPr>
            <w:tcW w:w="8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Mar 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Dec 31,</w:t>
            </w:r>
          </w:p>
        </w:tc>
        <w:tc>
          <w:tcPr>
            <w:tcW w:w="1080" w:type="dxa"/>
            <w:vAlign w:val="bottom"/>
            <w:tcBorders>
              <w:top w:val="single" w:sz="8" w:color="auto"/>
            </w:tcBorders>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Dec 31,</w:t>
            </w:r>
          </w:p>
        </w:tc>
        <w:tc>
          <w:tcPr>
            <w:tcW w:w="142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Dec 31,</w:t>
            </w:r>
          </w:p>
        </w:tc>
        <w:tc>
          <w:tcPr>
            <w:tcW w:w="1260" w:type="dxa"/>
            <w:vAlign w:val="bottom"/>
            <w:tcBorders>
              <w:top w:val="single" w:sz="8" w:color="auto"/>
            </w:tcBorders>
          </w:tcPr>
          <w:p>
            <w:pPr>
              <w:jc w:val="right"/>
              <w:ind w:right="250"/>
              <w:spacing w:after="0" w:line="198" w:lineRule="exact"/>
              <w:rPr>
                <w:sz w:val="20"/>
                <w:szCs w:val="20"/>
                <w:color w:val="auto"/>
              </w:rPr>
            </w:pPr>
            <w:r>
              <w:rPr>
                <w:rFonts w:ascii="Times New Roman" w:cs="Times New Roman" w:eastAsia="Times New Roman" w:hAnsi="Times New Roman"/>
                <w:sz w:val="18"/>
                <w:szCs w:val="18"/>
                <w:color w:val="auto"/>
              </w:rPr>
              <w:t>Dec 31,</w:t>
            </w: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Dec 31,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41"/>
        </w:trPr>
        <w:tc>
          <w:tcPr>
            <w:tcW w:w="2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Days</w:t>
            </w:r>
          </w:p>
        </w:tc>
        <w:tc>
          <w:tcPr>
            <w:tcW w:w="13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4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20"/>
                <w:szCs w:val="20"/>
                <w:color w:val="auto"/>
              </w:rPr>
            </w:pPr>
          </w:p>
        </w:tc>
      </w:tr>
      <w:tr>
        <w:trPr>
          <w:trHeight w:val="216"/>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gridSpan w:val="3"/>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Ownership days</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6,382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6,404</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25,323</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24,937</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24,285</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23,725</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19,427</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Planned offhire - scheduled drydock</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(84)</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(816)</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(807)</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(701)</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(581)</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(752)</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Unplanned offhire</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(262)</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(144)</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(233)</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(460)</w:t>
            </w: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Idle time</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(47)</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4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9"/>
                <w:szCs w:val="19"/>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days</w:t>
            </w:r>
          </w:p>
        </w:tc>
        <w:tc>
          <w:tcPr>
            <w:tcW w:w="13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6,264</w:t>
            </w: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5,958</w:t>
            </w:r>
          </w:p>
        </w:tc>
        <w:tc>
          <w:tcPr>
            <w:tcW w:w="200" w:type="dxa"/>
            <w:vAlign w:val="bottom"/>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24,198</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23,971</w:t>
            </w:r>
          </w:p>
        </w:tc>
        <w:tc>
          <w:tcPr>
            <w:tcW w:w="142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23,289</w:t>
            </w:r>
          </w:p>
        </w:tc>
        <w:tc>
          <w:tcPr>
            <w:tcW w:w="12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22,654</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18,327</w:t>
            </w:r>
          </w:p>
        </w:tc>
        <w:tc>
          <w:tcPr>
            <w:tcW w:w="100" w:type="dxa"/>
            <w:vAlign w:val="bottom"/>
            <w:gridSpan w:val="2"/>
            <w:shd w:val="clear" w:color="auto" w:fill="CCEEFF"/>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Utilization</w:t>
            </w:r>
          </w:p>
        </w:tc>
        <w:tc>
          <w:tcPr>
            <w:tcW w:w="13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98.2%</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95.6%</w:t>
            </w: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96.1%</w:t>
            </w:r>
          </w:p>
        </w:tc>
        <w:tc>
          <w:tcPr>
            <w:tcW w:w="14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95.9%</w:t>
            </w:r>
          </w:p>
        </w:tc>
        <w:tc>
          <w:tcPr>
            <w:tcW w:w="12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95.5%</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two regulatory drydockings were in progress and 14 further regulatory drydockings are anticipated in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Vessel Operating Expenses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Vessel operating expenses, which are primarily the costs of crew, lubricating oil, repairs, maintenance, insurance and technical management fees, were up 5.4% to $52.7 million for the first quarter of 2026, compared to $50.0 million in the prior year period. The increase of $2.7 million was mainly due to (i) the addition of the Three Newly Acquired Vessels offset by the sales of Tasman, Keta and Akiteta in the first quarter of 2025 and the sale of Dimitris Y in the fourth quarter of 2025, (ii) an increase in crew expenses following our decision to increase the number of seafarers on board to improve the vessels’ conditions, and (iii) the impact of inflation on fees and expenses, including management fees. The average cost per ownership day in the quarter was $8,261, compared to $7,809 for the prior year period, up $452 per day, or 5.8%.</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Time Charter and Voyage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Time charter and voyage expenses comprise mainly commissions paid to ship brokers, the cost of bunker fuel for owner’s account when a ship is off-hire or idle, and miscellaneous owner’s costs associated with a ship’s voyage. Time charter and voyage expenses were $5.6 million for the first quarter of 2026, compared to $6.5 million in the prior year period due to decreases in bunkering expenses due to fewer off hire days.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for the first quarter of 2026 was $33.5 million, compared to $29.8 million in the prior year period. The increase was mainly due to the seven drydockings completed after March 31, 2025 and the addition of the Three Newly Acquired Vessels offset by the sales of Tasman, Keta and Akiteta in the first quarter of 2025 and the sale of Dimitris Y in the fourth quarter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$8.8 million in the first quarter of 2026, compared to $4.6 million in the comparative period. The increase was mainly due to the non-cash charge for stock-based compensation expense recognized in relation to the valuation of awards of Class A common shares under our Equity Incentive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vessels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Tasman (5,900 TEU, built 2000), Akiteta (2,200 TEU, built 2002), and Keta (2,200 TEU, built 2003) were sold for an aggregate gain of $28.5 million in the first quarter of 2025. None of our vessels were sold during the first quarter of 2026.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29"/>
          <w:szCs w:val="29"/>
          <w:i w:val="1"/>
          <w:iCs w:val="1"/>
          <w:color w:val="auto"/>
          <w:vertAlign w:val="superscript"/>
        </w:rPr>
        <w:t>1</w:t>
      </w:r>
    </w:p>
    <w:p>
      <w:pPr>
        <w:spacing w:after="0" w:line="1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$133.2 million for the first quarter of 2026, up from $132.3 million for the prior year period, with the net increase being mainly due to increased revenue from charter renewals at higher rates and the addition of the new vessels partially offset by the sale of Tasman, Keta and Akiteta in the first quarter of 2025 and the sale of Dimitris Y in the fourth quarter of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and Interest Income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as of March 31, 2026 totaled $657.8 million, comprising $292.0 million of secured bank debt collateralized by vessels, $166.3 million of our investment-grade rated 5.69% Senior Secured Notes due 2027 (the “2027 Secured Notes”) collateralized by vessels, and $199.5 million under sale and leaseback financing transactions. As of March 31, 2026, 23 of our vessels were unencumbered.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as of March 31, 2025 totaled $777.7 million, comprising $340.3 million of secured bank debt collateralized by vessels, $218.8 million of the 2027 Secured Notes collateralized by vessels, and $218.6 million under sale and leaseback financing transactions. As of March 31, 2025, 19 of our vessels were unencumbered. Interest and other finance expenses for the first quarter of 2026 were $9.3 million, down from $9.9 million for the prior year period. The decrease was due to the lower amortization expense of our deferred loan fees.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for the first quarter of 2026 was $5.7 million, up from $3.2 million for the prior year period, mainly due to higher invested amounts.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 was $1.0 million in the first quarter of 2026, down from $3.2 million in the comparative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Fair value adjustment on derivatives and other financial instruments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we entered into a USD 1-month LIBOR interest rate cap of 0.75% through the fourth quarter of 2026 on $484.1 million of floating rate debt, which reduces over time in-line with anticipated debt amortization and represented approximately half of the outstanding floating rate debt. In February 2022, we entered into two additional USD 1-month LIBOR interest rate caps of 0.75% through the fourth quarter of 2026 on the remaining balance of $507.9 million of floating rate debt. As a result of the discontinuation of LIBOR, on July 1, 2023, our interest rate caps automatically transited to 1 month Compounded SOFR at a net rate of 0.64%. A negative fair value adjustment of $0.6 million for the first quarter of 2026 was recorded through the statement of income.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we entered into a series of FX Reverse Convertible transactions with UBS AG so as to hedge our exposure to foreign exchange risk while also achieving improved interest income on deposits. These instruments are USD-denominated structured notes with returns linked to the EUR/USD exchange rate. We elected the Fair Value Option to measure these instruments. A negative fair value adjustment of $0.3 million for the first quarter of 2026 was recorded through the statement of income.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Allocated to Preferred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Series B Preferred Shares carry a coupon of 8.75%, the cost of which for the first quarter of 2026 was $2.4 million, the same as in the prior year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Available to Common Shareholders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available to common shareholders for the first quarter of 2026 was $91.4 million. Net income available to common shareholders for the prior year period was $121.0 million. Net income available to common shareholders for the prior year period included $28.5 million gain from the sales of Tasman (5,900 TEU, built 2000), Akiteta (2,200 TEU, built 2002), and Keta (2,200 TEU, built 2003).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share for the first quarter of 2026 was $2.54, a decrease of 25.3% from the earnings per share for the prior year period, which was $3.40.</w:t>
      </w:r>
    </w:p>
    <w:p>
      <w:pPr>
        <w:spacing w:after="0" w:line="215" w:lineRule="exact"/>
        <w:rPr>
          <w:sz w:val="20"/>
          <w:szCs w:val="20"/>
          <w:color w:val="auto"/>
        </w:rPr>
      </w:pPr>
    </w:p>
    <w:p>
      <w:pPr>
        <w:jc w:val="both"/>
        <w:spacing w:after="0" w:line="185" w:lineRule="auto"/>
        <w:rPr>
          <w:sz w:val="20"/>
          <w:szCs w:val="20"/>
          <w:color w:val="auto"/>
        </w:rPr>
      </w:pPr>
      <w:r>
        <w:rPr>
          <w:rFonts w:ascii="Times New Roman" w:cs="Times New Roman" w:eastAsia="Times New Roman" w:hAnsi="Times New Roman"/>
          <w:sz w:val="18"/>
          <w:szCs w:val="18"/>
          <w:color w:val="auto"/>
        </w:rPr>
        <w:t>Normalized net income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the first quarter of 2026 was $92.1 million. Normalized net income for the prior year period was $94.3 million. Normalized earnings per share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for the first quarter of 2026 was $2.56, a decrease of 3.4% from Normalized earnings per share for the prior year period, which was $2.65.</w:t>
      </w:r>
    </w:p>
    <w:p>
      <w:pPr>
        <w:spacing w:after="0" w:line="200" w:lineRule="exact"/>
        <w:rPr>
          <w:sz w:val="20"/>
          <w:szCs w:val="20"/>
          <w:color w:val="auto"/>
        </w:rPr>
      </w:pPr>
    </w:p>
    <w:p>
      <w:pPr>
        <w:jc w:val="both"/>
        <w:ind w:firstLine="8"/>
        <w:spacing w:after="0" w:line="210" w:lineRule="auto"/>
        <w:tabs>
          <w:tab w:leader="none" w:pos="112"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EBITDA, Normalized net income, and Normalized earnings per share are non-U.S. GAAP financial measures, as explained further in this press release, and are considered by Global Ship Lease to be useful measures of its performance. For reconciliations of these non-U.S. GAAP financial measures to the most directly comparable U.S. GAAP financial measure, please see “Reconciliation of Non-U.S. GAAP Financial Measures” below.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Fleet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71 containerships in the fleet, detailed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Lightweight</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3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Earliest Charter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Latest Charter</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Daily Charter</w:t>
            </w:r>
          </w:p>
        </w:tc>
      </w:tr>
      <w:tr>
        <w:trPr>
          <w:trHeight w:val="251"/>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36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in TEUs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(tons)</w:t>
            </w: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Charterer</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Expiry Date</w:t>
            </w:r>
          </w:p>
        </w:tc>
        <w:tc>
          <w:tcPr>
            <w:tcW w:w="144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7"/>
                <w:szCs w:val="17"/>
                <w:b w:val="1"/>
                <w:bCs w:val="1"/>
                <w:color w:val="auto"/>
              </w:rPr>
              <w:t xml:space="preserve">Expiry Date </w:t>
            </w:r>
            <w:r>
              <w:rPr>
                <w:rFonts w:ascii="Times New Roman" w:cs="Times New Roman" w:eastAsia="Times New Roman" w:hAnsi="Times New Roman"/>
                <w:sz w:val="28"/>
                <w:szCs w:val="28"/>
                <w:color w:val="auto"/>
                <w:vertAlign w:val="superscript"/>
              </w:rPr>
              <w:t>(2)</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Rate $</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Thalassa</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11,040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38,577</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2008</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CMA CGM</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1Q29</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47,200</w:t>
            </w:r>
          </w:p>
        </w:tc>
      </w:tr>
      <w:tr>
        <w:trPr>
          <w:trHeight w:val="216"/>
        </w:trPr>
        <w:tc>
          <w:tcPr>
            <w:tcW w:w="2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ZIM Norfolk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9,115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31,764</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ZIM</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4Q32</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65,000 </w:t>
            </w:r>
            <w:r>
              <w:rPr>
                <w:rFonts w:ascii="Times New Roman" w:cs="Times New Roman" w:eastAsia="Times New Roman" w:hAnsi="Times New Roman"/>
                <w:sz w:val="25"/>
                <w:szCs w:val="25"/>
                <w:color w:val="auto"/>
                <w:vertAlign w:val="superscript"/>
              </w:rPr>
              <w:t>(3)</w:t>
            </w:r>
          </w:p>
        </w:tc>
      </w:tr>
      <w:tr>
        <w:trPr>
          <w:trHeight w:val="216"/>
        </w:trPr>
        <w:tc>
          <w:tcPr>
            <w:tcW w:w="2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Anthea Y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9,115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31,890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MSC</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(4)</w:t>
            </w:r>
          </w:p>
        </w:tc>
      </w:tr>
      <w:tr>
        <w:trPr>
          <w:trHeight w:val="216"/>
        </w:trPr>
        <w:tc>
          <w:tcPr>
            <w:tcW w:w="2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ZIM Xiamen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9,115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31,820</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ZIM</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4Q32</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65,000 </w:t>
            </w:r>
            <w:r>
              <w:rPr>
                <w:rFonts w:ascii="Times New Roman" w:cs="Times New Roman" w:eastAsia="Times New Roman" w:hAnsi="Times New Roman"/>
                <w:sz w:val="25"/>
                <w:szCs w:val="25"/>
                <w:color w:val="auto"/>
                <w:vertAlign w:val="superscript"/>
              </w:rPr>
              <w:t>(3)</w:t>
            </w:r>
          </w:p>
        </w:tc>
      </w:tr>
      <w:tr>
        <w:trPr>
          <w:trHeight w:val="216"/>
        </w:trPr>
        <w:tc>
          <w:tcPr>
            <w:tcW w:w="2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Sydney Express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9,019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31,254</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Hapag-Lloyd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4Q29</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r>
      <w:tr>
        <w:trPr>
          <w:trHeight w:val="216"/>
        </w:trPr>
        <w:tc>
          <w:tcPr>
            <w:tcW w:w="2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Istanbul Express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9,019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31,380</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2016</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Hapag-Lloyd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2Q30</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r>
      <w:tr>
        <w:trPr>
          <w:trHeight w:val="216"/>
        </w:trPr>
        <w:tc>
          <w:tcPr>
            <w:tcW w:w="23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Bremerhaven Express </w:t>
            </w:r>
            <w:r>
              <w:rPr>
                <w:rFonts w:ascii="Times New Roman" w:cs="Times New Roman" w:eastAsia="Times New Roman" w:hAnsi="Times New Roman"/>
                <w:sz w:val="25"/>
                <w:szCs w:val="25"/>
                <w:color w:val="auto"/>
                <w:vertAlign w:val="superscript"/>
              </w:rPr>
              <w:t>(1)</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9,019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31,319</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Hapag Lloyd</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2Q27</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3Q29</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r>
      <w:tr>
        <w:trPr>
          <w:trHeight w:val="216"/>
        </w:trPr>
        <w:tc>
          <w:tcPr>
            <w:tcW w:w="23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Czech </w:t>
            </w:r>
            <w:r>
              <w:rPr>
                <w:rFonts w:ascii="Times New Roman" w:cs="Times New Roman" w:eastAsia="Times New Roman" w:hAnsi="Times New Roman"/>
                <w:sz w:val="25"/>
                <w:szCs w:val="25"/>
                <w:color w:val="auto"/>
                <w:vertAlign w:val="superscript"/>
              </w:rPr>
              <w:t>(1)</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9,019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31,319</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Hapag-Lloyd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(5)</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MSC Tianjin</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8,603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34,243</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2005</w:t>
            </w:r>
          </w:p>
        </w:tc>
        <w:tc>
          <w:tcPr>
            <w:tcW w:w="13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MSC </w:t>
            </w:r>
            <w:r>
              <w:rPr>
                <w:rFonts w:ascii="Times New Roman" w:cs="Times New Roman" w:eastAsia="Times New Roman" w:hAnsi="Times New Roman"/>
                <w:sz w:val="25"/>
                <w:szCs w:val="25"/>
                <w:color w:val="auto"/>
                <w:vertAlign w:val="superscript"/>
              </w:rPr>
              <w:t>(6)</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MSC Qingdao</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8,603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34,586</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3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MSC </w:t>
            </w:r>
            <w:r>
              <w:rPr>
                <w:rFonts w:ascii="Times New Roman" w:cs="Times New Roman" w:eastAsia="Times New Roman" w:hAnsi="Times New Roman"/>
                <w:sz w:val="25"/>
                <w:szCs w:val="25"/>
                <w:color w:val="auto"/>
                <w:vertAlign w:val="superscript"/>
              </w:rPr>
              <w:t>(6)</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4Q30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Ningbo</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8,603</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34,340</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3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MSC </w:t>
            </w:r>
            <w:r>
              <w:rPr>
                <w:rFonts w:ascii="Times New Roman" w:cs="Times New Roman" w:eastAsia="Times New Roman" w:hAnsi="Times New Roman"/>
                <w:sz w:val="25"/>
                <w:szCs w:val="25"/>
                <w:color w:val="auto"/>
                <w:vertAlign w:val="superscript"/>
              </w:rPr>
              <w:t>(7)</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1Q31</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(7)</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GSL Alexandra</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8,599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37,809</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2004</w:t>
            </w:r>
          </w:p>
        </w:tc>
        <w:tc>
          <w:tcPr>
            <w:tcW w:w="13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2Q28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Sofia</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8,599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37,777</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2003</w:t>
            </w:r>
          </w:p>
        </w:tc>
        <w:tc>
          <w:tcPr>
            <w:tcW w:w="13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GSL Effie</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8,599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37,777</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2003</w:t>
            </w:r>
          </w:p>
        </w:tc>
        <w:tc>
          <w:tcPr>
            <w:tcW w:w="130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Lydia</w:t>
            </w:r>
          </w:p>
        </w:tc>
        <w:tc>
          <w:tcPr>
            <w:tcW w:w="1360" w:type="dxa"/>
            <w:vAlign w:val="bottom"/>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8"/>
              </w:rPr>
              <w:t>8,599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37,777</w:t>
            </w:r>
          </w:p>
        </w:tc>
        <w:tc>
          <w:tcPr>
            <w:tcW w:w="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2003</w:t>
            </w:r>
          </w:p>
        </w:tc>
        <w:tc>
          <w:tcPr>
            <w:tcW w:w="130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(8)</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2Q28</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c>
          <w:tcPr>
            <w:tcW w:w="13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(8)</w:t>
            </w:r>
          </w:p>
        </w:tc>
      </w:tr>
      <w:tr>
        <w:trPr>
          <w:trHeight w:val="394"/>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Lotus A</w:t>
            </w:r>
          </w:p>
        </w:tc>
        <w:tc>
          <w:tcPr>
            <w:tcW w:w="13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8,586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33,026</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CMA CGM</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3Q26</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3Q30</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Footnote </w:t>
            </w:r>
            <w:r>
              <w:rPr>
                <w:rFonts w:ascii="Times New Roman" w:cs="Times New Roman" w:eastAsia="Times New Roman" w:hAnsi="Times New Roman"/>
                <w:sz w:val="29"/>
                <w:szCs w:val="29"/>
                <w:color w:val="auto"/>
                <w:w w:val="94"/>
                <w:vertAlign w:val="superscript"/>
              </w:rPr>
              <w:t>(9)</w:t>
            </w:r>
          </w:p>
        </w:tc>
      </w:tr>
    </w:tbl>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33"/>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Koi</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8,586</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33,005</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2011</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3Q26</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2Q30</w:t>
            </w:r>
          </w:p>
        </w:tc>
        <w:tc>
          <w:tcPr>
            <w:tcW w:w="15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w w:val="94"/>
              </w:rPr>
              <w:t xml:space="preserve">Footnote </w:t>
            </w:r>
            <w:r>
              <w:rPr>
                <w:rFonts w:ascii="Times New Roman" w:cs="Times New Roman" w:eastAsia="Times New Roman" w:hAnsi="Times New Roman"/>
                <w:sz w:val="29"/>
                <w:szCs w:val="29"/>
                <w:color w:val="auto"/>
                <w:w w:val="94"/>
                <w:vertAlign w:val="superscript"/>
              </w:rPr>
              <w:t>(9)</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Cypress</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8,586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33,026</w:t>
            </w: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2011</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3Q26</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2Q30</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(9)</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Eleni</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7,847</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29,261</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4Q27</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Kalliopi</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7,847</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29,261</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Grania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7,847</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29,261</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(10)</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Colombia Express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7,072</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23,424</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1Q31</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Panama Express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7,072</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23,424</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4Q31</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Costa Rica Express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7,072</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23,424</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3Q31</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Nicaragua Express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7,072</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23,424</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4Q31</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Ateti (ex CMA CGM Berlioz) </w:t>
            </w:r>
            <w:r>
              <w:rPr>
                <w:rFonts w:ascii="Times New Roman" w:cs="Times New Roman" w:eastAsia="Times New Roman" w:hAnsi="Times New Roman"/>
                <w:sz w:val="25"/>
                <w:szCs w:val="25"/>
                <w:color w:val="auto"/>
                <w:vertAlign w:val="superscript"/>
              </w:rPr>
              <w:t>(12)</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7,023</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26,776</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(12)</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(12)</w:t>
            </w:r>
          </w:p>
        </w:tc>
      </w:tr>
      <w:tr>
        <w:trPr>
          <w:trHeight w:val="216"/>
        </w:trPr>
        <w:tc>
          <w:tcPr>
            <w:tcW w:w="27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Mexico Express </w:t>
            </w:r>
            <w:r>
              <w:rPr>
                <w:rFonts w:ascii="Times New Roman" w:cs="Times New Roman" w:eastAsia="Times New Roman" w:hAnsi="Times New Roman"/>
                <w:sz w:val="25"/>
                <w:szCs w:val="25"/>
                <w:color w:val="auto"/>
                <w:vertAlign w:val="superscript"/>
              </w:rPr>
              <w:t>(1)</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6,918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23,970</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1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4Q31</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Jamaica Express </w:t>
            </w:r>
            <w:r>
              <w:rPr>
                <w:rFonts w:ascii="Times New Roman" w:cs="Times New Roman" w:eastAsia="Times New Roman" w:hAnsi="Times New Roman"/>
                <w:sz w:val="25"/>
                <w:szCs w:val="25"/>
                <w:color w:val="auto"/>
                <w:vertAlign w:val="superscript"/>
              </w:rPr>
              <w:t>(1)</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6,918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23,915</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2015</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9"/>
              </w:rPr>
              <w:t>Hapag-Lloyd</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4Q31</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(11)</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Christen</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6,858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27,954</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4Q27</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1Q28</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(13)</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Nicoletta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6,858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28,070</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(13)</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Agios Dimitrios</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6,572</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24,931</w:t>
            </w: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2011</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3Q30</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4Q30</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Vinia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6,080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23,737</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(14)</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Christel Elisabeth</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6,080</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23,745</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(14)</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Arcadia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6,008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24,859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Violetta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6,008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24,873</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Maria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6,008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24,414</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3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1Q30</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2Q30</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MYNY</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6,008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24,876</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Melita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6,008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24,859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3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Tegea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5,994</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24,308</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shd w:val="clear" w:color="auto" w:fill="CCEEFF"/>
          </w:tcPr>
          <w:p>
            <w:pPr>
              <w:jc w:val="center"/>
              <w:ind w:right="13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4Q29</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Dorothea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5,994</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24,243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32"/>
              <w:spacing w:after="0" w:line="216" w:lineRule="exact"/>
              <w:rPr>
                <w:sz w:val="20"/>
                <w:szCs w:val="20"/>
                <w:color w:val="auto"/>
              </w:rPr>
            </w:pPr>
            <w:r>
              <w:rPr>
                <w:rFonts w:ascii="Times New Roman" w:cs="Times New Roman" w:eastAsia="Times New Roman" w:hAnsi="Times New Roman"/>
                <w:sz w:val="16"/>
                <w:szCs w:val="16"/>
                <w:color w:val="auto"/>
              </w:rPr>
              <w:t xml:space="preserve">Maersk </w:t>
            </w:r>
            <w:r>
              <w:rPr>
                <w:rFonts w:ascii="Times New Roman" w:cs="Times New Roman" w:eastAsia="Times New Roman" w:hAnsi="Times New Roman"/>
                <w:sz w:val="25"/>
                <w:szCs w:val="25"/>
                <w:color w:val="auto"/>
                <w:vertAlign w:val="superscript"/>
              </w:rPr>
              <w:t>(15)</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12,700 </w:t>
            </w:r>
            <w:r>
              <w:rPr>
                <w:rFonts w:ascii="Times New Roman" w:cs="Times New Roman" w:eastAsia="Times New Roman" w:hAnsi="Times New Roman"/>
                <w:sz w:val="25"/>
                <w:szCs w:val="25"/>
                <w:color w:val="auto"/>
                <w:vertAlign w:val="superscript"/>
              </w:rPr>
              <w:t>(15)</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Ian H</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5,936</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25,128</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8"/>
                <w:szCs w:val="18"/>
                <w:color w:val="auto"/>
                <w:w w:val="99"/>
              </w:rPr>
              <w:t>COSCO</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4Q27</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4Q27</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(16)</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Tripoli</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5,470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22,109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2009</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Kithira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5,470</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22,259</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2009</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4Q27</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1Q28</w:t>
            </w:r>
          </w:p>
        </w:tc>
        <w:tc>
          <w:tcPr>
            <w:tcW w:w="15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Tinos</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5,470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22,068</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2010</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Syros</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5,470</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22,099</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2010</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4Q27</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4Q27</w:t>
            </w:r>
          </w:p>
        </w:tc>
        <w:tc>
          <w:tcPr>
            <w:tcW w:w="15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17,250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Orca I</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5,308</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20,633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4Q28</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Dolphin II</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5,095</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20,596</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shd w:val="clear" w:color="auto" w:fill="CCEEFF"/>
          </w:tcPr>
          <w:p>
            <w:pPr>
              <w:jc w:val="center"/>
              <w:ind w:right="112"/>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(17)</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CMA CGM Alcazar</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5,089</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20,087</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35,500 </w:t>
            </w:r>
            <w:r>
              <w:rPr>
                <w:rFonts w:ascii="Times New Roman" w:cs="Times New Roman" w:eastAsia="Times New Roman" w:hAnsi="Times New Roman"/>
                <w:sz w:val="25"/>
                <w:szCs w:val="25"/>
                <w:color w:val="auto"/>
                <w:vertAlign w:val="superscript"/>
              </w:rPr>
              <w:t>(18)</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Château d’If</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5,089</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19,994</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4Q29</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1Q30</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35,500 </w:t>
            </w:r>
            <w:r>
              <w:rPr>
                <w:rFonts w:ascii="Times New Roman" w:cs="Times New Roman" w:eastAsia="Times New Roman" w:hAnsi="Times New Roman"/>
                <w:sz w:val="25"/>
                <w:szCs w:val="25"/>
                <w:color w:val="auto"/>
                <w:vertAlign w:val="superscript"/>
              </w:rPr>
              <w:t>(18)</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Susan</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4,363</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17,309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2008</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1Q28</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Jamaica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4,298</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17,272</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CMA CGM Sambhar</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4,045</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17,355</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CMA CGM America</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4,045</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17,355</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shd w:val="clear" w:color="auto" w:fill="CCEE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(19)</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Rossi</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3,421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16,309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1Q29</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2Q29</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(20)</w:t>
            </w: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Alice</w:t>
            </w:r>
          </w:p>
        </w:tc>
        <w:tc>
          <w:tcPr>
            <w:tcW w:w="10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3,421</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16,543</w:t>
            </w: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2014</w:t>
            </w:r>
          </w:p>
        </w:tc>
        <w:tc>
          <w:tcPr>
            <w:tcW w:w="1540" w:type="dxa"/>
            <w:vAlign w:val="bottom"/>
            <w:shd w:val="clear" w:color="auto" w:fill="CCEE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2Q28</w:t>
            </w:r>
          </w:p>
        </w:tc>
        <w:tc>
          <w:tcPr>
            <w:tcW w:w="1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3Q28</w:t>
            </w:r>
          </w:p>
        </w:tc>
        <w:tc>
          <w:tcPr>
            <w:tcW w:w="1500" w:type="dxa"/>
            <w:vAlign w:val="bottom"/>
            <w:shd w:val="clear" w:color="auto" w:fill="CCEEFF"/>
          </w:tcPr>
          <w:p>
            <w:pPr>
              <w:jc w:val="center"/>
              <w:ind w:left="77"/>
              <w:spacing w:after="0"/>
              <w:rPr>
                <w:sz w:val="20"/>
                <w:szCs w:val="20"/>
                <w:color w:val="auto"/>
              </w:rPr>
            </w:pPr>
            <w:r>
              <w:rPr>
                <w:rFonts w:ascii="Times New Roman" w:cs="Times New Roman" w:eastAsia="Times New Roman" w:hAnsi="Times New Roman"/>
                <w:sz w:val="18"/>
                <w:szCs w:val="18"/>
                <w:color w:val="auto"/>
              </w:rPr>
              <w:t>31,000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Eleftheria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3,421</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16,642</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3Q28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4Q28</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33,000</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GSL Melina</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3,421</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16,703</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2013</w:t>
            </w:r>
          </w:p>
        </w:tc>
        <w:tc>
          <w:tcPr>
            <w:tcW w:w="154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4Q29</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1Q30</w:t>
            </w:r>
          </w:p>
        </w:tc>
        <w:tc>
          <w:tcPr>
            <w:tcW w:w="1500" w:type="dxa"/>
            <w:vAlign w:val="bottom"/>
            <w:shd w:val="clear" w:color="auto" w:fill="CCEC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29,900 </w:t>
            </w:r>
            <w:r>
              <w:rPr>
                <w:rFonts w:ascii="Times New Roman" w:cs="Times New Roman" w:eastAsia="Times New Roman" w:hAnsi="Times New Roman"/>
                <w:sz w:val="25"/>
                <w:szCs w:val="25"/>
                <w:color w:val="auto"/>
                <w:vertAlign w:val="superscript"/>
              </w:rPr>
              <w:t>(21)</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Athena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2,980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13,538</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2003</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3Q27</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(22)</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GSL Valerie</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2,824</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11,971</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2005</w:t>
            </w:r>
          </w:p>
        </w:tc>
        <w:tc>
          <w:tcPr>
            <w:tcW w:w="154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8"/>
                <w:szCs w:val="18"/>
                <w:color w:val="auto"/>
                <w:w w:val="96"/>
              </w:rPr>
              <w:t>ZIM</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2Q27</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3Q27</w:t>
            </w:r>
          </w:p>
        </w:tc>
        <w:tc>
          <w:tcPr>
            <w:tcW w:w="1500" w:type="dxa"/>
            <w:vAlign w:val="bottom"/>
            <w:shd w:val="clear" w:color="auto" w:fill="CCECFF"/>
          </w:tcPr>
          <w:p>
            <w:pPr>
              <w:jc w:val="center"/>
              <w:ind w:left="77"/>
              <w:spacing w:after="0"/>
              <w:rPr>
                <w:sz w:val="20"/>
                <w:szCs w:val="20"/>
                <w:color w:val="auto"/>
              </w:rPr>
            </w:pPr>
            <w:r>
              <w:rPr>
                <w:rFonts w:ascii="Times New Roman" w:cs="Times New Roman" w:eastAsia="Times New Roman" w:hAnsi="Times New Roman"/>
                <w:sz w:val="18"/>
                <w:szCs w:val="18"/>
                <w:color w:val="auto"/>
              </w:rPr>
              <w:t>27,000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Mamitsa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2,824</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11,949</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rPr>
              <w:t>RCL</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1Q28</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2Q28</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GSL Lalo</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2,824</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11,950</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2Q27</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3Q27</w:t>
            </w:r>
          </w:p>
        </w:tc>
        <w:tc>
          <w:tcPr>
            <w:tcW w:w="1500" w:type="dxa"/>
            <w:vAlign w:val="bottom"/>
            <w:shd w:val="clear" w:color="auto" w:fill="CCEC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(23)</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Mercer</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2,824</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11,970</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ONE</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24,500</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GSL Elizabeth</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2,741</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11,530</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2006</w:t>
            </w:r>
          </w:p>
        </w:tc>
        <w:tc>
          <w:tcPr>
            <w:tcW w:w="154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3Q28</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4Q28</w:t>
            </w:r>
          </w:p>
        </w:tc>
        <w:tc>
          <w:tcPr>
            <w:tcW w:w="1500" w:type="dxa"/>
            <w:vAlign w:val="bottom"/>
            <w:shd w:val="clear" w:color="auto" w:fill="CCEC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20,360 </w:t>
            </w:r>
            <w:r>
              <w:rPr>
                <w:rFonts w:ascii="Times New Roman" w:cs="Times New Roman" w:eastAsia="Times New Roman" w:hAnsi="Times New Roman"/>
                <w:sz w:val="25"/>
                <w:szCs w:val="25"/>
                <w:color w:val="auto"/>
                <w:vertAlign w:val="superscript"/>
              </w:rPr>
              <w:t>(24)</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Newyorker</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2,635</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11,463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Maersk</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Nikolas</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2,635</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11,370</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1Q27</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2Q27</w:t>
            </w:r>
          </w:p>
        </w:tc>
        <w:tc>
          <w:tcPr>
            <w:tcW w:w="1500" w:type="dxa"/>
            <w:vAlign w:val="bottom"/>
            <w:shd w:val="clear" w:color="auto" w:fill="CCECFF"/>
          </w:tcPr>
          <w:p>
            <w:pPr>
              <w:jc w:val="center"/>
              <w:ind w:left="77"/>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GSL Chloe</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2,546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12,212</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2012</w:t>
            </w:r>
          </w:p>
        </w:tc>
        <w:tc>
          <w:tcPr>
            <w:tcW w:w="154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ONE</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24,500</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GSL Maren</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2,546</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12,243</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2014</w:t>
            </w:r>
          </w:p>
        </w:tc>
        <w:tc>
          <w:tcPr>
            <w:tcW w:w="154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OOCL</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2Q28</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3Q28</w:t>
            </w:r>
          </w:p>
        </w:tc>
        <w:tc>
          <w:tcPr>
            <w:tcW w:w="1500" w:type="dxa"/>
            <w:vAlign w:val="bottom"/>
            <w:shd w:val="clear" w:color="auto" w:fill="CCEC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16,500 </w:t>
            </w:r>
            <w:r>
              <w:rPr>
                <w:rFonts w:ascii="Times New Roman" w:cs="Times New Roman" w:eastAsia="Times New Roman" w:hAnsi="Times New Roman"/>
                <w:sz w:val="25"/>
                <w:szCs w:val="25"/>
                <w:color w:val="auto"/>
                <w:vertAlign w:val="superscript"/>
              </w:rPr>
              <w:t>(25)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Maira</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2,506</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11,453</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2000</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CMA CGM</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1Q27</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2Q27</w:t>
            </w:r>
          </w:p>
        </w:tc>
        <w:tc>
          <w:tcPr>
            <w:tcW w:w="1500" w:type="dxa"/>
            <w:vAlign w:val="bottom"/>
          </w:tcPr>
          <w:p>
            <w:pPr>
              <w:jc w:val="center"/>
              <w:ind w:left="77"/>
              <w:spacing w:after="0"/>
              <w:rPr>
                <w:sz w:val="20"/>
                <w:szCs w:val="20"/>
                <w:color w:val="auto"/>
              </w:rPr>
            </w:pPr>
            <w:r>
              <w:rPr>
                <w:rFonts w:ascii="Times New Roman" w:cs="Times New Roman" w:eastAsia="Times New Roman" w:hAnsi="Times New Roman"/>
                <w:sz w:val="18"/>
                <w:szCs w:val="18"/>
                <w:color w:val="auto"/>
              </w:rPr>
              <w:t>26,000</w:t>
            </w:r>
          </w:p>
        </w:tc>
      </w:tr>
      <w:tr>
        <w:trPr>
          <w:trHeight w:val="216"/>
        </w:trPr>
        <w:tc>
          <w:tcPr>
            <w:tcW w:w="2700" w:type="dxa"/>
            <w:vAlign w:val="bottom"/>
            <w:shd w:val="clear" w:color="auto" w:fill="CCEC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Manet </w:t>
            </w:r>
            <w:r>
              <w:rPr>
                <w:rFonts w:ascii="Times New Roman" w:cs="Times New Roman" w:eastAsia="Times New Roman" w:hAnsi="Times New Roman"/>
                <w:sz w:val="25"/>
                <w:szCs w:val="25"/>
                <w:color w:val="auto"/>
                <w:vertAlign w:val="superscript"/>
              </w:rPr>
              <w:t>(28)</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2,288</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11,534</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2001</w:t>
            </w:r>
          </w:p>
        </w:tc>
        <w:tc>
          <w:tcPr>
            <w:tcW w:w="1540" w:type="dxa"/>
            <w:vAlign w:val="bottom"/>
            <w:shd w:val="clear" w:color="auto" w:fill="CCECFF"/>
          </w:tcPr>
          <w:p>
            <w:pPr>
              <w:jc w:val="center"/>
              <w:ind w:right="132"/>
              <w:spacing w:after="0"/>
              <w:rPr>
                <w:sz w:val="20"/>
                <w:szCs w:val="20"/>
                <w:color w:val="auto"/>
              </w:rPr>
            </w:pPr>
            <w:r>
              <w:rPr>
                <w:rFonts w:ascii="Times New Roman" w:cs="Times New Roman" w:eastAsia="Times New Roman" w:hAnsi="Times New Roman"/>
                <w:sz w:val="18"/>
                <w:szCs w:val="18"/>
                <w:color w:val="auto"/>
                <w:w w:val="97"/>
              </w:rPr>
              <w:t>OOCL</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4Q26</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4Q26</w:t>
            </w:r>
          </w:p>
        </w:tc>
        <w:tc>
          <w:tcPr>
            <w:tcW w:w="1500" w:type="dxa"/>
            <w:vAlign w:val="bottom"/>
            <w:shd w:val="clear" w:color="auto" w:fill="CCECFF"/>
          </w:tcPr>
          <w:p>
            <w:pPr>
              <w:jc w:val="center"/>
              <w:ind w:left="77"/>
              <w:spacing w:after="0"/>
              <w:rPr>
                <w:sz w:val="20"/>
                <w:szCs w:val="20"/>
                <w:color w:val="auto"/>
              </w:rPr>
            </w:pPr>
            <w:r>
              <w:rPr>
                <w:rFonts w:ascii="Times New Roman" w:cs="Times New Roman" w:eastAsia="Times New Roman" w:hAnsi="Times New Roman"/>
                <w:sz w:val="18"/>
                <w:szCs w:val="18"/>
                <w:color w:val="auto"/>
              </w:rPr>
              <w:t>24,000</w:t>
            </w:r>
          </w:p>
        </w:tc>
      </w:tr>
      <w:tr>
        <w:trPr>
          <w:trHeight w:val="216"/>
        </w:trPr>
        <w:tc>
          <w:tcPr>
            <w:tcW w:w="270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Kumasi </w:t>
            </w:r>
            <w:r>
              <w:rPr>
                <w:rFonts w:ascii="Times New Roman" w:cs="Times New Roman" w:eastAsia="Times New Roman" w:hAnsi="Times New Roman"/>
                <w:sz w:val="25"/>
                <w:szCs w:val="25"/>
                <w:color w:val="auto"/>
                <w:vertAlign w:val="superscript"/>
              </w:rPr>
              <w:t>(28)</w:t>
            </w:r>
          </w:p>
        </w:tc>
        <w:tc>
          <w:tcPr>
            <w:tcW w:w="10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2,220</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11,652</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4Q26</w:t>
            </w:r>
          </w:p>
        </w:tc>
        <w:tc>
          <w:tcPr>
            <w:tcW w:w="13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4Q26</w:t>
            </w:r>
          </w:p>
        </w:tc>
        <w:tc>
          <w:tcPr>
            <w:tcW w:w="1500" w:type="dxa"/>
            <w:vAlign w:val="bottom"/>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(26)</w:t>
            </w:r>
          </w:p>
        </w:tc>
      </w:tr>
      <w:tr>
        <w:trPr>
          <w:trHeight w:val="216"/>
        </w:trPr>
        <w:tc>
          <w:tcPr>
            <w:tcW w:w="27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Julie</w:t>
            </w:r>
          </w:p>
        </w:tc>
        <w:tc>
          <w:tcPr>
            <w:tcW w:w="1000" w:type="dxa"/>
            <w:vAlign w:val="bottom"/>
            <w:shd w:val="clear" w:color="auto" w:fill="CCECFF"/>
          </w:tcPr>
          <w:p>
            <w:pPr>
              <w:jc w:val="right"/>
              <w:ind w:right="270"/>
              <w:spacing w:after="0"/>
              <w:rPr>
                <w:sz w:val="20"/>
                <w:szCs w:val="20"/>
                <w:color w:val="auto"/>
              </w:rPr>
            </w:pPr>
            <w:r>
              <w:rPr>
                <w:rFonts w:ascii="Times New Roman" w:cs="Times New Roman" w:eastAsia="Times New Roman" w:hAnsi="Times New Roman"/>
                <w:sz w:val="18"/>
                <w:szCs w:val="18"/>
                <w:color w:val="auto"/>
              </w:rPr>
              <w:t>2,207</w:t>
            </w:r>
          </w:p>
        </w:tc>
        <w:tc>
          <w:tcPr>
            <w:tcW w:w="1080" w:type="dxa"/>
            <w:vAlign w:val="bottom"/>
            <w:shd w:val="clear" w:color="auto" w:fill="CCECFF"/>
          </w:tcPr>
          <w:p>
            <w:pPr>
              <w:jc w:val="right"/>
              <w:ind w:right="150"/>
              <w:spacing w:after="0"/>
              <w:rPr>
                <w:sz w:val="20"/>
                <w:szCs w:val="20"/>
                <w:color w:val="auto"/>
              </w:rPr>
            </w:pPr>
            <w:r>
              <w:rPr>
                <w:rFonts w:ascii="Times New Roman" w:cs="Times New Roman" w:eastAsia="Times New Roman" w:hAnsi="Times New Roman"/>
                <w:sz w:val="18"/>
                <w:szCs w:val="18"/>
                <w:color w:val="auto"/>
              </w:rPr>
              <w:t>11,731</w:t>
            </w:r>
          </w:p>
        </w:tc>
        <w:tc>
          <w:tcPr>
            <w:tcW w:w="76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2002</w:t>
            </w:r>
          </w:p>
        </w:tc>
        <w:tc>
          <w:tcPr>
            <w:tcW w:w="1540" w:type="dxa"/>
            <w:vAlign w:val="bottom"/>
            <w:shd w:val="clear" w:color="auto" w:fill="CCECFF"/>
          </w:tcPr>
          <w:p>
            <w:pPr>
              <w:jc w:val="center"/>
              <w:ind w:right="112"/>
              <w:spacing w:after="0"/>
              <w:rPr>
                <w:sz w:val="20"/>
                <w:szCs w:val="20"/>
                <w:color w:val="auto"/>
              </w:rPr>
            </w:pPr>
            <w:r>
              <w:rPr>
                <w:rFonts w:ascii="Times New Roman" w:cs="Times New Roman" w:eastAsia="Times New Roman" w:hAnsi="Times New Roman"/>
                <w:sz w:val="18"/>
                <w:szCs w:val="18"/>
                <w:color w:val="auto"/>
                <w:w w:val="99"/>
              </w:rPr>
              <w:t>MSC</w:t>
            </w:r>
          </w:p>
        </w:tc>
        <w:tc>
          <w:tcPr>
            <w:tcW w:w="1340" w:type="dxa"/>
            <w:vAlign w:val="bottom"/>
            <w:shd w:val="clear" w:color="auto" w:fill="CCECFF"/>
          </w:tcPr>
          <w:p>
            <w:pPr>
              <w:ind w:left="380"/>
              <w:spacing w:after="0"/>
              <w:rPr>
                <w:sz w:val="20"/>
                <w:szCs w:val="20"/>
                <w:color w:val="auto"/>
              </w:rPr>
            </w:pPr>
            <w:r>
              <w:rPr>
                <w:rFonts w:ascii="Times New Roman" w:cs="Times New Roman" w:eastAsia="Times New Roman" w:hAnsi="Times New Roman"/>
                <w:sz w:val="18"/>
                <w:szCs w:val="18"/>
                <w:color w:val="auto"/>
              </w:rPr>
              <w:t>3Q27</w:t>
            </w:r>
          </w:p>
        </w:tc>
        <w:tc>
          <w:tcPr>
            <w:tcW w:w="1320" w:type="dxa"/>
            <w:vAlign w:val="bottom"/>
            <w:shd w:val="clear" w:color="auto" w:fill="CCECFF"/>
          </w:tcPr>
          <w:p>
            <w:pPr>
              <w:ind w:left="540"/>
              <w:spacing w:after="0"/>
              <w:rPr>
                <w:sz w:val="20"/>
                <w:szCs w:val="20"/>
                <w:color w:val="auto"/>
              </w:rPr>
            </w:pPr>
            <w:r>
              <w:rPr>
                <w:rFonts w:ascii="Times New Roman" w:cs="Times New Roman" w:eastAsia="Times New Roman" w:hAnsi="Times New Roman"/>
                <w:sz w:val="18"/>
                <w:szCs w:val="18"/>
                <w:color w:val="auto"/>
              </w:rPr>
              <w:t>3Q27</w:t>
            </w:r>
          </w:p>
        </w:tc>
        <w:tc>
          <w:tcPr>
            <w:tcW w:w="1500" w:type="dxa"/>
            <w:vAlign w:val="bottom"/>
            <w:shd w:val="clear" w:color="auto" w:fill="CCECFF"/>
          </w:tcPr>
          <w:p>
            <w:pPr>
              <w:jc w:val="center"/>
              <w:ind w:left="77"/>
              <w:spacing w:after="0" w:line="216" w:lineRule="exact"/>
              <w:rPr>
                <w:sz w:val="20"/>
                <w:szCs w:val="20"/>
                <w:color w:val="auto"/>
              </w:rPr>
            </w:pPr>
            <w:r>
              <w:rPr>
                <w:rFonts w:ascii="Times New Roman" w:cs="Times New Roman" w:eastAsia="Times New Roman" w:hAnsi="Times New Roman"/>
                <w:sz w:val="16"/>
                <w:szCs w:val="16"/>
                <w:color w:val="auto"/>
              </w:rPr>
              <w:t xml:space="preserve">Footnote </w:t>
            </w:r>
            <w:r>
              <w:rPr>
                <w:rFonts w:ascii="Times New Roman" w:cs="Times New Roman" w:eastAsia="Times New Roman" w:hAnsi="Times New Roman"/>
                <w:sz w:val="25"/>
                <w:szCs w:val="25"/>
                <w:color w:val="auto"/>
                <w:vertAlign w:val="superscript"/>
              </w:rPr>
              <w:t>(27)</w:t>
            </w:r>
          </w:p>
        </w:tc>
      </w:tr>
    </w:tbl>
    <w:p>
      <w:pPr>
        <w:spacing w:after="0" w:line="196"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Modern design, high reefer capacity, fuel-efficient “ECO” vessel.</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 w:right="339" w:bottom="1440" w:gutter="0" w:footer="0" w:header="0"/>
        </w:sectPr>
      </w:pPr>
    </w:p>
    <w:bookmarkStart w:id="9" w:name="page10"/>
    <w:bookmarkEnd w:id="9"/>
    <w:p>
      <w:pPr>
        <w:jc w:val="both"/>
        <w:ind w:left="440" w:hanging="432"/>
        <w:spacing w:after="0" w:line="255"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March 31, 2026,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ind w:left="440" w:right="2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Zim Norfolk and Zim Xiamen were forward extended for 60 – 63 months. The extensions are expected to commence between 2Q-3Q 2027 and are expected to generate average annualized Adjusted EBITDA of approximately $13.5 million per ship.</w:t>
      </w:r>
    </w:p>
    <w:p>
      <w:pPr>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Anthea Y is fixed for 36 months +/- 30 days and is chartered at a rate expected to generate average annualized Adjusted EBITDA of approximately $12.6 million.</w:t>
      </w: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Sydney Express, Istanbul Express, Bremerhaven Express and Czech were contracted for purchase in 4Q 2024, with three vessels delivered in December 2024 and the fourth in January 2025. Contract cover for each vessel is for a varied median firm duration extending for an average of 1.7 years, or up to an average of 5.1 years if all charterers’ options are exercised. Sydney Express, Istanbul Express, Bremerhaven Express and Czech charters are expected to generate average annualized Adjusted EBITDA of approximately $9.5 million per ship. 12-month extension options were exercised in 3Q 2025 for Bremerhaven Express and Sydney Express.</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65" w:lineRule="auto"/>
        <w:tabs>
          <w:tab w:leader="none" w:pos="440" w:val="left"/>
        </w:tabs>
        <w:numPr>
          <w:ilvl w:val="0"/>
          <w:numId w:val="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MSC Tianjin, MSC Qingdao and Agios Dimitrios charters are expected to generate average annualized Adjusted EBITDA of approximately $6.9 million, $8.1 million, and $5.9 million, respectively. MSC Tianjin, MSC Qingdao and Agios Dimitrios were forward fixed in direct continuation for 36</w:t>
      </w:r>
    </w:p>
    <w:p>
      <w:pPr>
        <w:jc w:val="both"/>
        <w:ind w:left="440"/>
        <w:spacing w:after="0" w:line="25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 38 months. The new charters are expected to commence between 3Q-4Q 2027. MSC Tianjin, MSC Qingdao and Agios Dimitrios new charters are expected to generate average annualized Adjusted EBITDA of approximately $7.8 million, $7.8 million, and $7.1 million, respectively. MSC Qingdao &amp; Agios Dimitrios are fitted with Exhaust Gas Cleaning Systems (“scrubbers”).</w:t>
      </w:r>
    </w:p>
    <w:p>
      <w:pPr>
        <w:spacing w:after="0" w:line="1" w:lineRule="exact"/>
        <w:rPr>
          <w:rFonts w:ascii="Times New Roman" w:cs="Times New Roman" w:eastAsia="Times New Roman" w:hAnsi="Times New Roman"/>
          <w:sz w:val="17"/>
          <w:szCs w:val="17"/>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Ningbo is chartered at a rate expected to generate average annualized Adjusted EBITDA of approximately $16.5 million. GSL Ningbo is forward fixed in direct continuation for 36 – 38 months. The new charter is expected to commence on 3Q 2027 and is expected to generate average annualized Adjusted EBITDA of approximately $7.8 million.</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Alexandra, GSL Sofia, GSL Effie and GSL Lydia. After the initial charter period, extension options were exercised by charterers at rates expected to generate average annualized Adjusted EBITDA of approximately $4.9 million per ship. Thereafter, the ships have been forward fixed for approximately 24 months, with the new charters expected to commence in 2Q-3Q 2026 and generate average annualized Adjusted EBITDA of approximately $8.1 million per ship;</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Lotus A and Koi were delivered to our fleet on December 12, 2025, and December 29, 2025, respectively. Cypress was delivered on January 9, 2026. Lotus A, Koi and Cypress charters have flexible durations, with latest redeliveries in mid-2030, and are expected to generate average annualized Adjusted EBITDA of approximately $3.5 million, $3.1 million, and $3.1 million respectively;</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Eleni, GSL Kalliopi and GSL Grania, are chartered for 35 – 38 months, after which the charterer has the option to extend each charter for a further 12 – 16 months. Each charter is expected to generate average annualized Adjusted EBITDA of approximately $9.6 million for the firm period.</w:t>
      </w: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Colombia Express, Panama Express, Costa Rica Express, Nicaragua Express, Mexico Express, Jamaica Express are fixed to Hapag-Lloyd for 60 months +/- 45 days, followed by two periods of 12 months each at the option of the charterer. The charters are expected to generate average annualized Adjusted EBITDA of approximately $13.1 million per ship.</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CMA CGM Berlioz was forward fixed for 36 – 38 months. The new charter is expected to commence in 2Q 2026 and to generate average annualized Adjusted EBITDA of approximately $6.8 million. As of March 31, 2026, the vessel was under drydock. On April 25, 2026, CMA CGM Berlioz was renamed to Ateti.</w:t>
      </w:r>
    </w:p>
    <w:p>
      <w:pPr>
        <w:spacing w:after="0" w:line="1" w:lineRule="exact"/>
        <w:rPr>
          <w:rFonts w:ascii="Times New Roman" w:cs="Times New Roman" w:eastAsia="Times New Roman" w:hAnsi="Times New Roman"/>
          <w:sz w:val="18"/>
          <w:szCs w:val="18"/>
          <w:i w:val="1"/>
          <w:iCs w:val="1"/>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Nicoletta and GSL Christen charters are expected to generate average annualized Adjusted EBITDA of approximately $11.3 million per ship.</w:t>
      </w:r>
    </w:p>
    <w:p>
      <w:pPr>
        <w:spacing w:after="0" w:line="9"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Vinia and GSL Christel Elizabeth are chartered for 36 – 40 months, after which the charterer has the option to extend each charter for a further 12 – 15 months. The charters are expected to generate average annualized Adjusted EBITDA of approximately $11.2 million per ship for the firm period and $5.8 million per ship for the option period.</w:t>
      </w:r>
    </w:p>
    <w:p>
      <w:pPr>
        <w:spacing w:after="0" w:line="1" w:lineRule="exact"/>
        <w:rPr>
          <w:rFonts w:ascii="Times New Roman" w:cs="Times New Roman" w:eastAsia="Times New Roman" w:hAnsi="Times New Roman"/>
          <w:sz w:val="18"/>
          <w:szCs w:val="18"/>
          <w:i w:val="1"/>
          <w:iCs w:val="1"/>
          <w:color w:val="auto"/>
        </w:rPr>
      </w:pPr>
    </w:p>
    <w:p>
      <w:pPr>
        <w:jc w:val="both"/>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to a leading liner company. GSL Arcadia, GSL Violetta and GSL MYNY new charters commenced in 1Q 2026. The remaining new charters are expected to commence between 2Q 2026 and 1Q 2027. The new charters are expected to generate average annualized Adjusted EBITDA of approximately $5.6 million per ship.</w:t>
      </w:r>
    </w:p>
    <w:p>
      <w:pPr>
        <w:spacing w:after="0" w:line="3" w:lineRule="exact"/>
        <w:rPr>
          <w:rFonts w:ascii="Times New Roman" w:cs="Times New Roman" w:eastAsia="Times New Roman" w:hAnsi="Times New Roman"/>
          <w:sz w:val="18"/>
          <w:szCs w:val="18"/>
          <w:i w:val="1"/>
          <w:iCs w:val="1"/>
          <w:color w:val="auto"/>
        </w:rPr>
      </w:pPr>
    </w:p>
    <w:p>
      <w:pPr>
        <w:ind w:left="440" w:hanging="432"/>
        <w:spacing w:after="0" w:line="25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Ian H charter is expected to generate average annualized Adjusted EBITDA of approximately $10.3 million. In April 2026, Ian H was contracted to be sold for a sale price $25.0 million with estimated delivery following the completion of its existing charter in 4Q 2027.</w:t>
      </w:r>
    </w:p>
    <w:p>
      <w:pPr>
        <w:ind w:left="440" w:hanging="432"/>
        <w:spacing w:after="0" w:line="260" w:lineRule="auto"/>
        <w:tabs>
          <w:tab w:leader="none" w:pos="4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Dolphin II and Orca I are fixed to a leading liner company. Each charter is expected to generate average annualized Adjusted EBITDA of approximately $10.0 million per ship.</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ind w:left="440" w:hanging="432"/>
        <w:spacing w:after="0" w:line="262"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Château d’If and CMA CGM Alcazar were forward fixed for 36 – 38 months. The new charters are expected to commence between 3Q-4Q 2026 and are expected to generate average annualized Adjusted EBITDA of approximately $9.2 million per ship.</w:t>
      </w:r>
    </w:p>
    <w:p>
      <w:pPr>
        <w:ind w:left="440" w:right="20" w:hanging="432"/>
        <w:spacing w:after="0" w:line="25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Susan, CMA CGM Jamaica, CMA CGM Sambhar and CMA CGM America are chartered at rates expected to generate average annualized Adjusted EBITDA of approximately $11.2 million per ship.</w:t>
      </w:r>
    </w:p>
    <w:p>
      <w:pPr>
        <w:ind w:left="440" w:right="20" w:hanging="432"/>
        <w:spacing w:after="0" w:line="25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Rossi is fixed for 35 – 37 months. The new charter commenced in 1Q 2026 and is expected to generate average annualized Adjusted EBITDA of approximately $7.4 million.</w:t>
      </w:r>
    </w:p>
    <w:p>
      <w:pPr>
        <w:ind w:left="440" w:hanging="432"/>
        <w:spacing w:after="0" w:line="25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Melina was forward fixed for 35 – 37 months. The new charter is expected to commence in 4Q 2026 and to generate average annualized Adjusted EBITDA of approximately $7.4 million;</w:t>
      </w:r>
    </w:p>
    <w:p>
      <w:pPr>
        <w:ind w:left="440" w:hanging="432"/>
        <w:spacing w:after="0"/>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Athena is fixed for 24 – 30 months. The charter is expected to generate average annualized Adjusted EBITDA of approximately $5.7 million.</w:t>
      </w:r>
    </w:p>
    <w:p>
      <w:pPr>
        <w:spacing w:after="0" w:line="9" w:lineRule="exact"/>
        <w:rPr>
          <w:rFonts w:ascii="Times New Roman" w:cs="Times New Roman" w:eastAsia="Times New Roman" w:hAnsi="Times New Roman"/>
          <w:sz w:val="18"/>
          <w:szCs w:val="18"/>
          <w:i w:val="1"/>
          <w:iCs w:val="1"/>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Lalo. The charter is expected to generate average annualized Adjusted EBITDA of approximately $5.5 million.</w:t>
      </w:r>
    </w:p>
    <w:p>
      <w:pPr>
        <w:spacing w:after="0" w:line="9" w:lineRule="exact"/>
        <w:rPr>
          <w:rFonts w:ascii="Times New Roman" w:cs="Times New Roman" w:eastAsia="Times New Roman" w:hAnsi="Times New Roman"/>
          <w:sz w:val="18"/>
          <w:szCs w:val="18"/>
          <w:i w:val="1"/>
          <w:iCs w:val="1"/>
          <w:color w:val="auto"/>
        </w:rPr>
      </w:pPr>
    </w:p>
    <w:p>
      <w:pPr>
        <w:ind w:left="440" w:hanging="432"/>
        <w:spacing w:after="0" w:line="25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Elizabeth was forward fixed for 24 – 27 months. The new charter is expected to commence in 3Q 2026 and is expected to generate average annualized Adjusted EBITDA of approximately $7.3 million.</w:t>
      </w:r>
    </w:p>
    <w:p>
      <w:pPr>
        <w:ind w:left="440" w:hanging="432"/>
        <w:spacing w:after="0" w:line="25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Maren was forward fixed in direct continuation for 24 – 26 months. The new charter is expected to commence in 2Q 2026 and is expected to generate average annualized Adjusted EBITDA of approximately $7.3 million.</w:t>
      </w:r>
    </w:p>
    <w:p>
      <w:pPr>
        <w:ind w:left="440" w:hanging="432"/>
        <w:spacing w:after="0"/>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Kumasi is chartered at a rate expected to generate average annualized Adjusted EBITDA of approximately $4.4 million.</w:t>
      </w:r>
    </w:p>
    <w:p>
      <w:pPr>
        <w:spacing w:after="0" w:line="9" w:lineRule="exact"/>
        <w:rPr>
          <w:rFonts w:ascii="Times New Roman" w:cs="Times New Roman" w:eastAsia="Times New Roman" w:hAnsi="Times New Roman"/>
          <w:sz w:val="18"/>
          <w:szCs w:val="18"/>
          <w:i w:val="1"/>
          <w:iCs w:val="1"/>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Julie. The charter is expected to generate average annualized Adjusted EBITDA of approximately $2.9 million.</w:t>
      </w:r>
    </w:p>
    <w:p>
      <w:pPr>
        <w:spacing w:after="0" w:line="9" w:lineRule="exact"/>
        <w:rPr>
          <w:rFonts w:ascii="Times New Roman" w:cs="Times New Roman" w:eastAsia="Times New Roman" w:hAnsi="Times New Roman"/>
          <w:sz w:val="18"/>
          <w:szCs w:val="18"/>
          <w:i w:val="1"/>
          <w:iCs w:val="1"/>
          <w:color w:val="auto"/>
        </w:rPr>
      </w:pPr>
    </w:p>
    <w:p>
      <w:pPr>
        <w:ind w:left="440" w:hanging="432"/>
        <w:spacing w:after="0" w:line="260" w:lineRule="auto"/>
        <w:tabs>
          <w:tab w:leader="none" w:pos="4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May 2026, Manet and Kumasi were contracted to be sold for $13.5 million, each. These ships are scheduled to be delivered to buyers upon expiry of their respective charters in 4Q 2026 - 1Q 2027.</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Global Ship Lease will hold a conference call to discuss the Company’s results for the three months ended March 31, 2026 today, Friday, May 22, 2026 at 10:30 a.m. Eastern Time. There are two ways to access the conference call: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Dial-in: (646) 307-1963 or (800) 715-9871; Event ID: 4424843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dial in at least 10 minutes prior to 10:30 a.m. Eastern Time to ensure a prompt start to the call.</w:t>
      </w:r>
    </w:p>
    <w:p>
      <w:pPr>
        <w:spacing w:after="0" w:line="225" w:lineRule="exact"/>
        <w:rPr>
          <w:sz w:val="20"/>
          <w:szCs w:val="20"/>
          <w:color w:val="auto"/>
        </w:rPr>
      </w:pPr>
    </w:p>
    <w:p>
      <w:pPr>
        <w:ind w:right="4380" w:firstLine="656"/>
        <w:spacing w:after="0" w:line="498" w:lineRule="auto"/>
        <w:tabs>
          <w:tab w:leader="none" w:pos="90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Live Internet webcast and slide presentation: </w:t>
      </w:r>
      <w:r>
        <w:rPr>
          <w:rFonts w:ascii="Times New Roman" w:cs="Times New Roman" w:eastAsia="Times New Roman" w:hAnsi="Times New Roman"/>
          <w:sz w:val="18"/>
          <w:szCs w:val="18"/>
          <w:u w:val="single" w:color="auto"/>
          <w:color w:val="auto"/>
        </w:rPr>
        <w:t>http://www.globalshiplease.com</w:t>
      </w:r>
      <w:r>
        <w:rPr>
          <w:rFonts w:ascii="Times New Roman" w:cs="Times New Roman" w:eastAsia="Times New Roman" w:hAnsi="Times New Roman"/>
          <w:sz w:val="18"/>
          <w:szCs w:val="18"/>
          <w:color w:val="auto"/>
        </w:rPr>
        <w:t xml:space="preserve"> The webcast will also be archived on the Company’s website: </w:t>
      </w:r>
      <w:r>
        <w:rPr>
          <w:rFonts w:ascii="Times New Roman" w:cs="Times New Roman" w:eastAsia="Times New Roman" w:hAnsi="Times New Roman"/>
          <w:sz w:val="18"/>
          <w:szCs w:val="18"/>
          <w:u w:val="single" w:color="auto"/>
          <w:color w:val="auto"/>
        </w:rPr>
        <w:t>http://www.globalshiplease.com.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Company’s Annual Report for 2025 was filed with the U.S. Securities and Exchange Commission (the “SEC”) on March 16, 2026. A copy of the report can be found under the Investor Relations section (Annual Reports) of the Company’s website at </w:t>
      </w:r>
      <w:r>
        <w:rPr>
          <w:rFonts w:ascii="Times New Roman" w:cs="Times New Roman" w:eastAsia="Times New Roman" w:hAnsi="Times New Roman"/>
          <w:sz w:val="18"/>
          <w:szCs w:val="18"/>
          <w:u w:val="single" w:color="auto"/>
          <w:color w:val="auto"/>
        </w:rPr>
        <w:t>http://www.globalshiplease.com</w:t>
      </w:r>
      <w:r>
        <w:rPr>
          <w:rFonts w:ascii="Times New Roman" w:cs="Times New Roman" w:eastAsia="Times New Roman" w:hAnsi="Times New Roman"/>
          <w:sz w:val="18"/>
          <w:szCs w:val="18"/>
          <w:color w:val="auto"/>
        </w:rPr>
        <w:t xml:space="preserve"> or on the SEC’s website at www.sec.gov. Shareholders may request a hard copy of the audited financial statements free of charge by contacting the Company at </w:t>
      </w:r>
      <w:r>
        <w:rPr>
          <w:rFonts w:ascii="Times New Roman" w:cs="Times New Roman" w:eastAsia="Times New Roman" w:hAnsi="Times New Roman"/>
          <w:sz w:val="18"/>
          <w:szCs w:val="18"/>
          <w:u w:val="single" w:color="auto"/>
          <w:color w:val="auto"/>
        </w:rPr>
        <w:t>info@globalshiplease.com</w:t>
      </w:r>
      <w:r>
        <w:rPr>
          <w:rFonts w:ascii="Times New Roman" w:cs="Times New Roman" w:eastAsia="Times New Roman" w:hAnsi="Times New Roman"/>
          <w:sz w:val="18"/>
          <w:szCs w:val="18"/>
          <w:color w:val="auto"/>
        </w:rPr>
        <w:t xml:space="preserve"> or by writing to Global Ship Lease, Inc, c/o GSL Enterprises Ltd., 9 Irodou Attikou Street, Kifisia, Athens, 14561.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Global Ship Lease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Ship Lease is a leading independent owner of containerships with a diversified fleet of mid-sized and smaller containerships. Incorporated in the Marshall Islands, Global Ship Lease commenced operations in December 2007 with a business of owning and chartering out containerships under fixed-rate charters to top tier container liner companies. It was listed on the New York Stock Exchange in August 2008.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fleet of 71 vessels as of March 31, 2026, had an average age weighted by TEU capacity of 18.2 years. 41 ships are wide-beam Post-Panamax.</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2026, the average remaining term of the Company’s charters, to the mid-point of redelivery, including options under the Company’s control and other than if a redelivery notice has been received, was 2.6 years on a TEU-weighted basis. Contracted revenue on the same basis was $2.05 billion. Contracted revenue was $2.58 billion, including options under charterers’ control and with latest redelivery date, representing a weighted average remaining term of 3.3 years.</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Reconciliation of Non-U.S. 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our financial information presented in accordance with U.S. GAAP, we use certain “non-GAAP financial measures” as such term is defined in Regulation G promulgated by the SEC. Generally, a non-GAAP financial measure is a numerical measure of a company’s operating performance, financial position or cash flows that excludes or includes amounts that are included in, or excluded from, the most directly comparable measure calculated and presented in accordance with U.S. GAAP. We believe that the presentation of these measures provides investors with greater transparency and supplemental data relating to our financial condition and results of operations, and therefore a more complete understanding of factors affecting our business and financial performance than U.S. GAAP measures alone. In addition, we believe that the presentation of these matters is useful to investors for period-to-period comparison of results as the items may reflect certain unique and/or non-operating items or items outside of our control.</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the presentation of the following non-U.S. GAAP financial measures is useful to investors because they are frequently used by securities analysts, investors and other interested parties in the evaluation of companies in our industry.</w:t>
      </w:r>
    </w:p>
    <w:p>
      <w:pPr>
        <w:spacing w:after="0" w:line="1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Adjusted EBITDA</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Adjusted EBITDA represents net income available to common shareholders before interest income and expense, earnings allocated to preferred shares, depreciation and amortization, gains or losses on the sale of vessels, amortization of intangible liabilities, charges for share based compensation, fair value adjustment on derivative assets and other financial instruments, income tax, and the effect of the straight lining of time charter modifications. Adjusted EBITDA is a non-U.S. GAAP quantitative measure used to assist in the assessment of our ability to generate cash from our operations. We believe that the presentation of Adjusted EBITDA is useful to investors because it is frequently used by securities analysts, investors and other interested parties in the evaluation of companies in our industry. Adjusted EBITDA is not defined in U.S. GAAP and should not be considered to be an alternative to net income or any other financial metric required by such accounting principles. Our use of Adjusted EBITDA may vary from the use of similarly titled measures by others in our industry.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presented herein both on a historic basis and on a forward-looking basis in certain instances. We do not provide a reconciliation of such forward looking non-U.S. GAAP financial measure to the most directly comparable U.S. GAAP measure due to the inherent difficulty in accurately forecasting and quantifying certain amounts necessary for such reconciliation, and we are not able to provide such reconciliation of such forward-looking non-U.S. GAAP financial measure without unreasonable effort and expense.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 UNAUDITED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Three</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198"/>
        </w:trPr>
        <w:tc>
          <w:tcPr>
            <w:tcW w:w="86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months ended</w:t>
            </w:r>
          </w:p>
        </w:tc>
        <w:tc>
          <w:tcPr>
            <w:tcW w:w="0" w:type="dxa"/>
            <w:vAlign w:val="bottom"/>
          </w:tcPr>
          <w:p>
            <w:pPr>
              <w:spacing w:after="0"/>
              <w:rPr>
                <w:sz w:val="1"/>
                <w:szCs w:val="1"/>
                <w:color w:val="auto"/>
              </w:rPr>
            </w:pPr>
          </w:p>
        </w:tc>
      </w:tr>
      <w:tr>
        <w:trPr>
          <w:trHeight w:val="194"/>
        </w:trPr>
        <w:tc>
          <w:tcPr>
            <w:tcW w:w="8640" w:type="dxa"/>
            <w:vAlign w:val="bottom"/>
          </w:tcPr>
          <w:p>
            <w:pPr>
              <w:spacing w:after="0"/>
              <w:rPr>
                <w:sz w:val="16"/>
                <w:szCs w:val="16"/>
                <w:color w:val="auto"/>
              </w:rPr>
            </w:pPr>
          </w:p>
        </w:tc>
        <w:tc>
          <w:tcPr>
            <w:tcW w:w="13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w w:val="99"/>
              </w:rPr>
              <w:t>March 31, 2026</w:t>
            </w:r>
          </w:p>
        </w:tc>
        <w:tc>
          <w:tcPr>
            <w:tcW w:w="12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w w:val="97"/>
              </w:rPr>
              <w:t>March 31, 2025</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  Depreciation and amortization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vessels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intangible liabilities</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(6,247)</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c>
          <w:tcPr>
            <w:tcW w:w="0" w:type="dxa"/>
            <w:vAlign w:val="bottom"/>
          </w:tcPr>
          <w:p>
            <w:pPr>
              <w:spacing w:after="0"/>
              <w:rPr>
                <w:sz w:val="1"/>
                <w:szCs w:val="1"/>
                <w:color w:val="auto"/>
              </w:rPr>
            </w:pPr>
          </w:p>
        </w:tc>
      </w:tr>
      <w:tr>
        <w:trPr>
          <w:trHeight w:val="216"/>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Fair value adjustment on derivative asset and other financial instruments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income</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(5,666)</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(3,195)</w:t>
            </w:r>
          </w:p>
        </w:tc>
        <w:tc>
          <w:tcPr>
            <w:tcW w:w="0" w:type="dxa"/>
            <w:vAlign w:val="bottom"/>
          </w:tcPr>
          <w:p>
            <w:pPr>
              <w:spacing w:after="0"/>
              <w:rPr>
                <w:sz w:val="1"/>
                <w:szCs w:val="1"/>
                <w:color w:val="auto"/>
              </w:rPr>
            </w:pPr>
          </w:p>
        </w:tc>
      </w:tr>
      <w:tr>
        <w:trPr>
          <w:trHeight w:val="216"/>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Earnings allocated to preferred shares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Effect from straight lining time charter modifications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133,186</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tabs>
          <w:tab w:leader="none" w:pos="32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7"/>
          <w:szCs w:val="17"/>
          <w:color w:val="auto"/>
        </w:rPr>
        <w:t>Normalized net income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Normalized net income represents net income available to common shareholders after adjusting for certain non-recurring items. Normalized net income is a non-U.S. GAAP quantitative measure which we believe will assist investors and analysts who often adjust reported net income for items that do not affect operating performance or operating cash generated. Normalized net income is not defined in U.S. GAAP and should not be considered to be an alternate to net income or any other financial metric required by such accounting principles. Our use of Normalized net income may vary from the use of similarly titled measures by others in our industry.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NORMALIZED NET INCOME – UNAUDITED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(thousands of U.S. dollars)</w:t>
            </w: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Three</w:t>
            </w:r>
          </w:p>
        </w:tc>
        <w:tc>
          <w:tcPr>
            <w:tcW w:w="12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Three</w:t>
            </w:r>
          </w:p>
        </w:tc>
        <w:tc>
          <w:tcPr>
            <w:tcW w:w="0" w:type="dxa"/>
            <w:vAlign w:val="bottom"/>
          </w:tcPr>
          <w:p>
            <w:pPr>
              <w:spacing w:after="0"/>
              <w:rPr>
                <w:sz w:val="1"/>
                <w:szCs w:val="1"/>
                <w:color w:val="auto"/>
              </w:rPr>
            </w:pPr>
          </w:p>
        </w:tc>
      </w:tr>
      <w:tr>
        <w:trPr>
          <w:trHeight w:val="198"/>
        </w:trPr>
        <w:tc>
          <w:tcPr>
            <w:tcW w:w="8640" w:type="dxa"/>
            <w:vAlign w:val="bottom"/>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months ended</w:t>
            </w:r>
          </w:p>
        </w:tc>
        <w:tc>
          <w:tcPr>
            <w:tcW w:w="0" w:type="dxa"/>
            <w:vAlign w:val="bottom"/>
          </w:tcPr>
          <w:p>
            <w:pPr>
              <w:spacing w:after="0"/>
              <w:rPr>
                <w:sz w:val="1"/>
                <w:szCs w:val="1"/>
                <w:color w:val="auto"/>
              </w:rPr>
            </w:pPr>
          </w:p>
        </w:tc>
      </w:tr>
      <w:tr>
        <w:trPr>
          <w:trHeight w:val="194"/>
        </w:trPr>
        <w:tc>
          <w:tcPr>
            <w:tcW w:w="8640" w:type="dxa"/>
            <w:vAlign w:val="bottom"/>
          </w:tcPr>
          <w:p>
            <w:pPr>
              <w:spacing w:after="0"/>
              <w:rPr>
                <w:sz w:val="16"/>
                <w:szCs w:val="16"/>
                <w:color w:val="auto"/>
              </w:rPr>
            </w:pPr>
          </w:p>
        </w:tc>
        <w:tc>
          <w:tcPr>
            <w:tcW w:w="13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w w:val="99"/>
              </w:rPr>
              <w:t>March 31, 2026</w:t>
            </w:r>
          </w:p>
        </w:tc>
        <w:tc>
          <w:tcPr>
            <w:tcW w:w="12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w w:val="97"/>
              </w:rPr>
              <w:t>March 31, 2025</w:t>
            </w:r>
          </w:p>
        </w:tc>
        <w:tc>
          <w:tcPr>
            <w:tcW w:w="0" w:type="dxa"/>
            <w:vAlign w:val="bottom"/>
          </w:tcPr>
          <w:p>
            <w:pPr>
              <w:spacing w:after="0"/>
              <w:rPr>
                <w:sz w:val="1"/>
                <w:szCs w:val="1"/>
                <w:color w:val="auto"/>
              </w:rPr>
            </w:pPr>
          </w:p>
        </w:tc>
      </w:tr>
      <w:tr>
        <w:trPr>
          <w:trHeight w:val="237"/>
        </w:trPr>
        <w:tc>
          <w:tcPr>
            <w:tcW w:w="86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  Fair value adjustment on derivative asset and other financial instruments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 of vessels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c>
          <w:tcPr>
            <w:tcW w:w="0" w:type="dxa"/>
            <w:vAlign w:val="bottom"/>
          </w:tcPr>
          <w:p>
            <w:pPr>
              <w:spacing w:after="0"/>
              <w:rPr>
                <w:sz w:val="1"/>
                <w:szCs w:val="1"/>
                <w:color w:val="auto"/>
              </w:rPr>
            </w:pPr>
          </w:p>
        </w:tc>
      </w:tr>
      <w:tr>
        <w:trPr>
          <w:trHeight w:val="216"/>
        </w:trPr>
        <w:tc>
          <w:tcPr>
            <w:tcW w:w="8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Amortization of original issue discount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Accelerated write off of deferred financing charges related to full repayment of ESUN Credit Facility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net income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92,090</w:t>
            </w: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7"/>
          <w:szCs w:val="17"/>
          <w:color w:val="auto"/>
        </w:rPr>
        <w:t>Normalized Earnings per Share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Normalized Earnings per Share represents Earnings per Share after adjusting for certain non-recurring items. Normalized Earnings per Share is a non-U.S. GAAP quantitative measure which we believe will assist investors and analysts who often adjust reported Earnings per Share for items that do not affect operating performance or operating cash generated. Normalized Earnings per Share is not defined in U.S. GAAP and should not be considered to be an alternate to Earnings per Share as reported or any other financial metric required by such accounting principles. Our use of Normalized Earnings per Share may vary from the use of similarly titled measures by others in our industry.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NORMALIZED EARNINGS PER SHARE – UNAUDITED</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64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Three</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Three</w:t>
            </w:r>
          </w:p>
        </w:tc>
      </w:tr>
      <w:tr>
        <w:trPr>
          <w:trHeight w:val="216"/>
        </w:trPr>
        <w:tc>
          <w:tcPr>
            <w:tcW w:w="86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months ended</w:t>
            </w:r>
          </w:p>
        </w:tc>
      </w:tr>
      <w:tr>
        <w:trPr>
          <w:trHeight w:val="194"/>
        </w:trPr>
        <w:tc>
          <w:tcPr>
            <w:tcW w:w="8640" w:type="dxa"/>
            <w:vAlign w:val="bottom"/>
          </w:tcPr>
          <w:p>
            <w:pPr>
              <w:spacing w:after="0"/>
              <w:rPr>
                <w:sz w:val="16"/>
                <w:szCs w:val="16"/>
                <w:color w:val="auto"/>
              </w:rPr>
            </w:pPr>
          </w:p>
        </w:tc>
        <w:tc>
          <w:tcPr>
            <w:tcW w:w="1360" w:type="dxa"/>
            <w:vAlign w:val="bottom"/>
            <w:gridSpan w:val="2"/>
          </w:tcPr>
          <w:p>
            <w:pPr>
              <w:jc w:val="right"/>
              <w:ind w:right="200"/>
              <w:spacing w:after="0" w:line="194" w:lineRule="exact"/>
              <w:rPr>
                <w:sz w:val="20"/>
                <w:szCs w:val="20"/>
                <w:color w:val="auto"/>
              </w:rPr>
            </w:pPr>
            <w:r>
              <w:rPr>
                <w:rFonts w:ascii="Times New Roman" w:cs="Times New Roman" w:eastAsia="Times New Roman" w:hAnsi="Times New Roman"/>
                <w:sz w:val="18"/>
                <w:szCs w:val="18"/>
                <w:color w:val="auto"/>
                <w:w w:val="99"/>
              </w:rPr>
              <w:t>March 31, 2026</w:t>
            </w:r>
          </w:p>
        </w:tc>
        <w:tc>
          <w:tcPr>
            <w:tcW w:w="1240" w:type="dxa"/>
            <w:vAlign w:val="bottom"/>
            <w:gridSpan w:val="2"/>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w w:val="97"/>
              </w:rPr>
              <w:t>March 31, 2025</w:t>
            </w:r>
          </w:p>
        </w:tc>
      </w:tr>
      <w:tr>
        <w:trPr>
          <w:trHeight w:val="237"/>
        </w:trPr>
        <w:tc>
          <w:tcPr>
            <w:tcW w:w="864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EPS as reported (USD)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Normalized net income adjustments-Class A common shares (in thousands USD)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(26,733)</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35,974,531</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35,584,556</w:t>
            </w:r>
          </w:p>
        </w:tc>
        <w:tc>
          <w:tcPr>
            <w:tcW w:w="100" w:type="dxa"/>
            <w:vAlign w:val="bottom"/>
            <w:shd w:val="clear" w:color="auto" w:fill="CCEEFF"/>
          </w:tcPr>
          <w:p>
            <w:pPr>
              <w:spacing w:after="0"/>
              <w:rPr>
                <w:sz w:val="18"/>
                <w:szCs w:val="18"/>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Adjustment on EPS (USD)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(0.75)</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Normalized EPS (USD)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18"/>
                <w:szCs w:val="18"/>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declaration and payment of dividends will be subject at all times to the discretion of the Company’s Board of Directors. The timing and amount of dividends, if any, will depend on the Company’s earnings, financial condition, cash flow, capital requirements, growth opportunities, restrictions in its loan agreements and financing arrangements, the provisions of Marshall Islands law affecting the payment of dividends, and other factors. For further information on the Company’s dividend policy, please see its most recent Annual Report on Form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“should”, “project”, “will” or similar words or phrases, or the negatives of those words or phrases, may identify forward-looking statements, but the absence of these words does not necessarily mean that a statement is not forward-looking. These forward-looking statements are based on assumptions that may be incorrect, and Global Ship Lease cannot assure you that these projections included in these forward-looking statements will come to pass. Actual results could differ materially from those expressed or implied by the forward-looking statements as a result of various factors.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and uncertainties include, but are not limited to:</w:t>
      </w:r>
    </w:p>
    <w:p>
      <w:pPr>
        <w:spacing w:after="0" w:line="207"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operating or financial results;</w:t>
      </w:r>
    </w:p>
    <w:p>
      <w:pPr>
        <w:spacing w:after="0" w:line="22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strength of future growth of the container shipping industry, including the rates of annual demand and supply growth;</w:t>
      </w:r>
    </w:p>
    <w:p>
      <w:pPr>
        <w:spacing w:after="0" w:line="161"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events such as the war in Iran and disruption to the Strait of Hormuz, war between Russia and Ukraine; ongoing tensions between Israel and Hamas, ongoing disputes between China and Taiwan, deteriorating trade relations between the U.S. and China, and ongoing political unrest and conflicts in the Middle East and other regions throughout the world;</w:t>
      </w:r>
    </w:p>
    <w:p>
      <w:pPr>
        <w:spacing w:after="0" w:line="17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disruptions of shipping routes, including due to the closure of the Strait of Hormuz, lower water levels in the Panama Canal and the ongoing attacks by Houthis in the Red Sea;</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pandemics, epidemics, and other disease outbreaks around the world and governmental responses thereto;</w:t>
      </w:r>
    </w:p>
    <w:p>
      <w:pPr>
        <w:spacing w:after="0" w:line="22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charterers and their ability and willingness to pay charterhire to us in accordance with the charters and our expectations regarding the same;</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health and condition of the U.S. and global financial markets;</w:t>
      </w:r>
    </w:p>
    <w:p>
      <w:pPr>
        <w:spacing w:after="0" w:line="22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trade barriers, and embargos, including uncertainty surrounding the imposition and legality of tariffs by the U.S. and the effects of retaliatory tariffs and countermeasures from affected countries;</w:t>
      </w:r>
    </w:p>
    <w:p>
      <w:pPr>
        <w:spacing w:after="0" w:line="16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surrounding recently implemented and suspended port fee regimes in the United States and China that may be applicable to a number of our vessels;</w:t>
      </w:r>
    </w:p>
    <w:p>
      <w:pPr>
        <w:spacing w:after="0" w:line="16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liquidity, including our ability to obtain additional financing to fund capital expenditures, vessel acquisitions and for other general corporate purposes and our ability to meet our financial covenants and repay our borrowings;</w:t>
      </w:r>
    </w:p>
    <w:p>
      <w:pPr>
        <w:spacing w:after="0" w:line="16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relating to dividend payments and expectations of our ability to make such payments including the availability of cash and the impact of constraints under our loan agreements;</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business strategy and expected capital spending;</w:t>
      </w:r>
    </w:p>
    <w:p>
      <w:pPr>
        <w:spacing w:after="0" w:line="225"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availability of key employees, crew, number of off-hire days, drydocking and survey requirements, costs of regulatory compliance, insurance costs and general and administrative costs;</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shipping industry trends, including charter rates and factors affecting supply and demand;</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regarding interest rates and inflation;</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rate of growth of global and various regional economies;</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ind w:left="9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incidental to vessel operation, including piracy, discharge of pollutants and vessel accidents and damage including total or constructive total loss;</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future capital expenditures needed to preserve our capital base;</w:t>
      </w:r>
    </w:p>
    <w:p>
      <w:pPr>
        <w:spacing w:after="0" w:line="225"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the availability of vessels to purchase, the time that it may take to construct new vessels, or the useful lives of our vessels;</w:t>
      </w:r>
    </w:p>
    <w:p>
      <w:pPr>
        <w:spacing w:after="0" w:line="161" w:lineRule="exact"/>
        <w:rPr>
          <w:rFonts w:ascii="Times New Roman" w:cs="Times New Roman" w:eastAsia="Times New Roman" w:hAnsi="Times New Roman"/>
          <w:sz w:val="18"/>
          <w:szCs w:val="18"/>
          <w:color w:val="auto"/>
        </w:rPr>
      </w:pPr>
    </w:p>
    <w:p>
      <w:pPr>
        <w:ind w:left="900" w:hanging="325"/>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enter into or renew charters including the re-chartering of vessels on the expiry of existing charters, or to secure profitable employment for our vessels in the spot market;</w:t>
      </w:r>
    </w:p>
    <w:p>
      <w:pPr>
        <w:spacing w:after="0" w:line="161"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 of secondhand vessels;</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capitalize on our management’s and directors’ relationships and reputations in the containership industry to its advantage;</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and classification societies’ rules and regulations or actions taken by regulatory authorities;</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the availability of insurance on commercially reasonable terms;</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(including environmental rules and regulations);</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from future litigation; and</w:t>
      </w:r>
    </w:p>
    <w:p>
      <w:pPr>
        <w:spacing w:after="0" w:line="225"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important factors described from time to time in the reports we file with the SEC.</w:t>
      </w:r>
    </w:p>
    <w:p>
      <w:pPr>
        <w:spacing w:after="0" w:line="225" w:lineRule="exact"/>
        <w:rPr>
          <w:sz w:val="20"/>
          <w:szCs w:val="20"/>
          <w:color w:val="auto"/>
        </w:rPr>
      </w:pPr>
    </w:p>
    <w:p>
      <w:pPr>
        <w:jc w:val="both"/>
        <w:ind w:firstLine="10"/>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specifically as described in Global Ship Lease’s filings with the SEC. Accordingly, you should not unduly rely on these forward-looking statements, which speak only as of the date of this communication. Global Ship Lease undertakes no obligation to publicly revise any forward-looking statement to reflect circumstances or events after the date of this communication or to reflect the occurrence of unanticipated events. You should, however, review the factors and risks Global Ship Lease describes in the reports it will file from time to time with the SEC after the date of this communication.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Global Ship Lease, Inc.</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Interim Unaudited Condensed Consolidated Balance Sheets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(Expressed in thousands of U.S. dollars except share data)</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100" w:type="dxa"/>
            <w:vAlign w:val="bottom"/>
          </w:tcPr>
          <w:p>
            <w:pPr>
              <w:spacing w:after="0"/>
              <w:rPr>
                <w:sz w:val="24"/>
                <w:szCs w:val="24"/>
                <w:color w:val="auto"/>
              </w:rPr>
            </w:pPr>
          </w:p>
        </w:tc>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404,938</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273,876</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49,887</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33,623</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and other financial instruments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681,263</w:t>
            </w:r>
          </w:p>
        </w:tc>
        <w:tc>
          <w:tcPr>
            <w:tcW w:w="1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626,988</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 CURRENT ASSETS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1,989,222</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1,962,888</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for vessels' acquisitions and other additions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dry dock and special survey costs, net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110,936</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 - current assets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10,830</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other instruments, net of current portion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113,600</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 current assets</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2,218,385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2,234,215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2,899,648</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2,861,203</w:t>
            </w:r>
          </w:p>
        </w:tc>
      </w:tr>
      <w:tr>
        <w:trPr>
          <w:trHeight w:val="21"/>
        </w:trPr>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61,912</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47,727</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147,567</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48,885</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301,490</w:t>
            </w:r>
          </w:p>
        </w:tc>
        <w:tc>
          <w:tcPr>
            <w:tcW w:w="1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306,783</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Long - term debt, net of current portion and deferred financing costs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505,315</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541,575</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liabilities-charter agreements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90,054</w:t>
            </w: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121,707</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 current liabilities</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722,835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1,024,325</w:t>
            </w:r>
          </w:p>
        </w:tc>
        <w:tc>
          <w:tcPr>
            <w:tcW w:w="100" w:type="dxa"/>
            <w:vAlign w:val="bottom"/>
          </w:tcPr>
          <w:p>
            <w:pPr>
              <w:spacing w:after="0"/>
              <w:rPr>
                <w:sz w:val="19"/>
                <w:szCs w:val="19"/>
                <w:color w:val="auto"/>
              </w:rPr>
            </w:pPr>
          </w:p>
        </w:tc>
        <w:tc>
          <w:tcPr>
            <w:tcW w:w="5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1,060,119</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 authorized 214,000,000 shares with a $0.01 par value 35,918,244 shares issued and</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(2025 – 35,913,628 shares)</w:t>
            </w:r>
          </w:p>
        </w:tc>
        <w:tc>
          <w:tcPr>
            <w:tcW w:w="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198"/>
        </w:trPr>
        <w:tc>
          <w:tcPr>
            <w:tcW w:w="8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Shares - authorized 104,000 shares with a $0.01 par value 43,592 shares issued and</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(2025 – 43,592 shares)</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694,331</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1,104,617</w:t>
            </w: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1,875,323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1,801,084</w:t>
            </w:r>
          </w:p>
        </w:tc>
      </w:tr>
      <w:tr>
        <w:trPr>
          <w:trHeight w:val="257"/>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2,899,648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2,861,203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530"/>
              <w:spacing w:after="0"/>
              <w:rPr>
                <w:sz w:val="20"/>
                <w:szCs w:val="20"/>
                <w:color w:val="auto"/>
              </w:rPr>
            </w:pPr>
            <w:r>
              <w:rPr>
                <w:rFonts w:ascii="Times New Roman" w:cs="Times New Roman" w:eastAsia="Times New Roman" w:hAnsi="Times New Roman"/>
                <w:sz w:val="18"/>
                <w:szCs w:val="18"/>
                <w:b w:val="1"/>
                <w:bCs w:val="1"/>
                <w:color w:val="auto"/>
                <w:w w:val="99"/>
              </w:rPr>
              <w:t>Global Ship Lease, Inc.</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b w:val="1"/>
                <w:bCs w:val="1"/>
                <w:color w:val="auto"/>
                <w:w w:val="99"/>
              </w:rPr>
              <w:t>Interim Unaudited Condensed Consolidated Statements of Income</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tcPr>
          <w:p>
            <w:pPr>
              <w:jc w:val="center"/>
              <w:ind w:left="2490"/>
              <w:spacing w:after="0"/>
              <w:rPr>
                <w:sz w:val="20"/>
                <w:szCs w:val="20"/>
                <w:color w:val="auto"/>
              </w:rPr>
            </w:pPr>
            <w:r>
              <w:rPr>
                <w:rFonts w:ascii="Times New Roman" w:cs="Times New Roman" w:eastAsia="Times New Roman" w:hAnsi="Times New Roman"/>
                <w:sz w:val="18"/>
                <w:szCs w:val="18"/>
                <w:color w:val="auto"/>
                <w:w w:val="99"/>
              </w:rPr>
              <w:t>(Expressed in thousands of U.S. dollars)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8680" w:type="dxa"/>
            <w:vAlign w:val="bottom"/>
          </w:tcPr>
          <w:p>
            <w:pPr>
              <w:spacing w:after="0"/>
              <w:rPr>
                <w:sz w:val="24"/>
                <w:szCs w:val="24"/>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187,761</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liabilities-charter agreements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198,079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Vessel operating expenses (includes related party vessel operating expenses of $6,532 and $5,608 for each of the three</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month periods ended March 31, 2026 and 2025, respectively)</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50,008</w:t>
            </w: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Time charter and voyage expenses (includes related party time charter and voyage expenses of $2,208 and $1,932 for</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each of the three month periods ended March 31, 2026 and 2025, respectively)</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97,418</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INCOME/(EXPENSES)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finance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derivative asset and other financial instruments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(3,589)</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(5,104)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93,829</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Earnings allocated to Series B Preferred Shares</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3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121,010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6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93,829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123,394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derivative assets' premium</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original issue discount on instruments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liabilities-charter agreements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(6,247)</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derivative asset/financial instrument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accounts receivable and other assets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derivative assets/financial instruments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payable and other liabilities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related parties' balances, net</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drydocking and special survey costs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(4,681)</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102,814</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vessels</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vessel expenditures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Advances for vessel acquisitions and other additions</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vessels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54,226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and other instruments withdrawn</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104,614</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credit facilities/sale and leaseback</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facilities/sale and leaseback</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(36,892)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(40,997)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debt including prepayment fees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offering of Class A common shares, net of offering costs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shares-dividend paid</w:t>
            </w: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(22,484)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shares-dividend paid</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86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(61,800)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66,841</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123,090</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170,371</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beginning of the period</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339,340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247,624</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period</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462,430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417,995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10,471</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11,215</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interest rate caps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4,492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vessels and intangibles</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 assets/ FX option</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3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(3,501)</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INTERIM UNAUDITED CONDENSED CONSOLIDATED FINANCIAL STATEMENTS</w:t>
      </w: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PERIOD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GLOBAL SHIP LEASE, INC.</w:t>
            </w:r>
          </w:p>
        </w:tc>
        <w:tc>
          <w:tcPr>
            <w:tcW w:w="960" w:type="dxa"/>
            <w:vAlign w:val="bottom"/>
          </w:tcPr>
          <w:p>
            <w:pPr>
              <w:spacing w:after="0"/>
              <w:rPr>
                <w:sz w:val="20"/>
                <w:szCs w:val="20"/>
                <w:color w:val="auto"/>
              </w:rPr>
            </w:pPr>
          </w:p>
        </w:tc>
      </w:tr>
      <w:tr>
        <w:trPr>
          <w:trHeight w:val="459"/>
        </w:trPr>
        <w:tc>
          <w:tcPr>
            <w:tcW w:w="1028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89"/>
        </w:trPr>
        <w:tc>
          <w:tcPr>
            <w:tcW w:w="160" w:type="dxa"/>
            <w:vAlign w:val="bottom"/>
            <w:shd w:val="clear" w:color="auto" w:fill="CCEEFF"/>
          </w:tcPr>
          <w:p>
            <w:pPr>
              <w:spacing w:after="0"/>
              <w:rPr>
                <w:sz w:val="16"/>
                <w:szCs w:val="16"/>
                <w:color w:val="auto"/>
              </w:rPr>
            </w:pPr>
          </w:p>
        </w:tc>
        <w:tc>
          <w:tcPr>
            <w:tcW w:w="10120" w:type="dxa"/>
            <w:vAlign w:val="bottom"/>
            <w:gridSpan w:val="10"/>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EE"/>
                <w:w w:val="99"/>
              </w:rPr>
              <w:t>INTERIM UNAUDITED CONDENSED CONSOLIDATED BALANCE SHEETS AS AT MARCH 31, 2026 AND DECEMBER 31, 2025</w:t>
            </w:r>
          </w:p>
        </w:tc>
        <w:tc>
          <w:tcPr>
            <w:tcW w:w="96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F-1</w:t>
            </w:r>
          </w:p>
        </w:tc>
      </w:tr>
      <w:tr>
        <w:trPr>
          <w:trHeight w:val="176"/>
        </w:trPr>
        <w:tc>
          <w:tcPr>
            <w:tcW w:w="160" w:type="dxa"/>
            <w:vAlign w:val="bottom"/>
            <w:tcBorders>
              <w:top w:val="single" w:sz="8" w:color="CCEEFF"/>
            </w:tcBorders>
          </w:tcPr>
          <w:p>
            <w:pPr>
              <w:spacing w:after="0"/>
              <w:rPr>
                <w:sz w:val="15"/>
                <w:szCs w:val="15"/>
                <w:color w:val="auto"/>
              </w:rPr>
            </w:pPr>
          </w:p>
        </w:tc>
        <w:tc>
          <w:tcPr>
            <w:tcW w:w="9500" w:type="dxa"/>
            <w:vAlign w:val="bottom"/>
            <w:tcBorders>
              <w:top w:val="single" w:sz="8" w:color="0000EE"/>
              <w:bottom w:val="single" w:sz="8" w:color="0000EE"/>
            </w:tcBorders>
            <w:gridSpan w:val="5"/>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INTERIM UNAUDITED CONDENSED CONSOLIDATED STATEMENTS OF INCOME FOR THE THREE MONTHS ENDED</w:t>
            </w:r>
          </w:p>
        </w:tc>
        <w:tc>
          <w:tcPr>
            <w:tcW w:w="560" w:type="dxa"/>
            <w:vAlign w:val="bottom"/>
            <w:tcBorders>
              <w:top w:val="single" w:sz="8" w:color="0000EE"/>
            </w:tcBorders>
            <w:gridSpan w:val="4"/>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96"/>
        </w:trPr>
        <w:tc>
          <w:tcPr>
            <w:tcW w:w="160" w:type="dxa"/>
            <w:vAlign w:val="bottom"/>
          </w:tcPr>
          <w:p>
            <w:pPr>
              <w:spacing w:after="0"/>
              <w:rPr>
                <w:sz w:val="17"/>
                <w:szCs w:val="17"/>
                <w:color w:val="auto"/>
              </w:rPr>
            </w:pPr>
          </w:p>
        </w:tc>
        <w:tc>
          <w:tcPr>
            <w:tcW w:w="10120" w:type="dxa"/>
            <w:vAlign w:val="bottom"/>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31, 2026 AND 2025</w:t>
            </w:r>
          </w:p>
        </w:tc>
        <w:tc>
          <w:tcPr>
            <w:tcW w:w="960" w:type="dxa"/>
            <w:vAlign w:val="bottom"/>
          </w:tcPr>
          <w:p>
            <w:pPr>
              <w:spacing w:after="0"/>
              <w:rPr>
                <w:sz w:val="17"/>
                <w:szCs w:val="17"/>
                <w:color w:val="auto"/>
              </w:rPr>
            </w:pPr>
          </w:p>
        </w:tc>
      </w:tr>
      <w:tr>
        <w:trPr>
          <w:trHeight w:val="20"/>
        </w:trPr>
        <w:tc>
          <w:tcPr>
            <w:tcW w:w="16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6"/>
        </w:trPr>
        <w:tc>
          <w:tcPr>
            <w:tcW w:w="160" w:type="dxa"/>
            <w:vAlign w:val="bottom"/>
            <w:tcBorders>
              <w:bottom w:val="single" w:sz="8" w:color="CCEEFF"/>
            </w:tcBorders>
            <w:shd w:val="clear" w:color="auto" w:fill="CCEEFF"/>
          </w:tcPr>
          <w:p>
            <w:pPr>
              <w:spacing w:after="0"/>
              <w:rPr>
                <w:sz w:val="15"/>
                <w:szCs w:val="15"/>
                <w:color w:val="auto"/>
              </w:rPr>
            </w:pPr>
          </w:p>
        </w:tc>
        <w:tc>
          <w:tcPr>
            <w:tcW w:w="9600" w:type="dxa"/>
            <w:vAlign w:val="bottom"/>
            <w:tcBorders>
              <w:bottom w:val="single" w:sz="8" w:color="0000EE"/>
            </w:tcBorders>
            <w:gridSpan w:val="6"/>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INTERIM UNAUDITED CONDENSED CONSOLIDATED STATEMENTS OF COMPREHENSIVE INCOME FOR THE THREE</w:t>
            </w:r>
          </w:p>
        </w:tc>
        <w:tc>
          <w:tcPr>
            <w:tcW w:w="520" w:type="dxa"/>
            <w:vAlign w:val="bottom"/>
            <w:tcBorders>
              <w:bottom w:val="single" w:sz="8" w:color="CCEEFF"/>
            </w:tcBorders>
            <w:gridSpan w:val="4"/>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196"/>
        </w:trPr>
        <w:tc>
          <w:tcPr>
            <w:tcW w:w="160" w:type="dxa"/>
            <w:vAlign w:val="bottom"/>
            <w:shd w:val="clear" w:color="auto" w:fill="CCEEFF"/>
          </w:tcPr>
          <w:p>
            <w:pPr>
              <w:spacing w:after="0"/>
              <w:rPr>
                <w:sz w:val="17"/>
                <w:szCs w:val="17"/>
                <w:color w:val="auto"/>
              </w:rPr>
            </w:pPr>
          </w:p>
        </w:tc>
        <w:tc>
          <w:tcPr>
            <w:tcW w:w="10120" w:type="dxa"/>
            <w:vAlign w:val="bottom"/>
            <w:gridSpan w:val="10"/>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MONTHS ENDED MARCH 31, 2026 AND 2025</w:t>
            </w:r>
          </w:p>
        </w:tc>
        <w:tc>
          <w:tcPr>
            <w:tcW w:w="960" w:type="dxa"/>
            <w:vAlign w:val="bottom"/>
            <w:shd w:val="clear" w:color="auto" w:fill="CCEEFF"/>
          </w:tcPr>
          <w:p>
            <w:pPr>
              <w:spacing w:after="0"/>
              <w:rPr>
                <w:sz w:val="17"/>
                <w:szCs w:val="17"/>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12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INTERIM UNAUDITED CONDENSED CONSOLIDATED STATEMENTS OF CASH FLOWS FOR THE THREE MONTHS ENDED</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96"/>
        </w:trPr>
        <w:tc>
          <w:tcPr>
            <w:tcW w:w="160" w:type="dxa"/>
            <w:vAlign w:val="bottom"/>
          </w:tcPr>
          <w:p>
            <w:pPr>
              <w:spacing w:after="0"/>
              <w:rPr>
                <w:sz w:val="17"/>
                <w:szCs w:val="17"/>
                <w:color w:val="auto"/>
              </w:rPr>
            </w:pPr>
          </w:p>
        </w:tc>
        <w:tc>
          <w:tcPr>
            <w:tcW w:w="9920" w:type="dxa"/>
            <w:vAlign w:val="bottom"/>
            <w:tcBorders>
              <w:top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rPr>
              <w:t>MARCH 31, 2026 AND 2025</w:t>
            </w:r>
          </w:p>
        </w:tc>
        <w:tc>
          <w:tcPr>
            <w:tcW w:w="20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r>
      <w:tr>
        <w:trPr>
          <w:trHeight w:val="21"/>
        </w:trPr>
        <w:tc>
          <w:tcPr>
            <w:tcW w:w="160" w:type="dxa"/>
            <w:vAlign w:val="bottom"/>
          </w:tcPr>
          <w:p>
            <w:pPr>
              <w:spacing w:after="0" w:line="20" w:lineRule="exact"/>
              <w:rPr>
                <w:sz w:val="1"/>
                <w:szCs w:val="1"/>
                <w:color w:val="auto"/>
              </w:rPr>
            </w:pPr>
          </w:p>
        </w:tc>
        <w:tc>
          <w:tcPr>
            <w:tcW w:w="2180" w:type="dxa"/>
            <w:vAlign w:val="bottom"/>
            <w:tcBorders>
              <w:top w:val="single" w:sz="8" w:color="0000EE"/>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120" w:type="dxa"/>
            <w:vAlign w:val="bottom"/>
            <w:gridSpan w:val="10"/>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INTERIM UNAUDITED CONDENSED CONSOLIDATED STATEMENTS OF CHANGES IN SHAREHOLDERS’ EQUITY FOR THE</w:t>
            </w:r>
          </w:p>
        </w:tc>
        <w:tc>
          <w:tcPr>
            <w:tcW w:w="9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196"/>
        </w:trPr>
        <w:tc>
          <w:tcPr>
            <w:tcW w:w="160" w:type="dxa"/>
            <w:vAlign w:val="bottom"/>
            <w:tcBorders>
              <w:top w:val="single" w:sz="8" w:color="CCEEFF"/>
            </w:tcBorders>
            <w:shd w:val="clear" w:color="auto" w:fill="CCEEFF"/>
          </w:tcPr>
          <w:p>
            <w:pPr>
              <w:spacing w:after="0"/>
              <w:rPr>
                <w:sz w:val="17"/>
                <w:szCs w:val="17"/>
                <w:color w:val="auto"/>
              </w:rPr>
            </w:pPr>
          </w:p>
        </w:tc>
        <w:tc>
          <w:tcPr>
            <w:tcW w:w="10020" w:type="dxa"/>
            <w:vAlign w:val="bottom"/>
            <w:tcBorders>
              <w:top w:val="single" w:sz="8" w:color="0000EE"/>
            </w:tcBorders>
            <w:gridSpan w:val="8"/>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rPr>
              <w:t>THREE MONTHS ENDED MARCH 31, 2026 AND 2025</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0000EE"/>
            </w:tcBorders>
            <w:shd w:val="clear" w:color="auto" w:fill="CCEEFF"/>
          </w:tcPr>
          <w:p>
            <w:pPr>
              <w:spacing w:after="0" w:line="20" w:lineRule="exact"/>
              <w:rPr>
                <w:sz w:val="1"/>
                <w:szCs w:val="1"/>
                <w:color w:val="auto"/>
              </w:rPr>
            </w:pPr>
          </w:p>
        </w:tc>
        <w:tc>
          <w:tcPr>
            <w:tcW w:w="14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120" w:type="dxa"/>
            <w:vAlign w:val="bottom"/>
            <w:gridSpan w:val="10"/>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THE INTERIM UNAUDITED CONDENSED CONSOLIDATED FINANCIAL STATEMENTS</w:t>
            </w:r>
          </w:p>
        </w:tc>
        <w:tc>
          <w:tcPr>
            <w:tcW w:w="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419"/>
        </w:trPr>
        <w:tc>
          <w:tcPr>
            <w:tcW w:w="160" w:type="dxa"/>
            <w:vAlign w:val="bottom"/>
            <w:tcBorders>
              <w:bottom w:val="single" w:sz="8" w:color="auto"/>
            </w:tcBorders>
          </w:tcPr>
          <w:p>
            <w:pPr>
              <w:spacing w:after="0"/>
              <w:rPr>
                <w:sz w:val="24"/>
                <w:szCs w:val="24"/>
                <w:color w:val="auto"/>
              </w:rPr>
            </w:pPr>
          </w:p>
        </w:tc>
        <w:tc>
          <w:tcPr>
            <w:tcW w:w="218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0000EE"/>
              <w:bottom w:val="single" w:sz="8" w:color="auto"/>
            </w:tcBorders>
          </w:tcPr>
          <w:p>
            <w:pPr>
              <w:spacing w:after="0"/>
              <w:rPr>
                <w:sz w:val="24"/>
                <w:szCs w:val="24"/>
                <w:color w:val="auto"/>
              </w:rPr>
            </w:pPr>
          </w:p>
        </w:tc>
        <w:tc>
          <w:tcPr>
            <w:tcW w:w="620" w:type="dxa"/>
            <w:vAlign w:val="bottom"/>
            <w:tcBorders>
              <w:top w:val="single" w:sz="8" w:color="0000EE"/>
              <w:bottom w:val="single" w:sz="8" w:color="auto"/>
            </w:tcBorders>
          </w:tcPr>
          <w:p>
            <w:pPr>
              <w:spacing w:after="0"/>
              <w:rPr>
                <w:sz w:val="24"/>
                <w:szCs w:val="24"/>
                <w:color w:val="auto"/>
              </w:rPr>
            </w:pPr>
          </w:p>
        </w:tc>
        <w:tc>
          <w:tcPr>
            <w:tcW w:w="3640" w:type="dxa"/>
            <w:vAlign w:val="bottom"/>
            <w:tcBorders>
              <w:top w:val="single" w:sz="8" w:color="0000EE"/>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Balance Sheets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right"/>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1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404,938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273,876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93,670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199,100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50,520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53,868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49,887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33,623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and other financial instruments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681,263</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626,988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 - CURRENT ASSETS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Vessels in operation</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1,989,222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1,962,888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for vessels acquisitions and other additions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35,961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dry dock and special survey costs,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110,936</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2h</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10,830</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other instruments, net of current portion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105,780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113,600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 current assets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2,218,385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2,234,215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2,899,648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2,861,203</w:t>
            </w:r>
          </w:p>
        </w:tc>
      </w:tr>
      <w:tr>
        <w:trPr>
          <w:trHeight w:val="21"/>
        </w:trPr>
        <w:tc>
          <w:tcPr>
            <w:tcW w:w="7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61,912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47,727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 - term debt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147,567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48,885</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14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301,490</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306,783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Long - term debt, net of current portion and deferred financing costs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505,315</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541,575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liabilities - charter agreements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90,054</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114,652</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121,707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 - current liabilities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722,835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753,336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1,024,325</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1,060,119</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Class A common shares - authorized 214,000,000 shares with a $0.01 par value 35,918,244 shares</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and outstanding (2025 - 35,913,628 shares)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Shares - authorized 104,000 shares with a $0.01 par value 43,592 shares issued</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 (2025 - 43,592 shares)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694,331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1,173,578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1,104,617</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1,875,323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1,801,084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2,899,648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2,861,203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Statements of Income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and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charter revenues</w:t>
            </w:r>
          </w:p>
        </w:tc>
        <w:tc>
          <w:tcPr>
            <w:tcW w:w="1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191,832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187,761</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liabilities-charter agreements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198,079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190,975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Vessel operating expenses (includes related party vessel operating expenses of $6,532 and $5,608</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each of the periods ended March 31, 2026 and 2025, respectively)</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52,718</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50,008</w:t>
            </w:r>
          </w:p>
        </w:tc>
      </w:tr>
      <w:tr>
        <w:trPr>
          <w:trHeight w:val="198"/>
        </w:trPr>
        <w:tc>
          <w:tcPr>
            <w:tcW w:w="7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Time charter and voyage expenses (includes related party time charter and voyage expenses of</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$2,208 and $1,932 for each of the periods ended March 31, 2026 and 2025, respectively)</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w:t>
            </w: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29,793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4,605</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97,418</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128,498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finance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(9,339)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derivative asset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non-operating expenses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(3,589)</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(5,104)</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93,829</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123,394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Earnings allocated to Series B Preferred Shares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121,010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35,974,531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35,584,556</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36,601,562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8"/>
              </w:rPr>
              <w:t>35,758,853</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Earnings per Class A common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5060" w:type="dxa"/>
            <w:vAlign w:val="bottom"/>
            <w:gridSpan w:val="4"/>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Global Ship Lease, Inc.</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60" w:type="dxa"/>
            <w:vAlign w:val="bottom"/>
            <w:gridSpan w:val="5"/>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Statements of Comprehensive Income</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900" w:type="dxa"/>
            <w:vAlign w:val="bottom"/>
          </w:tcPr>
          <w:p>
            <w:pPr>
              <w:spacing w:after="0"/>
              <w:rPr>
                <w:sz w:val="24"/>
                <w:szCs w:val="24"/>
                <w:color w:val="auto"/>
              </w:rPr>
            </w:pPr>
          </w:p>
        </w:tc>
        <w:tc>
          <w:tcPr>
            <w:tcW w:w="5060" w:type="dxa"/>
            <w:vAlign w:val="bottom"/>
            <w:gridSpan w:val="4"/>
          </w:tcPr>
          <w:p>
            <w:pPr>
              <w:jc w:val="right"/>
              <w:ind w:right="1790"/>
              <w:spacing w:after="0"/>
              <w:rPr>
                <w:sz w:val="20"/>
                <w:szCs w:val="20"/>
                <w:color w:val="auto"/>
              </w:rPr>
            </w:pPr>
            <w:r>
              <w:rPr>
                <w:rFonts w:ascii="Times New Roman" w:cs="Times New Roman" w:eastAsia="Times New Roman" w:hAnsi="Times New Roman"/>
                <w:sz w:val="18"/>
                <w:szCs w:val="18"/>
                <w:color w:val="auto"/>
              </w:rPr>
              <w:t>(Expressed in thousands of U.S. dollars)</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3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390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39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64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Note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Shareholders</w:t>
            </w:r>
          </w:p>
        </w:tc>
        <w:tc>
          <w:tcPr>
            <w:tcW w:w="34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91,445</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w:t>
            </w:r>
          </w:p>
        </w:tc>
        <w:tc>
          <w:tcPr>
            <w:tcW w:w="3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 assets/FX option</w:t>
            </w:r>
          </w:p>
        </w:tc>
        <w:tc>
          <w:tcPr>
            <w:tcW w:w="45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(3,501)</w:t>
            </w:r>
          </w:p>
        </w:tc>
      </w:tr>
      <w:tr>
        <w:trPr>
          <w:trHeight w:val="223"/>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interest rate cap premium</w:t>
            </w:r>
          </w:p>
        </w:tc>
        <w:tc>
          <w:tcPr>
            <w:tcW w:w="34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w:t>
            </w:r>
          </w:p>
        </w:tc>
        <w:tc>
          <w:tcPr>
            <w:tcW w:w="3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(601)</w:t>
            </w:r>
          </w:p>
        </w:tc>
        <w:tc>
          <w:tcPr>
            <w:tcW w:w="4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(2,409)</w:t>
            </w:r>
          </w:p>
        </w:tc>
      </w:tr>
      <w:tr>
        <w:trPr>
          <w:trHeight w:val="257"/>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4800" w:type="dxa"/>
            <w:vAlign w:val="bottom"/>
            <w:tcBorders>
              <w:bottom w:val="single" w:sz="8" w:color="CCEEFF"/>
            </w:tcBorders>
            <w:gridSpan w:val="3"/>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90,844</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7320" w:type="dxa"/>
            <w:vAlign w:val="bottom"/>
          </w:tcPr>
          <w:p>
            <w:pPr>
              <w:jc w:val="center"/>
              <w:ind w:left="3850"/>
              <w:spacing w:after="0"/>
              <w:rPr>
                <w:sz w:val="20"/>
                <w:szCs w:val="20"/>
                <w:color w:val="auto"/>
              </w:rPr>
            </w:pPr>
            <w:r>
              <w:rPr>
                <w:rFonts w:ascii="Times New Roman" w:cs="Times New Roman" w:eastAsia="Times New Roman" w:hAnsi="Times New Roman"/>
                <w:sz w:val="18"/>
                <w:szCs w:val="18"/>
                <w:b w:val="1"/>
                <w:bCs w:val="1"/>
                <w:color w:val="auto"/>
                <w:w w:val="99"/>
              </w:rPr>
              <w:t>Global Ship Lease, Inc.</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60" w:type="dxa"/>
            <w:vAlign w:val="bottom"/>
            <w:gridSpan w:val="2"/>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Statements of Cash Flows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320" w:type="dxa"/>
            <w:vAlign w:val="bottom"/>
          </w:tcPr>
          <w:p>
            <w:pPr>
              <w:jc w:val="center"/>
              <w:ind w:left="3850"/>
              <w:spacing w:after="0"/>
              <w:rPr>
                <w:sz w:val="20"/>
                <w:szCs w:val="20"/>
                <w:color w:val="auto"/>
              </w:rPr>
            </w:pPr>
            <w:r>
              <w:rPr>
                <w:rFonts w:ascii="Times New Roman" w:cs="Times New Roman" w:eastAsia="Times New Roman" w:hAnsi="Times New Roman"/>
                <w:sz w:val="18"/>
                <w:szCs w:val="18"/>
                <w:color w:val="auto"/>
                <w:w w:val="99"/>
              </w:rPr>
              <w:t>(Expressed in thousands of U.S. dollars)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8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7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Note</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93,829</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123,394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29,793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vessels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(28,458)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derivative assets’ premium</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original issue discount on instruments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liabilities - charter agreements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(6,247)</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derivative asset and other financial instruments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Decrease/(increase) in accounts receivable and other assets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(7,015)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(Increase)/decrease in inventories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derivative asset and other financial instruments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(33,000)</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(Decrease)/increase in accounts payable and other liabilities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(5,988)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5,924</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related parties' balances, net</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deferred revenue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(8,660)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drydocking and special survey costs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(4,681)</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(16,300)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80,276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102,814</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vessels</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vessel expenditures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(7,262)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Advances for vessels acquisitions and other additions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vessels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54,226</w:t>
            </w: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 and other instruments withdrawn</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15,700</w:t>
            </w: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104,614</w:t>
            </w:r>
          </w:p>
        </w:tc>
        <w:tc>
          <w:tcPr>
            <w:tcW w:w="2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drawdown of sale and leaseback</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133,500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facilities and sale and leaseback</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(36,892)</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(40,997)</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of debt</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(5,900)</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paid</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offering of Class A common shares, net of offering costs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Class A common shares - dividend paid</w:t>
            </w:r>
          </w:p>
        </w:tc>
        <w:tc>
          <w:tcPr>
            <w:tcW w:w="114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(22,484)</w:t>
            </w:r>
          </w:p>
        </w:tc>
        <w:tc>
          <w:tcPr>
            <w:tcW w:w="4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(16,043)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 Preferred Shares - dividend paid</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(2,384)</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(61,800)</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66,841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and restricted cash</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123,090</w:t>
            </w: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170,371</w:t>
            </w:r>
          </w:p>
        </w:tc>
        <w:tc>
          <w:tcPr>
            <w:tcW w:w="100" w:type="dxa"/>
            <w:vAlign w:val="bottom"/>
            <w:shd w:val="clear" w:color="auto" w:fill="CCEEFF"/>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beginning of the period</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339,340</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247,624</w:t>
            </w:r>
          </w:p>
        </w:tc>
      </w:tr>
      <w:tr>
        <w:trPr>
          <w:trHeight w:val="256"/>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end of the period</w:t>
            </w:r>
          </w:p>
        </w:tc>
        <w:tc>
          <w:tcPr>
            <w:tcW w:w="1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462,430</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417,995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Supplementary Cash Flow Information:</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40" w:type="dxa"/>
            <w:vAlign w:val="bottom"/>
          </w:tcPr>
          <w:p>
            <w:pPr>
              <w:spacing w:after="0"/>
              <w:rPr>
                <w:sz w:val="18"/>
                <w:szCs w:val="18"/>
                <w:color w:val="auto"/>
              </w:rPr>
            </w:pP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10,471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interest rate caps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4,492</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19,061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15,987</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 assets</w:t>
            </w:r>
          </w:p>
        </w:tc>
        <w:tc>
          <w:tcPr>
            <w:tcW w:w="114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(3,501)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interim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4" w:name="page25"/>
    <w:bookmarkEnd w:id="24"/>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Interim Unaudited Condensed Consolidated Statements of Changes in Shareholders’ Equity</w:t>
      </w: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 at</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Series B</w:t>
            </w:r>
          </w:p>
        </w:tc>
        <w:tc>
          <w:tcPr>
            <w:tcW w:w="10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3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at par value</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Preferred</w:t>
            </w:r>
          </w:p>
        </w:tc>
        <w:tc>
          <w:tcPr>
            <w:tcW w:w="180" w:type="dxa"/>
            <w:vAlign w:val="bottom"/>
          </w:tcPr>
          <w:p>
            <w:pPr>
              <w:spacing w:after="0"/>
              <w:rPr>
                <w:sz w:val="18"/>
                <w:szCs w:val="18"/>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9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45"/>
        </w:trPr>
        <w:tc>
          <w:tcPr>
            <w:tcW w:w="336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$0.01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$0.01</w:t>
            </w:r>
          </w:p>
        </w:tc>
        <w:tc>
          <w:tcPr>
            <w:tcW w:w="140" w:type="dxa"/>
            <w:vAlign w:val="bottom"/>
          </w:tcPr>
          <w:p>
            <w:pPr>
              <w:spacing w:after="0"/>
              <w:rPr>
                <w:sz w:val="21"/>
                <w:szCs w:val="21"/>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21"/>
                <w:szCs w:val="21"/>
                <w:color w:val="auto"/>
              </w:rPr>
            </w:pPr>
          </w:p>
        </w:tc>
        <w:tc>
          <w:tcPr>
            <w:tcW w:w="108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1"/>
                <w:szCs w:val="21"/>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57"/>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35,447,370</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43,592</w:t>
            </w:r>
          </w:p>
        </w:tc>
        <w:tc>
          <w:tcPr>
            <w:tcW w:w="1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355</w:t>
            </w:r>
          </w:p>
        </w:tc>
        <w:tc>
          <w:tcPr>
            <w:tcW w:w="76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680,743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773,759</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8,624</w:t>
            </w: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1,463,481</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10"/>
        </w:trPr>
        <w:tc>
          <w:tcPr>
            <w:tcW w:w="3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(Note 10)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158,068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(2,409)</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123,394</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123,394</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Shares dividend (Note 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shares dividend (Note 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(16,043)</w:t>
            </w:r>
          </w:p>
        </w:tc>
      </w:tr>
      <w:tr>
        <w:trPr>
          <w:trHeight w:val="216"/>
        </w:trPr>
        <w:tc>
          <w:tcPr>
            <w:tcW w:w="3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35,605,438</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43,592</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682,863</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878,726</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6,215</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1,568,161</w:t>
            </w:r>
          </w:p>
        </w:tc>
        <w:tc>
          <w:tcPr>
            <w:tcW w:w="60" w:type="dxa"/>
            <w:vAlign w:val="bottom"/>
            <w:tcBorders>
              <w:top w:val="single" w:sz="8" w:color="CCEEFF"/>
            </w:tcBorders>
          </w:tcPr>
          <w:p>
            <w:pPr>
              <w:spacing w:after="0"/>
              <w:rPr>
                <w:sz w:val="18"/>
                <w:szCs w:val="18"/>
                <w:color w:val="auto"/>
              </w:rPr>
            </w:pPr>
          </w:p>
        </w:tc>
      </w:tr>
      <w:tr>
        <w:trPr>
          <w:trHeight w:val="21"/>
        </w:trPr>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35,913,628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43,592</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7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694,331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1,104,617</w:t>
            </w:r>
          </w:p>
        </w:tc>
        <w:tc>
          <w:tcPr>
            <w:tcW w:w="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1,777</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1,801,084</w:t>
            </w:r>
          </w:p>
        </w:tc>
        <w:tc>
          <w:tcPr>
            <w:tcW w:w="60" w:type="dxa"/>
            <w:vAlign w:val="bottom"/>
          </w:tcPr>
          <w:p>
            <w:pPr>
              <w:spacing w:after="0"/>
              <w:rPr>
                <w:sz w:val="18"/>
                <w:szCs w:val="18"/>
                <w:color w:val="auto"/>
              </w:rPr>
            </w:pPr>
          </w:p>
        </w:tc>
      </w:tr>
      <w:tr>
        <w:trPr>
          <w:trHeight w:val="21"/>
        </w:trPr>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(Note 10)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6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Class A common shares, net of</w:t>
            </w:r>
          </w:p>
        </w:tc>
        <w:tc>
          <w:tcPr>
            <w:tcW w:w="9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offering costs (Note 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for the period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93,829</w:t>
            </w:r>
          </w:p>
        </w:tc>
        <w:tc>
          <w:tcPr>
            <w:tcW w:w="6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Shares dividend (Note 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2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(2,384)</w:t>
            </w: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shares dividend (Note 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(22,484)</w:t>
            </w:r>
          </w:p>
        </w:tc>
      </w:tr>
      <w:tr>
        <w:trPr>
          <w:trHeight w:val="216"/>
        </w:trPr>
        <w:tc>
          <w:tcPr>
            <w:tcW w:w="3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35,918,244</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43,592</w:t>
            </w:r>
          </w:p>
        </w:tc>
        <w:tc>
          <w:tcPr>
            <w:tcW w:w="1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w:t>
            </w:r>
          </w:p>
        </w:tc>
        <w:tc>
          <w:tcPr>
            <w:tcW w:w="7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700,210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1,173,578</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1,176</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1,875,323</w:t>
            </w:r>
          </w:p>
        </w:tc>
        <w:tc>
          <w:tcPr>
            <w:tcW w:w="60" w:type="dxa"/>
            <w:vAlign w:val="bottom"/>
            <w:tcBorders>
              <w:top w:val="single" w:sz="8" w:color="CCEEFF"/>
            </w:tcBorders>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See accompanying notes to interim unaudited condensed consolidated financial statements</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320" w:top="117"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business is to own and charter out containerships to leading liner companies.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14, 2008, Global Ship Lease, Inc. (the “Company”) merged indirectly with Marathon Acquisition Corp., a company then listed on The American Stock Exchange, and with the pre-existing Global Ship Lease, Inc. GSL Holdings, Inc. was the surviving entity (the “Marathon Merger”), changed its name to Global Ship Lease, Inc. and became listed on The New York Stock Exchange (the “NYSE”).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15, 2018, the Company completed a transformative transaction and acquired Poseidon Containers’ 20 containerships, one of which, the Argos, was contracted to be sold, which sale was completed in December 2018 (the “Poseidon Transaction”).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2021, the Company purchased 23 vessels. The Company purchased seven containerships of approximately 6,000 TEU each (the “Seven Vessels”), 12 containerships from Borealis Finance LLC (the “Twelve Vessels”) and four 5,470 TEU Panamax containerships (the “Four Vessels”). Also on June 30, 2021, vessel La Tour was sold.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2023, the Company purchased four 8,544 TEU vessels for an aggregate purchase price of $123,300, which were delivered on various dates in May and June 2023. Also on March 23, 2023, GSL Amstel was sold.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fourth quarter of 2024, the Company agreed to purchase four high-reefer ECO 9,019 TEU vessels for an aggregate price of $273,891, of which three were delivered on various dates in December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the fourth ECO 9,019 TEU vessel was delivered in January 2025, and the Company sold also three vessels Tasman, Keta and Akiteta. In May 2025, Dimitris Y was contracted to be sold and was delivered to the buyers on October 13, 2025 (see Note 4). During the fourth quarter of 2025, the Company also agreed to purchase three ECO 8,586 TEU containerships (the “Three Vessels”) for an aggregate purchase price of $90,000, of which two were delivered on various dates in December 2025 and the third one on January 9,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above-mentioned additions and the sale of vessels in 2021, 2023, 2024 and 2025, the Company’s fleet comprises 71 containerships with average age as at March 31, 2026, weighted by TEU capacity, of 18.2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71 vessels owned as at March 31,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8"/>
                <w:szCs w:val="18"/>
                <w:color w:val="auto"/>
              </w:rPr>
            </w:pP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Vessel</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Earliest Charter</w:t>
            </w:r>
          </w:p>
        </w:tc>
      </w:tr>
      <w:tr>
        <w:trPr>
          <w:trHeight w:val="255"/>
        </w:trPr>
        <w:tc>
          <w:tcPr>
            <w:tcW w:w="2540" w:type="dxa"/>
            <w:vAlign w:val="bottom"/>
            <w:tcBorders>
              <w:bottom w:val="single" w:sz="8" w:color="auto"/>
            </w:tcBorders>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Company Name </w:t>
            </w:r>
            <w:r>
              <w:rPr>
                <w:rFonts w:ascii="Times New Roman" w:cs="Times New Roman" w:eastAsia="Times New Roman" w:hAnsi="Times New Roman"/>
                <w:sz w:val="28"/>
                <w:szCs w:val="28"/>
                <w:b w:val="1"/>
                <w:bCs w:val="1"/>
                <w:color w:val="auto"/>
                <w:vertAlign w:val="superscript"/>
              </w:rPr>
              <w:t>(1)</w:t>
            </w:r>
          </w:p>
        </w:tc>
        <w:tc>
          <w:tcPr>
            <w:tcW w:w="2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Borders>
              <w:bottom w:val="single" w:sz="8" w:color="auto"/>
            </w:tcBorders>
          </w:tcPr>
          <w:p>
            <w:pPr>
              <w:jc w:val="center"/>
              <w:ind w:left="330"/>
              <w:spacing w:after="0" w:line="247" w:lineRule="exact"/>
              <w:rPr>
                <w:sz w:val="20"/>
                <w:szCs w:val="20"/>
                <w:color w:val="auto"/>
              </w:rPr>
            </w:pPr>
            <w:r>
              <w:rPr>
                <w:rFonts w:ascii="Times New Roman" w:cs="Times New Roman" w:eastAsia="Times New Roman" w:hAnsi="Times New Roman"/>
                <w:sz w:val="17"/>
                <w:szCs w:val="17"/>
                <w:b w:val="1"/>
                <w:bCs w:val="1"/>
                <w:color w:val="auto"/>
                <w:w w:val="99"/>
              </w:rPr>
              <w:t xml:space="preserve">in TEUs </w:t>
            </w:r>
            <w:r>
              <w:rPr>
                <w:rFonts w:ascii="Times New Roman" w:cs="Times New Roman" w:eastAsia="Times New Roman" w:hAnsi="Times New Roman"/>
                <w:sz w:val="28"/>
                <w:szCs w:val="28"/>
                <w:b w:val="1"/>
                <w:bCs w:val="1"/>
                <w:color w:val="auto"/>
                <w:w w:val="99"/>
                <w:vertAlign w:val="superscript"/>
              </w:rPr>
              <w:t>(2)</w:t>
            </w:r>
          </w:p>
        </w:tc>
        <w:tc>
          <w:tcPr>
            <w:tcW w:w="8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Built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54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CMA CGM Thalassa</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11,040</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2008</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3Q28</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Laertis Marine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Zim Norfolk</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3"/>
              </w:rPr>
              <w:t>9,115</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2Q32 </w:t>
            </w:r>
            <w:r>
              <w:rPr>
                <w:rFonts w:ascii="Times New Roman" w:cs="Times New Roman" w:eastAsia="Times New Roman" w:hAnsi="Times New Roman"/>
                <w:sz w:val="25"/>
                <w:szCs w:val="25"/>
                <w:color w:val="auto"/>
                <w:vertAlign w:val="superscript"/>
              </w:rPr>
              <w:t>(4)</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Penelope Marine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Zim Xiamen</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3"/>
              </w:rPr>
              <w:t>9,115</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3Q32 </w:t>
            </w:r>
            <w:r>
              <w:rPr>
                <w:rFonts w:ascii="Times New Roman" w:cs="Times New Roman" w:eastAsia="Times New Roman" w:hAnsi="Times New Roman"/>
                <w:sz w:val="25"/>
                <w:szCs w:val="25"/>
                <w:color w:val="auto"/>
                <w:vertAlign w:val="superscript"/>
              </w:rPr>
              <w:t>(4)</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Telemachus Marine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Anthea Y</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3"/>
              </w:rPr>
              <w:t>9,115</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4Q28</w:t>
            </w:r>
          </w:p>
        </w:tc>
      </w:tr>
      <w:tr>
        <w:trPr>
          <w:trHeight w:val="216"/>
        </w:trPr>
        <w:tc>
          <w:tcPr>
            <w:tcW w:w="2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78 LLC </w:t>
            </w:r>
            <w:r>
              <w:rPr>
                <w:rFonts w:ascii="Times New Roman" w:cs="Times New Roman" w:eastAsia="Times New Roman" w:hAnsi="Times New Roman"/>
                <w:sz w:val="25"/>
                <w:szCs w:val="25"/>
                <w:color w:val="auto"/>
                <w:vertAlign w:val="superscript"/>
              </w:rPr>
              <w:t>(3)</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Sydney Express</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9,019</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3Q27 </w:t>
            </w:r>
            <w:r>
              <w:rPr>
                <w:rFonts w:ascii="Times New Roman" w:cs="Times New Roman" w:eastAsia="Times New Roman" w:hAnsi="Times New Roman"/>
                <w:sz w:val="25"/>
                <w:szCs w:val="25"/>
                <w:color w:val="auto"/>
                <w:vertAlign w:val="superscript"/>
              </w:rPr>
              <w:t>(5)</w:t>
            </w: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79 LLC </w:t>
            </w:r>
            <w:r>
              <w:rPr>
                <w:rFonts w:ascii="Times New Roman" w:cs="Times New Roman" w:eastAsia="Times New Roman" w:hAnsi="Times New Roman"/>
                <w:sz w:val="25"/>
                <w:szCs w:val="25"/>
                <w:color w:val="auto"/>
                <w:vertAlign w:val="superscript"/>
              </w:rPr>
              <w:t>(3)</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Istanbul Express</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9,019</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2016</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4Q26 </w:t>
            </w:r>
            <w:r>
              <w:rPr>
                <w:rFonts w:ascii="Times New Roman" w:cs="Times New Roman" w:eastAsia="Times New Roman" w:hAnsi="Times New Roman"/>
                <w:sz w:val="25"/>
                <w:szCs w:val="25"/>
                <w:color w:val="auto"/>
                <w:vertAlign w:val="superscript"/>
              </w:rPr>
              <w:t>(5)</w:t>
            </w:r>
          </w:p>
        </w:tc>
      </w:tr>
      <w:tr>
        <w:trPr>
          <w:trHeight w:val="216"/>
        </w:trPr>
        <w:tc>
          <w:tcPr>
            <w:tcW w:w="2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77 LLC </w:t>
            </w:r>
            <w:r>
              <w:rPr>
                <w:rFonts w:ascii="Times New Roman" w:cs="Times New Roman" w:eastAsia="Times New Roman" w:hAnsi="Times New Roman"/>
                <w:sz w:val="25"/>
                <w:szCs w:val="25"/>
                <w:color w:val="auto"/>
                <w:vertAlign w:val="superscript"/>
              </w:rPr>
              <w:t>(3)</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Bremerhaven Express</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9,019</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2Q27 </w:t>
            </w:r>
            <w:r>
              <w:rPr>
                <w:rFonts w:ascii="Times New Roman" w:cs="Times New Roman" w:eastAsia="Times New Roman" w:hAnsi="Times New Roman"/>
                <w:sz w:val="25"/>
                <w:szCs w:val="25"/>
                <w:color w:val="auto"/>
                <w:vertAlign w:val="superscript"/>
              </w:rPr>
              <w:t>(5)</w:t>
            </w:r>
          </w:p>
        </w:tc>
      </w:tr>
      <w:tr>
        <w:trPr>
          <w:trHeight w:val="216"/>
        </w:trPr>
        <w:tc>
          <w:tcPr>
            <w:tcW w:w="25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76 LLC </w:t>
            </w:r>
            <w:r>
              <w:rPr>
                <w:rFonts w:ascii="Times New Roman" w:cs="Times New Roman" w:eastAsia="Times New Roman" w:hAnsi="Times New Roman"/>
                <w:sz w:val="25"/>
                <w:szCs w:val="25"/>
                <w:color w:val="auto"/>
                <w:vertAlign w:val="superscript"/>
              </w:rPr>
              <w:t>(3)</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Czech</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9,019</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2015</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4Q26 </w:t>
            </w:r>
            <w:r>
              <w:rPr>
                <w:rFonts w:ascii="Times New Roman" w:cs="Times New Roman" w:eastAsia="Times New Roman" w:hAnsi="Times New Roman"/>
                <w:sz w:val="25"/>
                <w:szCs w:val="25"/>
                <w:color w:val="auto"/>
                <w:vertAlign w:val="superscript"/>
              </w:rPr>
              <w:t>(5)</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53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MSC Tianjin</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8,603</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2005</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3Q30 </w:t>
            </w:r>
            <w:r>
              <w:rPr>
                <w:rFonts w:ascii="Times New Roman" w:cs="Times New Roman" w:eastAsia="Times New Roman" w:hAnsi="Times New Roman"/>
                <w:sz w:val="25"/>
                <w:szCs w:val="25"/>
                <w:color w:val="auto"/>
                <w:vertAlign w:val="superscript"/>
              </w:rPr>
              <w:t>(6)</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52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MSC Qingdao</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8,603</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4Q30 </w:t>
            </w:r>
            <w:r>
              <w:rPr>
                <w:rFonts w:ascii="Times New Roman" w:cs="Times New Roman" w:eastAsia="Times New Roman" w:hAnsi="Times New Roman"/>
                <w:sz w:val="25"/>
                <w:szCs w:val="25"/>
                <w:color w:val="auto"/>
                <w:vertAlign w:val="superscript"/>
              </w:rPr>
              <w:t>(6)</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43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Ningbo</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8,603</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3Q30 </w:t>
            </w:r>
            <w:r>
              <w:rPr>
                <w:rFonts w:ascii="Times New Roman" w:cs="Times New Roman" w:eastAsia="Times New Roman" w:hAnsi="Times New Roman"/>
                <w:sz w:val="25"/>
                <w:szCs w:val="25"/>
                <w:color w:val="auto"/>
                <w:vertAlign w:val="superscript"/>
              </w:rPr>
              <w:t>(6)</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72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Alexandra</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8,599</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2Q28 </w:t>
            </w:r>
            <w:r>
              <w:rPr>
                <w:rFonts w:ascii="Times New Roman" w:cs="Times New Roman" w:eastAsia="Times New Roman" w:hAnsi="Times New Roman"/>
                <w:sz w:val="25"/>
                <w:szCs w:val="25"/>
                <w:color w:val="auto"/>
                <w:vertAlign w:val="superscript"/>
              </w:rPr>
              <w:t>(7)</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73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Sofia</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8,599</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2003</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3Q28 </w:t>
            </w:r>
            <w:r>
              <w:rPr>
                <w:rFonts w:ascii="Times New Roman" w:cs="Times New Roman" w:eastAsia="Times New Roman" w:hAnsi="Times New Roman"/>
                <w:sz w:val="25"/>
                <w:szCs w:val="25"/>
                <w:color w:val="auto"/>
                <w:vertAlign w:val="superscript"/>
              </w:rPr>
              <w:t>(7)</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74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Effie</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8,599</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2003</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3Q28 </w:t>
            </w:r>
            <w:r>
              <w:rPr>
                <w:rFonts w:ascii="Times New Roman" w:cs="Times New Roman" w:eastAsia="Times New Roman" w:hAnsi="Times New Roman"/>
                <w:sz w:val="25"/>
                <w:szCs w:val="25"/>
                <w:color w:val="auto"/>
                <w:vertAlign w:val="superscript"/>
              </w:rPr>
              <w:t>(7)</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75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GSL Lydia</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8,599</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2003</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2Q28 </w:t>
            </w:r>
            <w:r>
              <w:rPr>
                <w:rFonts w:ascii="Times New Roman" w:cs="Times New Roman" w:eastAsia="Times New Roman" w:hAnsi="Times New Roman"/>
                <w:sz w:val="25"/>
                <w:szCs w:val="25"/>
                <w:color w:val="auto"/>
                <w:vertAlign w:val="superscript"/>
              </w:rPr>
              <w:t>(7)</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80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Lotus A</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8,586</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2010</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3Q26 </w:t>
            </w:r>
            <w:r>
              <w:rPr>
                <w:rFonts w:ascii="Times New Roman" w:cs="Times New Roman" w:eastAsia="Times New Roman" w:hAnsi="Times New Roman"/>
                <w:sz w:val="25"/>
                <w:szCs w:val="25"/>
                <w:color w:val="auto"/>
                <w:vertAlign w:val="superscript"/>
              </w:rPr>
              <w:t>(8)</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81 LLC</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Koi</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8,586</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2011</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3Q26 </w:t>
            </w:r>
            <w:r>
              <w:rPr>
                <w:rFonts w:ascii="Times New Roman" w:cs="Times New Roman" w:eastAsia="Times New Roman" w:hAnsi="Times New Roman"/>
                <w:sz w:val="25"/>
                <w:szCs w:val="25"/>
                <w:color w:val="auto"/>
                <w:vertAlign w:val="superscript"/>
              </w:rPr>
              <w:t>(8)</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82 LLC</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Liberia</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Cypress</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8,586</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2011</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3Q26 </w:t>
            </w:r>
            <w:r>
              <w:rPr>
                <w:rFonts w:ascii="Times New Roman" w:cs="Times New Roman" w:eastAsia="Times New Roman" w:hAnsi="Times New Roman"/>
                <w:sz w:val="25"/>
                <w:szCs w:val="25"/>
                <w:color w:val="auto"/>
                <w:vertAlign w:val="superscript"/>
              </w:rPr>
              <w:t>(8)</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30 Limited</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Eleni</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7,847</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4Q27 </w:t>
            </w:r>
            <w:r>
              <w:rPr>
                <w:rFonts w:ascii="Times New Roman" w:cs="Times New Roman" w:eastAsia="Times New Roman" w:hAnsi="Times New Roman"/>
                <w:sz w:val="25"/>
                <w:szCs w:val="25"/>
                <w:color w:val="auto"/>
                <w:vertAlign w:val="superscript"/>
              </w:rPr>
              <w:t>(9)</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31 Limited</w:t>
            </w:r>
          </w:p>
        </w:tc>
        <w:tc>
          <w:tcPr>
            <w:tcW w:w="20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Kalliopi</w:t>
            </w:r>
          </w:p>
        </w:tc>
        <w:tc>
          <w:tcPr>
            <w:tcW w:w="148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7,847</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1Q28 </w:t>
            </w:r>
            <w:r>
              <w:rPr>
                <w:rFonts w:ascii="Times New Roman" w:cs="Times New Roman" w:eastAsia="Times New Roman" w:hAnsi="Times New Roman"/>
                <w:sz w:val="25"/>
                <w:szCs w:val="25"/>
                <w:color w:val="auto"/>
                <w:vertAlign w:val="superscript"/>
              </w:rPr>
              <w:t>(9)</w:t>
            </w:r>
          </w:p>
        </w:tc>
      </w:tr>
      <w:tr>
        <w:trPr>
          <w:trHeight w:val="216"/>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32 Limited</w:t>
            </w:r>
          </w:p>
        </w:tc>
        <w:tc>
          <w:tcPr>
            <w:tcW w:w="20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rPr>
              <w:t>Marshall Islands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GSL Grania</w:t>
            </w:r>
          </w:p>
        </w:tc>
        <w:tc>
          <w:tcPr>
            <w:tcW w:w="14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7,847</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2004</w:t>
            </w:r>
          </w:p>
        </w:tc>
        <w:tc>
          <w:tcPr>
            <w:tcW w:w="166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1Q28 </w:t>
            </w:r>
            <w:r>
              <w:rPr>
                <w:rFonts w:ascii="Times New Roman" w:cs="Times New Roman" w:eastAsia="Times New Roman" w:hAnsi="Times New Roman"/>
                <w:sz w:val="25"/>
                <w:szCs w:val="25"/>
                <w:color w:val="auto"/>
                <w:vertAlign w:val="superscript"/>
              </w:rPr>
              <w:t>(9)</w:t>
            </w: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(continued)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Country of</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Vessel</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Capacity</w:t>
            </w:r>
          </w:p>
        </w:tc>
        <w:tc>
          <w:tcPr>
            <w:tcW w:w="120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Earliest Charter</w:t>
            </w:r>
          </w:p>
        </w:tc>
        <w:tc>
          <w:tcPr>
            <w:tcW w:w="0" w:type="dxa"/>
            <w:vAlign w:val="bottom"/>
          </w:tcPr>
          <w:p>
            <w:pPr>
              <w:spacing w:after="0"/>
              <w:rPr>
                <w:sz w:val="1"/>
                <w:szCs w:val="1"/>
                <w:color w:val="auto"/>
              </w:rPr>
            </w:pPr>
          </w:p>
        </w:tc>
      </w:tr>
      <w:tr>
        <w:trPr>
          <w:trHeight w:val="255"/>
        </w:trPr>
        <w:tc>
          <w:tcPr>
            <w:tcW w:w="2580" w:type="dxa"/>
            <w:vAlign w:val="bottom"/>
            <w:tcBorders>
              <w:bottom w:val="single" w:sz="8" w:color="auto"/>
            </w:tcBorders>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 xml:space="preserve">Company Name </w:t>
            </w:r>
            <w:r>
              <w:rPr>
                <w:rFonts w:ascii="Times New Roman" w:cs="Times New Roman" w:eastAsia="Times New Roman" w:hAnsi="Times New Roman"/>
                <w:sz w:val="28"/>
                <w:szCs w:val="28"/>
                <w:b w:val="1"/>
                <w:bCs w:val="1"/>
                <w:color w:val="auto"/>
                <w:vertAlign w:val="superscript"/>
              </w:rPr>
              <w:t>(1)</w:t>
            </w:r>
          </w:p>
        </w:tc>
        <w:tc>
          <w:tcPr>
            <w:tcW w:w="186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tcBorders>
              <w:bottom w:val="single" w:sz="8" w:color="auto"/>
            </w:tcBorders>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9"/>
              </w:rPr>
              <w:t xml:space="preserve">in TEUs </w:t>
            </w:r>
            <w:r>
              <w:rPr>
                <w:rFonts w:ascii="Times New Roman" w:cs="Times New Roman" w:eastAsia="Times New Roman" w:hAnsi="Times New Roman"/>
                <w:sz w:val="28"/>
                <w:szCs w:val="28"/>
                <w:b w:val="1"/>
                <w:bCs w:val="1"/>
                <w:color w:val="auto"/>
                <w:w w:val="99"/>
                <w:vertAlign w:val="superscript"/>
              </w:rPr>
              <w:t>(2)</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Built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Expiry Date</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Alexander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Colombia Express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7,072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4Q28</w:t>
            </w:r>
            <w:r>
              <w:rPr>
                <w:rFonts w:ascii="Times New Roman" w:cs="Times New Roman" w:eastAsia="Times New Roman" w:hAnsi="Times New Roman"/>
                <w:sz w:val="12"/>
                <w:szCs w:val="12"/>
                <w:color w:val="auto"/>
              </w:rPr>
              <w:t xml:space="preserve"> (10)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Hector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Panama Express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4Q29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Ikaros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Costa Rica Express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7,072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2Q29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Philippos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Nicaragua Express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7,072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188"/>
        </w:trPr>
        <w:tc>
          <w:tcPr>
            <w:tcW w:w="25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48 LLC</w:t>
            </w:r>
          </w:p>
        </w:tc>
        <w:tc>
          <w:tcPr>
            <w:tcW w:w="1860" w:type="dxa"/>
            <w:vAlign w:val="bottom"/>
            <w:vMerge w:val="restart"/>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CMA CGM Berlioz (renamed to</w:t>
            </w: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7,023</w:t>
            </w: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 xml:space="preserve">2Q29 </w:t>
            </w:r>
            <w:r>
              <w:rPr>
                <w:rFonts w:ascii="Times New Roman" w:cs="Times New Roman" w:eastAsia="Times New Roman" w:hAnsi="Times New Roman"/>
                <w:sz w:val="29"/>
                <w:szCs w:val="29"/>
                <w:color w:val="auto"/>
                <w:w w:val="91"/>
                <w:vertAlign w:val="superscript"/>
              </w:rPr>
              <w:t>(11)</w:t>
            </w: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vMerge w:val="continue"/>
            <w:shd w:val="clear" w:color="auto" w:fill="CCEEFF"/>
          </w:tcPr>
          <w:p>
            <w:pPr>
              <w:spacing w:after="0"/>
              <w:rPr>
                <w:sz w:val="19"/>
                <w:szCs w:val="19"/>
                <w:color w:val="auto"/>
              </w:rPr>
            </w:pPr>
          </w:p>
        </w:tc>
        <w:tc>
          <w:tcPr>
            <w:tcW w:w="1860" w:type="dxa"/>
            <w:vAlign w:val="bottom"/>
            <w:tcBorders>
              <w:bottom w:val="single" w:sz="8" w:color="CCEEFF"/>
            </w:tcBorders>
            <w:vMerge w:val="continue"/>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jc w:val="center"/>
              <w:spacing w:after="0" w:line="224" w:lineRule="exact"/>
              <w:rPr>
                <w:sz w:val="20"/>
                <w:szCs w:val="20"/>
                <w:color w:val="auto"/>
              </w:rPr>
            </w:pPr>
            <w:r>
              <w:rPr>
                <w:rFonts w:ascii="Times New Roman" w:cs="Times New Roman" w:eastAsia="Times New Roman" w:hAnsi="Times New Roman"/>
                <w:sz w:val="16"/>
                <w:szCs w:val="16"/>
                <w:color w:val="auto"/>
              </w:rPr>
              <w:t xml:space="preserve">Ateti) </w:t>
            </w:r>
            <w:r>
              <w:rPr>
                <w:rFonts w:ascii="Times New Roman" w:cs="Times New Roman" w:eastAsia="Times New Roman" w:hAnsi="Times New Roman"/>
                <w:sz w:val="25"/>
                <w:szCs w:val="25"/>
                <w:color w:val="auto"/>
                <w:vertAlign w:val="superscript"/>
              </w:rPr>
              <w:t>(11)</w:t>
            </w:r>
          </w:p>
        </w:tc>
        <w:tc>
          <w:tcPr>
            <w:tcW w:w="1220" w:type="dxa"/>
            <w:vAlign w:val="bottom"/>
            <w:tcBorders>
              <w:bottom w:val="single" w:sz="8" w:color="CCEEFF"/>
            </w:tcBorders>
            <w:vMerge w:val="continue"/>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6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Aristoteles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Mexico Express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6,918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Menelaos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Jamaica Express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6,918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(10)</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35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Nicoletta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6,858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36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Christen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6,858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Leonidas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Agios Dimitrios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6,572</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3Q30 </w:t>
            </w:r>
            <w:r>
              <w:rPr>
                <w:rFonts w:ascii="Times New Roman" w:cs="Times New Roman" w:eastAsia="Times New Roman" w:hAnsi="Times New Roman"/>
                <w:sz w:val="25"/>
                <w:szCs w:val="25"/>
                <w:color w:val="auto"/>
                <w:vertAlign w:val="superscript"/>
              </w:rPr>
              <w:t>(6)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33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GSL Vinia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6,080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1Q28 </w:t>
            </w:r>
            <w:r>
              <w:rPr>
                <w:rFonts w:ascii="Times New Roman" w:cs="Times New Roman" w:eastAsia="Times New Roman" w:hAnsi="Times New Roman"/>
                <w:sz w:val="25"/>
                <w:szCs w:val="25"/>
                <w:color w:val="auto"/>
                <w:vertAlign w:val="superscript"/>
              </w:rPr>
              <w:t>(12)</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34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Christel Elisabeth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6,080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1Q28 </w:t>
            </w:r>
            <w:r>
              <w:rPr>
                <w:rFonts w:ascii="Times New Roman" w:cs="Times New Roman" w:eastAsia="Times New Roman" w:hAnsi="Times New Roman"/>
                <w:sz w:val="25"/>
                <w:szCs w:val="25"/>
                <w:color w:val="auto"/>
                <w:vertAlign w:val="superscript"/>
              </w:rPr>
              <w:t>(12)</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Arcadia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Arcadia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GSL Melita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Melita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Maria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Maria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1Q30</w:t>
            </w:r>
            <w:r>
              <w:rPr>
                <w:rFonts w:ascii="Times New Roman" w:cs="Times New Roman" w:eastAsia="Times New Roman" w:hAnsi="Times New Roman"/>
                <w:sz w:val="12"/>
                <w:szCs w:val="12"/>
                <w:color w:val="auto"/>
              </w:rPr>
              <w:t xml:space="preserve"> (13)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GSL Violetta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Violetta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MYNY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MYNY</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6,008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GSL Tegea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Tegea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5,994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GSL Dorothea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Dorothea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(13)</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Drake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Ian H</w:t>
            </w:r>
            <w:r>
              <w:rPr>
                <w:rFonts w:ascii="Times New Roman" w:cs="Times New Roman" w:eastAsia="Times New Roman" w:hAnsi="Times New Roman"/>
                <w:sz w:val="12"/>
                <w:szCs w:val="12"/>
                <w:color w:val="auto"/>
              </w:rPr>
              <w:t xml:space="preserve"> (19)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5,936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4Q27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68 LLC </w:t>
            </w:r>
            <w:r>
              <w:rPr>
                <w:rFonts w:ascii="Times New Roman" w:cs="Times New Roman" w:eastAsia="Times New Roman" w:hAnsi="Times New Roman"/>
                <w:sz w:val="25"/>
                <w:szCs w:val="25"/>
                <w:color w:val="auto"/>
                <w:vertAlign w:val="superscript"/>
              </w:rPr>
              <w:t>(3)</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Kithira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5,470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4Q27</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69 LLC </w:t>
            </w:r>
            <w:r>
              <w:rPr>
                <w:rFonts w:ascii="Times New Roman" w:cs="Times New Roman" w:eastAsia="Times New Roman" w:hAnsi="Times New Roman"/>
                <w:sz w:val="25"/>
                <w:szCs w:val="25"/>
                <w:color w:val="auto"/>
                <w:vertAlign w:val="superscript"/>
              </w:rPr>
              <w:t>(3)</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Tripoli</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5,470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70 LLC </w:t>
            </w:r>
            <w:r>
              <w:rPr>
                <w:rFonts w:ascii="Times New Roman" w:cs="Times New Roman" w:eastAsia="Times New Roman" w:hAnsi="Times New Roman"/>
                <w:sz w:val="25"/>
                <w:szCs w:val="25"/>
                <w:color w:val="auto"/>
                <w:vertAlign w:val="superscript"/>
              </w:rPr>
              <w:t>(3)</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Syros</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5,470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4Q27</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Global Ship Lease 71 LLC </w:t>
            </w:r>
            <w:r>
              <w:rPr>
                <w:rFonts w:ascii="Times New Roman" w:cs="Times New Roman" w:eastAsia="Times New Roman" w:hAnsi="Times New Roman"/>
                <w:sz w:val="25"/>
                <w:szCs w:val="25"/>
                <w:color w:val="auto"/>
                <w:vertAlign w:val="superscript"/>
              </w:rPr>
              <w:t>(3)</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GSL Tinos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5,470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Zeus One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Orca 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5,308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3Q28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Hephaestus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Dolphin II</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5,095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47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Château d’If</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5,089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4Q29 </w:t>
            </w:r>
            <w:r>
              <w:rPr>
                <w:rFonts w:ascii="Times New Roman" w:cs="Times New Roman" w:eastAsia="Times New Roman" w:hAnsi="Times New Roman"/>
                <w:sz w:val="25"/>
                <w:szCs w:val="25"/>
                <w:color w:val="auto"/>
                <w:vertAlign w:val="superscript"/>
              </w:rPr>
              <w:t>(14)</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GSL Alcazar Inc.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CMA CGM Alcazar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5,089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3Q29 </w:t>
            </w:r>
            <w:r>
              <w:rPr>
                <w:rFonts w:ascii="Times New Roman" w:cs="Times New Roman" w:eastAsia="Times New Roman" w:hAnsi="Times New Roman"/>
                <w:sz w:val="25"/>
                <w:szCs w:val="25"/>
                <w:color w:val="auto"/>
                <w:vertAlign w:val="superscript"/>
              </w:rPr>
              <w:t>(14)</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55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Susan</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4,363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2008</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50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CMA CGM Jamaica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4,298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49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CMA CGM Sambhar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4,045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51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CMA CGM America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4,045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57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GSL Rossi</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6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1Q29 </w:t>
            </w:r>
            <w:r>
              <w:rPr>
                <w:rFonts w:ascii="Times New Roman" w:cs="Times New Roman" w:eastAsia="Times New Roman" w:hAnsi="Times New Roman"/>
                <w:sz w:val="25"/>
                <w:szCs w:val="25"/>
                <w:color w:val="auto"/>
                <w:vertAlign w:val="superscript"/>
              </w:rPr>
              <w:t>(15)</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58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Alice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3,421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2Q28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60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Eleftheria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3,421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3Q28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59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Melina</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3,421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4Q29</w:t>
            </w:r>
            <w:r>
              <w:rPr>
                <w:rFonts w:ascii="Times New Roman" w:cs="Times New Roman" w:eastAsia="Times New Roman" w:hAnsi="Times New Roman"/>
                <w:sz w:val="12"/>
                <w:szCs w:val="12"/>
                <w:color w:val="auto"/>
              </w:rPr>
              <w:t xml:space="preserve"> (16)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Pericles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Athena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2,980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2003</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61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Mercer</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62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Mamitsa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2,824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2007</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1Q28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63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Lalo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2,824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2Q27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42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GSL Valerie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2,824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2005</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64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GSL Elizabeth</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2006</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25"/>
                <w:szCs w:val="25"/>
                <w:color w:val="auto"/>
                <w:vertAlign w:val="subscript"/>
              </w:rPr>
              <w:t>3Q28</w:t>
            </w:r>
            <w:r>
              <w:rPr>
                <w:rFonts w:ascii="Times New Roman" w:cs="Times New Roman" w:eastAsia="Times New Roman" w:hAnsi="Times New Roman"/>
                <w:sz w:val="12"/>
                <w:szCs w:val="12"/>
                <w:color w:val="auto"/>
              </w:rPr>
              <w:t xml:space="preserve"> (17)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Athena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Newyorker</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2,635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2Q27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Aphrodite Marine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Nikolas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2,635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1Q27</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65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GSL Chloe</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2,546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66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GSL Maren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2,546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2014</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2Q28 </w:t>
            </w:r>
            <w:r>
              <w:rPr>
                <w:rFonts w:ascii="Times New Roman" w:cs="Times New Roman" w:eastAsia="Times New Roman" w:hAnsi="Times New Roman"/>
                <w:sz w:val="25"/>
                <w:szCs w:val="25"/>
                <w:color w:val="auto"/>
                <w:vertAlign w:val="superscript"/>
              </w:rPr>
              <w:t>(18)</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 Marine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Marshall Islands</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Maira</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1Q27</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38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Manet </w:t>
            </w:r>
            <w:r>
              <w:rPr>
                <w:rFonts w:ascii="Times New Roman" w:cs="Times New Roman" w:eastAsia="Times New Roman" w:hAnsi="Times New Roman"/>
                <w:sz w:val="25"/>
                <w:szCs w:val="25"/>
                <w:color w:val="auto"/>
                <w:vertAlign w:val="superscript"/>
              </w:rPr>
              <w:t>(19)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2,288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3Q26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Global Ship Lease 45 LLC</w:t>
            </w:r>
          </w:p>
        </w:tc>
        <w:tc>
          <w:tcPr>
            <w:tcW w:w="18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rPr>
              <w:t xml:space="preserve">Kumasi </w:t>
            </w:r>
            <w:r>
              <w:rPr>
                <w:rFonts w:ascii="Times New Roman" w:cs="Times New Roman" w:eastAsia="Times New Roman" w:hAnsi="Times New Roman"/>
                <w:sz w:val="25"/>
                <w:szCs w:val="25"/>
                <w:color w:val="auto"/>
                <w:vertAlign w:val="superscript"/>
              </w:rPr>
              <w:t>(19)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2,220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4Q26</w:t>
            </w:r>
          </w:p>
        </w:tc>
        <w:tc>
          <w:tcPr>
            <w:tcW w:w="0" w:type="dxa"/>
            <w:vAlign w:val="bottom"/>
          </w:tcPr>
          <w:p>
            <w:pPr>
              <w:spacing w:after="0"/>
              <w:rPr>
                <w:sz w:val="1"/>
                <w:szCs w:val="1"/>
                <w:color w:val="auto"/>
              </w:rPr>
            </w:pP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Global Ship Lease 41 LLC</w:t>
            </w:r>
          </w:p>
        </w:tc>
        <w:tc>
          <w:tcPr>
            <w:tcW w:w="1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Liberia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Julie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2,207</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3Q27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Description of Business (continued)</w:t>
      </w:r>
    </w:p>
    <w:p>
      <w:pPr>
        <w:spacing w:after="0" w:line="227"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All subsidiaries are 100% owned, either directly or indirectly;</w:t>
      </w:r>
    </w:p>
    <w:p>
      <w:pPr>
        <w:spacing w:after="0" w:line="2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Twenty-foot Equivalent Units;</w:t>
      </w:r>
    </w:p>
    <w:p>
      <w:pPr>
        <w:spacing w:after="0" w:line="9"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Currently, under a sale and leaseback transaction (see Note 2h);</w:t>
      </w:r>
    </w:p>
    <w:p>
      <w:pPr>
        <w:spacing w:after="0" w:line="9" w:lineRule="exact"/>
        <w:rPr>
          <w:rFonts w:ascii="Times New Roman" w:cs="Times New Roman" w:eastAsia="Times New Roman" w:hAnsi="Times New Roman"/>
          <w:sz w:val="18"/>
          <w:szCs w:val="18"/>
          <w:i w:val="1"/>
          <w:iCs w:val="1"/>
          <w:color w:val="auto"/>
        </w:rPr>
      </w:pPr>
    </w:p>
    <w:p>
      <w:pPr>
        <w:ind w:left="300" w:hanging="292"/>
        <w:spacing w:after="0"/>
        <w:tabs>
          <w:tab w:leader="none" w:pos="3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Zim Norfolk and Zim Xiamen were forward extended for 60 – 63 months. The extensions are expected to commence between 2Q-3Q 2027;</w:t>
      </w:r>
    </w:p>
    <w:p>
      <w:pPr>
        <w:spacing w:after="0" w:line="9" w:lineRule="exact"/>
        <w:rPr>
          <w:rFonts w:ascii="Times New Roman" w:cs="Times New Roman" w:eastAsia="Times New Roman" w:hAnsi="Times New Roman"/>
          <w:sz w:val="18"/>
          <w:szCs w:val="18"/>
          <w:i w:val="1"/>
          <w:iCs w:val="1"/>
          <w:color w:val="auto"/>
        </w:rPr>
      </w:pPr>
    </w:p>
    <w:p>
      <w:pPr>
        <w:ind w:right="100" w:firstLine="8"/>
        <w:spacing w:after="0" w:line="250" w:lineRule="auto"/>
        <w:tabs>
          <w:tab w:leader="none" w:pos="2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Sydney Express, Istanbul Express and Bremerhaven Express were delivered in 4Q 2024. Czech, the fourth vessel was delivered on January 9, 2025. Firm charters are followed by three 12-month extension periods at charterer’s option. Bremerhaven Express and Sydney Express options were exercised in 3Q 2025;</w:t>
      </w:r>
    </w:p>
    <w:p>
      <w:pPr>
        <w:spacing w:after="0" w:line="1" w:lineRule="exact"/>
        <w:rPr>
          <w:rFonts w:ascii="Times New Roman" w:cs="Times New Roman" w:eastAsia="Times New Roman" w:hAnsi="Times New Roman"/>
          <w:sz w:val="18"/>
          <w:szCs w:val="18"/>
          <w:i w:val="1"/>
          <w:iCs w:val="1"/>
          <w:color w:val="auto"/>
        </w:rPr>
      </w:pPr>
    </w:p>
    <w:p>
      <w:pPr>
        <w:ind w:right="380" w:firstLine="8"/>
        <w:spacing w:after="0" w:line="250" w:lineRule="auto"/>
        <w:tabs>
          <w:tab w:leader="none" w:pos="30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MSC Tianjin, MSC Qingdao, Agios Dimitrios and GSL Ningbo were forward fixed in direct continuation for 36 – 38 months. The new charters are expected to commence between 3Q-4Q 2027. MSC Qingdao &amp; Agios Dimitrios are fitted with Exhaust Gas Cleaning Systems (“scrubbers”);</w:t>
      </w:r>
    </w:p>
    <w:p>
      <w:pPr>
        <w:ind w:right="240" w:firstLine="8"/>
        <w:spacing w:after="0" w:line="250" w:lineRule="auto"/>
        <w:tabs>
          <w:tab w:leader="none" w:pos="2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Alexandra, GSL Sofia, GSL Lydia and GSL Effie. Firm charters are followed by one year extension period at charterer’s option. GSL Sofia and GSL Effie options were exercised in January 2025. GSL Alexandra and GSL Lydia options were exercised in February 2025. The vessels were forward fixed for 24 months +/- 30 days. The new charters are expected to commence between 2Q-3Q 2026;</w:t>
      </w:r>
    </w:p>
    <w:p>
      <w:pPr>
        <w:spacing w:after="0" w:line="1" w:lineRule="exact"/>
        <w:rPr>
          <w:rFonts w:ascii="Times New Roman" w:cs="Times New Roman" w:eastAsia="Times New Roman" w:hAnsi="Times New Roman"/>
          <w:sz w:val="18"/>
          <w:szCs w:val="18"/>
          <w:i w:val="1"/>
          <w:iCs w:val="1"/>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Lotus A, Koi and Cypress. The charters have flexible durations, with latest redeliveries in mid-2030;</w:t>
      </w:r>
    </w:p>
    <w:p>
      <w:pPr>
        <w:spacing w:after="0" w:line="9" w:lineRule="exact"/>
        <w:rPr>
          <w:rFonts w:ascii="Times New Roman" w:cs="Times New Roman" w:eastAsia="Times New Roman" w:hAnsi="Times New Roman"/>
          <w:sz w:val="18"/>
          <w:szCs w:val="18"/>
          <w:i w:val="1"/>
          <w:iCs w:val="1"/>
          <w:color w:val="auto"/>
        </w:rPr>
      </w:pPr>
    </w:p>
    <w:p>
      <w:pPr>
        <w:ind w:right="460" w:firstLine="8"/>
        <w:spacing w:after="0" w:line="250" w:lineRule="auto"/>
        <w:tabs>
          <w:tab w:leader="none" w:pos="2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Eleni, GSL Kalliopi and GSL Grania were forward fixed for 35 – 38 months to commence after drydocking, after which the charterer has the option to extend each charter for a further 12 – 16 months;</w:t>
      </w:r>
    </w:p>
    <w:p>
      <w:pPr>
        <w:ind w:right="220" w:firstLine="8"/>
        <w:spacing w:after="0" w:line="250" w:lineRule="auto"/>
        <w:tabs>
          <w:tab w:leader="none" w:pos="34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Colombia Express, Panama Express, Costa Rica Express, Nicaragua Express, Mexico Express, Jamaica Express. Firm charters are followed by two twelve-month extension periods at charterer’s option;</w:t>
      </w:r>
    </w:p>
    <w:p>
      <w:pPr>
        <w:ind w:right="320" w:firstLine="8"/>
        <w:spacing w:after="0" w:line="250" w:lineRule="auto"/>
        <w:tabs>
          <w:tab w:leader="none" w:pos="331"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CMA CGM Berlioz was forward fixed for 36 – 38 months. The new charter is expected to commence in 2Q 2026. As of March 31, 2026, vessel was under drydock. On April 25, 2026, CMA CGM Berlioz was renamed to Ateti;</w:t>
      </w:r>
    </w:p>
    <w:p>
      <w:pPr>
        <w:ind w:right="160" w:firstLine="8"/>
        <w:spacing w:after="0" w:line="250" w:lineRule="auto"/>
        <w:tabs>
          <w:tab w:leader="none" w:pos="34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Vinia and GSL Christel Elizabeth are chartered for 36 – 40 months, after which the charterer has the option to extend each charter for a further 12 – 15 months. The new charters both commenced in 1Q 2025;</w:t>
      </w:r>
    </w:p>
    <w:p>
      <w:pPr>
        <w:ind w:right="20" w:firstLine="8"/>
        <w:spacing w:after="0" w:line="250" w:lineRule="auto"/>
        <w:tabs>
          <w:tab w:leader="none" w:pos="34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Maria, GSL Violetta, GSL Arcadia, GSL MYNY, GSL Melita, GSL Tegea and GSL Dorothea. Contract cover for each vessel is for a firm period of at least three years from the date each vessel was delivered in 2021. Thereafter, the charterer has the option to extend each charter for a further 12 months, after which they have the option to extend each charter for a second time – for a period concluding immediately prior to each respective vessel’s 25th year drydocking and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GSL Arcadia, GSL Violetta and GSL MYNY new charters commenced in 1Q 2026. The remaining new charters are expected to commence between 2Q 2026 and 1Q 2027;</w:t>
      </w:r>
    </w:p>
    <w:p>
      <w:pPr>
        <w:spacing w:after="0" w:line="2"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Château d’If and CMA CGM Alcazar were forward fixed for 36 – 38 months. The new charters are expected to commence between 3Q-4Q 2026;</w:t>
      </w:r>
    </w:p>
    <w:p>
      <w:pPr>
        <w:spacing w:after="0" w:line="9"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Rossi is chartered for 35 – 37 months. The new charter commenced in 1Q 2026;</w:t>
      </w:r>
    </w:p>
    <w:p>
      <w:pPr>
        <w:spacing w:after="0" w:line="9"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Melina was forward fixed for 35 – 37 months. The new charter is expected to commence in 4Q 2026;</w:t>
      </w:r>
    </w:p>
    <w:p>
      <w:pPr>
        <w:spacing w:after="0" w:line="9"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Elizabeth was forward fixed for 24 – 27 months. The new charter is expected to commence in 3Q 2026 after drydocking;</w:t>
      </w:r>
    </w:p>
    <w:p>
      <w:pPr>
        <w:spacing w:after="0" w:line="9" w:lineRule="exact"/>
        <w:rPr>
          <w:rFonts w:ascii="Times New Roman" w:cs="Times New Roman" w:eastAsia="Times New Roman" w:hAnsi="Times New Roman"/>
          <w:sz w:val="18"/>
          <w:szCs w:val="18"/>
          <w:i w:val="1"/>
          <w:iCs w:val="1"/>
          <w:color w:val="auto"/>
        </w:rPr>
      </w:pPr>
    </w:p>
    <w:p>
      <w:pPr>
        <w:ind w:left="360" w:hanging="352"/>
        <w:spacing w:after="0"/>
        <w:tabs>
          <w:tab w:leader="none" w:pos="3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GSL Maren was forward fixed in direct continuation for 24 – 26 months. The new charter is expected to commence in 2Q 2026;</w:t>
      </w:r>
    </w:p>
    <w:p>
      <w:pPr>
        <w:spacing w:after="0" w:line="9" w:lineRule="exact"/>
        <w:rPr>
          <w:rFonts w:ascii="Times New Roman" w:cs="Times New Roman" w:eastAsia="Times New Roman" w:hAnsi="Times New Roman"/>
          <w:sz w:val="18"/>
          <w:szCs w:val="18"/>
          <w:i w:val="1"/>
          <w:iCs w:val="1"/>
          <w:color w:val="auto"/>
        </w:rPr>
      </w:pPr>
    </w:p>
    <w:p>
      <w:pPr>
        <w:ind w:right="160" w:firstLine="8"/>
        <w:spacing w:after="0" w:line="260" w:lineRule="auto"/>
        <w:tabs>
          <w:tab w:leader="none" w:pos="34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 April 2026, and May 2026, the Company entered into agreements for the forward sales of three ships, Manet, Kumasi and Ian H, for an aggregate sale price of $52,000. The ships are scheduled to be delivered to buyers upon expiry of their respective charters.</w:t>
      </w:r>
    </w:p>
    <w:p>
      <w:pPr>
        <w:spacing w:after="0" w:line="177"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w:t>
      </w:r>
    </w:p>
    <w:p>
      <w:pPr>
        <w:spacing w:after="0" w:line="225" w:lineRule="exact"/>
        <w:rPr>
          <w:sz w:val="20"/>
          <w:szCs w:val="20"/>
          <w:color w:val="auto"/>
        </w:rPr>
      </w:pPr>
    </w:p>
    <w:p>
      <w:pPr>
        <w:ind w:left="600" w:hanging="592"/>
        <w:spacing w:after="0"/>
        <w:tabs>
          <w:tab w:leader="none" w:pos="6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information is unaudited and reflects all adjustments, consisting solely of normal recurring adjustments, which, in the opinion of management, are necessary for a fair statement of financial position and results of operations for the periods presented. The financial information does not include all disclosures required under United States Generally Accepted Accounting Principles (“US GAAP”) for annual financial statements. These interim unaudited condensed consolidated financial statements should be read in conjunction with the Company’s consolidated financial statements as of December 31, 2025, filed with the Securities and Exchange Commission on March 16, 2026 in the Company’s Annual Report on Form 20-F.</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information include the financial statements of the Company and its wholly owned subsidiaries; the Company has no other interests. All significant intercompany balances and transactions have been eliminated in the Company’s interim unaudited condensed consolidated financial statements.</w:t>
      </w:r>
    </w:p>
    <w:p>
      <w:pPr>
        <w:spacing w:after="0" w:line="172"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interim unaudited condensed consolidated financial statements in conformity with U.S. GAAP requires management to make estimates and assumptions that affect the reported amounts of assets and liabilities and disclosure of contingent assets and liabilities at the date of the interim unaudited condensed consolidated financial statements and the reported amounts of revenues and expenses during the reporting period. Actual results could differ from those estimates under different assumptions and/or conditions.</w:t>
      </w:r>
    </w:p>
    <w:p>
      <w:pPr>
        <w:spacing w:after="0" w:line="176"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Vessels in operation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2(f) below.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expenditures for major improvements and upgrades are capitalized, provided they appreciably extend the life, increase the earnings capacity or improve the efficiency or safety of the vessels.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Borrowing costs incurred during the construction of vessels or as part of the prefinancing of the acquisition of vessels are capitalized. There was no capitalized interest for the three months ended March 31, 2026 and 2025.</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any vessel group which is impaired, the impairment charge is recorded against the cost of the vessel and the accumulated depreciation as at the date of impairment is removed from the accounts.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and related accumulated depreciation of assets retired or sold are removed from the accounts at the time of sale or retirement and any gain or loss is included in the interim unaudited condensed Consolidated Statements of Income.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Held for Sale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classifies assets and disposal groups as being held for sale when the following criteria are met: management has committed to a plan to sell the asset (disposal group); the asset (disposal group) is available for immediate sale in its present condition; an active program to locate a buyer and other actions required to complete the plan to sell the asset (disposal group) have been initiated; the sale of the asset (disposal group) is probable, and transfer of the asset (disposal group) is expected to qualify for recognition as a completed sale within one year; the asset (disposal group) is being actively marketed for sale at a price that is reasonable in relation to its current fair value; and actions required to complete the plan indicate that it is unlikely that significant changes to the plan will be made or that the plan will be withdrawn. Long-lived assets or disposal groups classified as held for sale are measured at the lower of their carrying amount or fair value less cost to sell. These assets are not depreciated once they meet the criteria to be held for sale.</w:t>
      </w:r>
    </w:p>
    <w:p>
      <w:pPr>
        <w:spacing w:after="0" w:line="185"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liabilities – charter agreements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interim unaudited condensed Consolidated Statements of Income. For any vessel group which is impaired, the impairment charge is recorded against the cost of the vessel and the accumulated depreciation as at the date of impairment is removed from the accounts.</w:t>
      </w:r>
    </w:p>
    <w:p>
      <w:pPr>
        <w:spacing w:after="0" w:line="183"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 (continued)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the Company evaluated the impact of current economic situation on the recoverability of all its vessel groups and has determined that there were no events or changes in circumstances which indicated that their carrying amounts may not be recoverable. Accordingly, there was no triggering event and no impairment test was performed for the three months ended March 31, 2026 and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w:t>
      </w:r>
    </w:p>
    <w:p>
      <w:pPr>
        <w:spacing w:after="0" w:line="183"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related expense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adjusted for any prepaid or accrued balance from the original lease, generally on a straight-line basis over the new lease term (the remaining balance from the original lease, adjusted for the additional or terminated periods). During the three-month periods ended March 31, 2026, and 2025, a loss amounting $1,640 and a loss amounting to $366, respectively, has been recorded in time charter-revenues for such modifications and revenues recognized on a straight-line basis. Any difference between the charter rate invoiced and the time charter revenue recognized is classified as, or released from, deferred revenue. As of March 31, 2026, current and non-current portion from implementing the straight-line basis, amounting to $10,925 ($12,643 as of December 31, 2025) and $9,940 ($10,344 as of December 31, 2025), respectively, are presented in the interim unaudited condensed Consolidated Balance Sheets in the line item “Prepaid expenses and other current assets” and “Other non-current assets”, respectively. As of March 31, 2026, current liability and non-current liability from implementing the straight-line basis, amounting to $6,613 ($8,624 as of December 31, 2025) and $5,318 ($3,797 as of December 31, 2025), are presented in the interim unaudited condensed Consolidated Balance Sheets in the line item “Current portion of deferred revenue” and “Deferred revenue, net of current portion”, respectively.</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time charter arrangements the Company, as owner, is responsible for all the operating expenses of the vessels, such as crew costs, insurance, repairs and maintenance, and such costs are expensed as incurred and are included in vessel operating expenses.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paid to brokers to facilitate the agreement of a new charter are included in time charter and voyage expenses as are certain expenses related to a voyage, such as the costs of bunker fuel consumed when a vessel is off-hire or idle.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and related expense (continued)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In cases of lease agreements where the Company acts as the lessee, the Company recognizes an operating lease asset and a corresponding 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liability on the interim unaudited condensed Consolidated Balance Sheets. Following initial recognition and with regards to subsequent measurement the Company remeasures lease liability and right of use asset at each reporting date.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 where the Company acts as the lessor are classified as either operating or sales-type / direct financing leases.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cases of lease agreements where the Company acts as the lessor under an operating lease, the Company keeps the underlying asset on the interim unaudited condensed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-bareboat- out arrangements.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76"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derives its revenues from chartering vessels to liner companies. The Company reports financial information and evaluates its operations by charter revenues and not by the length of ship employment for its customers. The Company does not use discrete financial information to evaluate operating results for each vessel or type of charter. Management does not identify expenses, profitability or other financial information by vessel or charter type. The Company’s Executive Chairman, Chief Executive Officer and Chief Financial Officer, collectively, who are the Chief Operating Decision Maker ("CODM"), review operating results solely by revenue per day and consolidated net income of the fleet and thus the Company has determined that it operates under one operating and reportable segment. Consolidated vessel operating expense information presented within the interim unaudited condensed Consolidated Statements of Income are considered to be significant expenses. Furthermore, when the Company charters a vessel to a charterer, the charterer is free to trade the vessel worldwide, subject to restrictions as per the charter agreement, and, as a result, the disclosure of geographic information is impracticable.</w:t>
      </w:r>
    </w:p>
    <w:p>
      <w:pPr>
        <w:spacing w:after="0" w:line="18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carried on the interim unaudited condensed Consolidated Balance Sheets include cash and cash equivalents, restricted cash and other instruments, time deposits, trade receivables and payables, other receivables and other liabilities, amounts due to/from related parties, derivatives and long-term debt. The particular recognition methods applicable to each class of financial instrument are disclosed in the applicable significant policy description of each item or included below as applicable.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measurement: </w:t>
      </w: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orderly transaction between market participants at the measurement date. The hierarchy is broken down into three levels based on the observability of inputs as follows: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1 - </w:t>
      </w:r>
      <w:r>
        <w:rPr>
          <w:rFonts w:ascii="Times New Roman" w:cs="Times New Roman" w:eastAsia="Times New Roman" w:hAnsi="Times New Roman"/>
          <w:sz w:val="18"/>
          <w:szCs w:val="18"/>
          <w:color w:val="auto"/>
        </w:rPr>
        <w:t>Valuations based on quoted prices in active markets for identical assets or liabilities that the Company has the ability to access. Valuation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 </w:t>
      </w:r>
      <w:r>
        <w:rPr>
          <w:rFonts w:ascii="Times New Roman" w:cs="Times New Roman" w:eastAsia="Times New Roman" w:hAnsi="Times New Roman"/>
          <w:sz w:val="18"/>
          <w:szCs w:val="18"/>
          <w:color w:val="auto"/>
        </w:rPr>
        <w:t>Valuations based on one or more quoted prices in markets that are not active or for which all significant inputs are observable, either directly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indirectly.</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Level 3 - </w:t>
      </w:r>
      <w:r>
        <w:rPr>
          <w:rFonts w:ascii="Times New Roman" w:cs="Times New Roman" w:eastAsia="Times New Roman" w:hAnsi="Times New Roman"/>
          <w:sz w:val="18"/>
          <w:szCs w:val="18"/>
          <w:color w:val="auto"/>
        </w:rPr>
        <w:t>Valuations based on inputs that are unobservable and significant to the overall fair value measurement.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assets and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to estimate the fair value of each class of financial instrument: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restricted cash and other instruments, time deposits, amounts due to/from related parties: </w:t>
      </w:r>
      <w:r>
        <w:rPr>
          <w:rFonts w:ascii="Times New Roman" w:cs="Times New Roman" w:eastAsia="Times New Roman" w:hAnsi="Times New Roman"/>
          <w:sz w:val="18"/>
          <w:szCs w:val="18"/>
          <w:color w:val="auto"/>
        </w:rPr>
        <w:t>The carrying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reported in the interim unaudited condensed Consolidated Balance Sheets for these balances approximate their fair value because of the short maturity or short-term nature of these balances.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Long-term debt, including current portion, ne</w:t>
      </w:r>
      <w:r>
        <w:rPr>
          <w:rFonts w:ascii="Times New Roman" w:cs="Times New Roman" w:eastAsia="Times New Roman" w:hAnsi="Times New Roman"/>
          <w:sz w:val="18"/>
          <w:szCs w:val="18"/>
          <w:color w:val="auto"/>
        </w:rPr>
        <w:t>t: The carrying value of our long term bank loans and sale and leaseback agreements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 its fair value generally due to their variable interest rates. The carrying value has been adjusted to reflect the net presentation of deferred finance costs.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values of the Company’s financial instruments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1"/>
                <w:szCs w:val="21"/>
                <w:color w:val="auto"/>
              </w:rPr>
            </w:pPr>
          </w:p>
        </w:tc>
        <w:tc>
          <w:tcPr>
            <w:tcW w:w="24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2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Book Value</w:t>
            </w: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404,938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404,938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273,876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273,876</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93,670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93,670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199,100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199,100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other instruments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156,402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156,402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164,120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164,120</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and other financial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36,128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5,234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(692)</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and financial liabilities, including current portion,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(652,882)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(657,817)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(694,709)</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40" w:type="dxa"/>
            <w:vAlign w:val="bottom"/>
            <w:gridSpan w:val="8"/>
          </w:tcPr>
          <w:p>
            <w:pPr>
              <w:ind w:left="540"/>
              <w:spacing w:after="0"/>
              <w:rPr>
                <w:sz w:val="20"/>
                <w:szCs w:val="20"/>
                <w:color w:val="auto"/>
              </w:rPr>
            </w:pPr>
            <w:r>
              <w:rPr>
                <w:rFonts w:ascii="Times New Roman" w:cs="Times New Roman" w:eastAsia="Times New Roman" w:hAnsi="Times New Roman"/>
                <w:sz w:val="18"/>
                <w:szCs w:val="18"/>
                <w:b w:val="1"/>
                <w:bCs w:val="1"/>
                <w:color w:val="auto"/>
              </w:rPr>
              <w:t>Fair Value Measurements as at March 31, 2026</w:t>
            </w:r>
          </w:p>
        </w:tc>
      </w:tr>
      <w:tr>
        <w:trPr>
          <w:trHeight w:val="223"/>
        </w:trPr>
        <w:tc>
          <w:tcPr>
            <w:tcW w:w="59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404,938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404,938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93,670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93,670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other instruments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156,402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156,402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and other financial instruments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36,128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36,128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1,231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and financial liabilities, including current portion,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(657,817)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(657,817)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40" w:type="dxa"/>
            <w:vAlign w:val="bottom"/>
            <w:gridSpan w:val="8"/>
          </w:tcPr>
          <w:p>
            <w:pPr>
              <w:ind w:left="420"/>
              <w:spacing w:after="0"/>
              <w:rPr>
                <w:sz w:val="20"/>
                <w:szCs w:val="20"/>
                <w:color w:val="auto"/>
              </w:rPr>
            </w:pPr>
            <w:r>
              <w:rPr>
                <w:rFonts w:ascii="Times New Roman" w:cs="Times New Roman" w:eastAsia="Times New Roman" w:hAnsi="Times New Roman"/>
                <w:sz w:val="18"/>
                <w:szCs w:val="18"/>
                <w:b w:val="1"/>
                <w:bCs w:val="1"/>
                <w:color w:val="auto"/>
              </w:rPr>
              <w:t>Fair Value Measurements as at December 31, 2025</w:t>
            </w:r>
          </w:p>
        </w:tc>
      </w:tr>
      <w:tr>
        <w:trPr>
          <w:trHeight w:val="223"/>
        </w:trPr>
        <w:tc>
          <w:tcPr>
            <w:tcW w:w="5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9"/>
                <w:szCs w:val="19"/>
                <w:color w:val="auto"/>
              </w:rPr>
            </w:pP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273,876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273,876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199,100</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199,100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other instruments</w:t>
            </w:r>
          </w:p>
        </w:tc>
        <w:tc>
          <w:tcPr>
            <w:tcW w:w="9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164,120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164,120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Derivative assets and other financial instruments</w:t>
            </w: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5,234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related parties</w:t>
            </w:r>
          </w:p>
        </w:tc>
        <w:tc>
          <w:tcPr>
            <w:tcW w:w="9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Due to related parties</w:t>
            </w:r>
          </w:p>
        </w:tc>
        <w:tc>
          <w:tcPr>
            <w:tcW w:w="9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facilities and financial liabilities, including current portion, net</w:t>
            </w:r>
          </w:p>
        </w:tc>
        <w:tc>
          <w:tcPr>
            <w:tcW w:w="9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(694,709)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(694,709)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7"/>
        </w:trPr>
        <w:tc>
          <w:tcPr>
            <w:tcW w:w="5260" w:type="dxa"/>
            <w:vAlign w:val="bottom"/>
          </w:tcPr>
          <w:p>
            <w:pPr>
              <w:spacing w:after="0"/>
              <w:rPr>
                <w:sz w:val="24"/>
                <w:szCs w:val="24"/>
                <w:color w:val="auto"/>
              </w:rPr>
            </w:pPr>
          </w:p>
        </w:tc>
        <w:tc>
          <w:tcPr>
            <w:tcW w:w="940" w:type="dxa"/>
            <w:vAlign w:val="bottom"/>
            <w:gridSpan w:val="2"/>
          </w:tcPr>
          <w:p>
            <w:pPr>
              <w:jc w:val="right"/>
              <w:ind w:right="356"/>
              <w:spacing w:after="0"/>
              <w:rPr>
                <w:sz w:val="20"/>
                <w:szCs w:val="20"/>
                <w:color w:val="auto"/>
              </w:rPr>
            </w:pPr>
            <w:r>
              <w:rPr>
                <w:rFonts w:ascii="Times New Roman" w:cs="Times New Roman" w:eastAsia="Times New Roman" w:hAnsi="Times New Roman"/>
                <w:sz w:val="14"/>
                <w:szCs w:val="14"/>
                <w:color w:val="auto"/>
              </w:rPr>
              <w:t>F-13</w:t>
            </w: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2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 (continued)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the Company purchased interest rate caps with an aggregate notional amount of $484,106, which amortizes over time as the Company’s outstanding debt balances decline. In February 2022, the Company further hedged its exposure by putting in place two USD one-month LIBOR interest rate caps of 0.75% through fourth quarter 2026, on $507,891 of its floating rate debt. The second-interest rate cap was not designated as a cash flow hedge and therefore the negative fair value adjustment of $584 as of March 31, 2026, was recorded through interim unaudited condensed Consolidated Statements of Income ($1,623 negative fair value adjustment for March 31, 2025).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$253,946) as the hedged item, and any interest payments beyond the notional amount of the interest rate cap in any given period are not designated as being hedged. During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The Company assesses the effectiveness of the hedges on an ongoing basis. The amounts included in accumulated other comprehensive income will be reclassified to interest expense should the hedge no longer be considered effective.</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April 4, 2024, the Company entered into a foreign exchange option strip (“FX option”) to purchase €3,000, with monthly settlements, starting April 11, 2024, and ended March 13, 2025. The strike price was EUR/USD 1.10. The Company entered to this option to hedge the downside foreign exchange risk associated with expenses denominated in EUR against fluctuations between the US Dollar and Euro. This FX option was designated as a cash flow hedge of anticipated expenses totaling €3,000, expected to occur each month. Changes in the fair value of the option other than “intrinsic value” were excluded from the assessment of effectiveness. The effectiveness of the hedging relationship were periodically assessed during the life of the hedge by comparing the terms of the option and the forecasted expenses to ensure that they continued to coincide. Should the critical terms no longer matched exactly, hedge effectiveness (both prospective and retrospective) was assessed by evaluating the dollar-offset ratio of the spot intrinsic value of the actual option contract and a hypothetically perfect option contract.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2026, the Company entered into a series of FX Reverse Convertible transactions for a total amount of $33,000. These instruments are USD-denominated structured notes with returns linked to the EUR/USD exchange rate. Each instrument has a fixed coupon payable at maturity and is subject to potential principal conversion into EUR if EUR/USD falls below the specified strike. Each instrument is a hybrid financial instrument consisting of a debt host and an embedded foreign exchange option. The Company has elected the Fair Value Option under ASC 825 for these structured instruments. Under the fair value option, as of March 31, 2026, the instruments are presented as assets measured at fair value amounting to $32,684 ($nil as of December 31, 2025) in the interim unaudited condensed Consolidated Balance Sheets in the line item “Derivative assets and other financial instruments”. As of March 31, 2026, a negative fair value adjustment amounting to $316 ($nil as of March 31, 2025) is recognized in the interim unaudited condensed Consolidated Statements of Income in the line item “Fair value adjustment on derivative asset”.</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and Financial Instruments (continued)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Financial Risk Management: </w:t>
      </w:r>
      <w:r>
        <w:rPr>
          <w:rFonts w:ascii="Times New Roman" w:cs="Times New Roman" w:eastAsia="Times New Roman" w:hAnsi="Times New Roman"/>
          <w:sz w:val="18"/>
          <w:szCs w:val="18"/>
          <w:color w:val="auto"/>
        </w:rPr>
        <w:t>The Company activities expose it to a variety of financial risks including fluctuations in, time charter rates, credit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rates risk. Risk management is carried out under policies approved by executive management. Guidelines are established for overall risk management, as well as specific areas of operations.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Credit risk: </w:t>
      </w:r>
      <w:r>
        <w:rPr>
          <w:rFonts w:ascii="Times New Roman" w:cs="Times New Roman" w:eastAsia="Times New Roman" w:hAnsi="Times New Roman"/>
          <w:sz w:val="18"/>
          <w:szCs w:val="18"/>
          <w:color w:val="auto"/>
        </w:rPr>
        <w:t>The Company closely monitors its credit exposure to customers and counterparties for credit risk. The Company has entered into commercial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agreement with Conchart Commercial Inc. (“Conchart”), pursuant to which Conchart has agreed to provide commercial management services to the Company, including the negotiation, on behalf of the Company, of vessel employment contracts (see Note 7). Conchart has policies in place to ensure that it trades with customers and counterparties with an appropriate credit history. Financial instruments that potentially subject the Company to concentrations of credit risk are accounts receivable, cash and cash equivalents and time deposits. The Company does not believe its exposure to credit risk is likely to have a material adverse effect on its financial position, results of operations or cash flows.</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Liquidity Risk: </w:t>
      </w:r>
      <w:r>
        <w:rPr>
          <w:rFonts w:ascii="Times New Roman" w:cs="Times New Roman" w:eastAsia="Times New Roman" w:hAnsi="Times New Roman"/>
          <w:sz w:val="18"/>
          <w:szCs w:val="18"/>
          <w:color w:val="auto"/>
        </w:rPr>
        <w:t>Prudent liquidity risk management implies maintaining sufficient cash and marketable securities, the availability of funding through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adequate amount of committed credit facilities and the ability to close out market positions. The Company monitors cash balances appropriately to meet working capital needs.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Risk: </w:t>
      </w:r>
      <w:r>
        <w:rPr>
          <w:rFonts w:ascii="Times New Roman" w:cs="Times New Roman" w:eastAsia="Times New Roman" w:hAnsi="Times New Roman"/>
          <w:sz w:val="18"/>
          <w:szCs w:val="18"/>
          <w:color w:val="auto"/>
        </w:rPr>
        <w:t>Foreign currency transactions are translated into the measurement currency rates prevailing at the dates of transactions. Foreign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gains and losses resulting from the settlement of such transactions and from the translation of monetary assets and liabilities denominated in foreign currencies are recognized in the interim unaudited condensed Consolidated Statements of Income.</w:t>
      </w:r>
    </w:p>
    <w:p>
      <w:pPr>
        <w:spacing w:after="0" w:line="171"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exposed to interest rate risk relating to its variable rate borrowings. In December 2021, the Company purchased interest rate caps with an aggregate notional amount of $484,106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premium paid related to this derivative was classified in the interim unaudited condensed Consolidated Statements of Cash Flows as operating activities in the line item “Derivative assets and other financial instruments”.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expensing of the premium will not begin until the effective start date of the interest rate cap, in order to match potential cap revenue with the cap expenses in the period in which they are incurred.</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and Disclosures (continued)</w:t>
      </w:r>
    </w:p>
    <w:p>
      <w:pPr>
        <w:spacing w:after="0" w:line="225" w:lineRule="exact"/>
        <w:rPr>
          <w:sz w:val="20"/>
          <w:szCs w:val="20"/>
          <w:color w:val="auto"/>
        </w:rPr>
      </w:pPr>
    </w:p>
    <w:p>
      <w:pPr>
        <w:ind w:left="660" w:hanging="652"/>
        <w:spacing w:after="0"/>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2022, the Company purchased two interest rate caps with an aggregate notional amount of $507,891. The first interest rate cap of $253,946 which has been designated as a cash flow hedge, has the same accounting treatment as described above for the December 2021 hedging. The second interest rate cap was not designated as a cash flow hedge and therefore the negative fair value adjustment of $584 as at March 31, 2026 ($1,623 negative fair value adjustment as at March 31, 2025) was recorded through interim unaudited condensed Consolidated Statements of Income.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(see Note 5). As of March 31, 2026,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accumulated other comprehensive income will be reclassified to interest expense should the hedge no longer be considered effective. The Company assesses the effectiveness of the hedges on an ongoing basis. As of March 31, 2026, interest rate cap notional amount covers ~55% of the outstanding floating debt.</w:t>
      </w:r>
    </w:p>
    <w:p>
      <w:pPr>
        <w:spacing w:after="0" w:line="172" w:lineRule="exact"/>
        <w:rPr>
          <w:sz w:val="20"/>
          <w:szCs w:val="20"/>
          <w:color w:val="auto"/>
        </w:rPr>
      </w:pPr>
    </w:p>
    <w:p>
      <w:pPr>
        <w:ind w:left="660" w:hanging="652"/>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The Company is currently evaluating the potential impact of adopting this standard on the Company’s interim unaudited condensed Consolidated Financial Statements and disclosures.</w:t>
      </w:r>
    </w:p>
    <w:p>
      <w:pPr>
        <w:spacing w:after="0" w:line="183"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Vessels in Operation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Vessel Cost,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as adjusted for</w:t>
            </w:r>
          </w:p>
        </w:tc>
        <w:tc>
          <w:tcPr>
            <w:tcW w:w="8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Net Book</w:t>
            </w:r>
          </w:p>
        </w:tc>
      </w:tr>
      <w:tr>
        <w:trPr>
          <w:trHeight w:val="245"/>
        </w:trPr>
        <w:tc>
          <w:tcPr>
            <w:tcW w:w="6940" w:type="dxa"/>
            <w:vAlign w:val="bottom"/>
          </w:tcPr>
          <w:p>
            <w:pPr>
              <w:spacing w:after="0"/>
              <w:rPr>
                <w:sz w:val="21"/>
                <w:szCs w:val="21"/>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23"/>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2025</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2,288,855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(404,215)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1,884,640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203,314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203,314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(91,906)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(91,906)</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26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(61,111)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27,951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(33,160)</w:t>
            </w:r>
          </w:p>
        </w:tc>
      </w:tr>
      <w:tr>
        <w:trPr>
          <w:trHeight w:val="223"/>
        </w:trPr>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2,431,058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(468,170)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1,962,888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51,134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(24,800)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(24,800)</w:t>
            </w:r>
          </w:p>
        </w:tc>
      </w:tr>
      <w:tr>
        <w:trPr>
          <w:trHeight w:val="27"/>
        </w:trPr>
        <w:tc>
          <w:tcPr>
            <w:tcW w:w="69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2,482,192</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(492,970)</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1,989,222</w:t>
            </w:r>
          </w:p>
        </w:tc>
      </w:tr>
      <w:tr>
        <w:trPr>
          <w:trHeight w:val="21"/>
        </w:trPr>
        <w:tc>
          <w:tcPr>
            <w:tcW w:w="69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made additions for vessel expenditures and other capitalized vessel expenses. As of March 31, 2026, and March 31, 2025, unpaid capitalized expenses were $12,163 and $14,612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Vessel acquisitions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the Company agreed to purchase three ECO 8,586 TEU, Korean-built containerships for an aggregate price of approximately $90,000, of which two were delivered on various dates in December 2025 and the third one on January 9, 2026. As of December 31, 2025, the Company had paid in advance $30,200 for the acquisition of the third ECO 8,586 TEU vessel, Cypress, which was delivered on January 9, 2026. The Company funded the acquisitions with cash on hand, with the potential to attach financing subsequently.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right="8080" w:firstLine="8"/>
        <w:spacing w:after="0" w:line="530" w:lineRule="auto"/>
        <w:tabs>
          <w:tab w:leader="none" w:pos="661"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Vessels in Operation (continued) 2025 Vessel acquisitions (continued)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Borders>
              <w:bottom w:val="single" w:sz="8" w:color="auto"/>
            </w:tcBorders>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4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Capacity in TEUs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Built</w:t>
            </w:r>
          </w:p>
        </w:tc>
        <w:tc>
          <w:tcPr>
            <w:tcW w:w="2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Purchase Price</w:t>
            </w: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Delivery date</w:t>
            </w:r>
          </w:p>
        </w:tc>
      </w:tr>
      <w:tr>
        <w:trPr>
          <w:trHeight w:val="216"/>
        </w:trPr>
        <w:tc>
          <w:tcPr>
            <w:tcW w:w="25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8"/>
              </w:rPr>
              <w:t>Koi (*)</w:t>
            </w:r>
          </w:p>
        </w:tc>
        <w:tc>
          <w:tcPr>
            <w:tcW w:w="2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8,586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21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$30,000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December 29, 2025</w:t>
            </w:r>
          </w:p>
        </w:tc>
      </w:tr>
      <w:tr>
        <w:trPr>
          <w:trHeight w:val="216"/>
        </w:trPr>
        <w:tc>
          <w:tcPr>
            <w:tcW w:w="25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Lotus A (*)</w:t>
            </w:r>
          </w:p>
        </w:tc>
        <w:tc>
          <w:tcPr>
            <w:tcW w:w="24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8,586</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2010</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$30,000</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12, 2025</w:t>
            </w:r>
          </w:p>
        </w:tc>
      </w:tr>
      <w:tr>
        <w:trPr>
          <w:trHeight w:val="216"/>
        </w:trPr>
        <w:tc>
          <w:tcPr>
            <w:tcW w:w="2500" w:type="dxa"/>
            <w:vAlign w:val="bottom"/>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Cypress (*)</w:t>
            </w:r>
          </w:p>
        </w:tc>
        <w:tc>
          <w:tcPr>
            <w:tcW w:w="2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8,586</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2011</w:t>
            </w:r>
          </w:p>
        </w:tc>
        <w:tc>
          <w:tcPr>
            <w:tcW w:w="210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$30,000</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9, 2026</w:t>
            </w:r>
          </w:p>
        </w:tc>
      </w:tr>
    </w:tbl>
    <w:p>
      <w:pPr>
        <w:spacing w:after="0" w:line="198" w:lineRule="exact"/>
        <w:rPr>
          <w:sz w:val="20"/>
          <w:szCs w:val="20"/>
          <w:color w:val="auto"/>
        </w:rPr>
      </w:pPr>
    </w:p>
    <w:p>
      <w:pPr>
        <w:ind w:firstLine="8"/>
        <w:spacing w:after="0" w:line="282" w:lineRule="auto"/>
        <w:tabs>
          <w:tab w:leader="none" w:pos="2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charters of the three ECO 8,586 TEU Vessels resulted in an intangible liability of $57,183 that was recognized and will be amortized over the remaining useful life of the charters.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took delivery of the fourth high-reefer ECO 9,019 TEU Vessel as per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5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Capacity in TEUs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Year Built</w:t>
            </w:r>
          </w:p>
        </w:tc>
        <w:tc>
          <w:tcPr>
            <w:tcW w:w="21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Purchase Price</w:t>
            </w:r>
          </w:p>
        </w:tc>
        <w:tc>
          <w:tcPr>
            <w:tcW w:w="2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Delivery date</w:t>
            </w:r>
          </w:p>
        </w:tc>
      </w:tr>
      <w:tr>
        <w:trPr>
          <w:trHeight w:val="216"/>
        </w:trPr>
        <w:tc>
          <w:tcPr>
            <w:tcW w:w="246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Czech (*)</w:t>
            </w:r>
          </w:p>
        </w:tc>
        <w:tc>
          <w:tcPr>
            <w:tcW w:w="25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9,019</w:t>
            </w:r>
          </w:p>
        </w:tc>
        <w:tc>
          <w:tcPr>
            <w:tcW w:w="16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2015</w:t>
            </w:r>
          </w:p>
        </w:tc>
        <w:tc>
          <w:tcPr>
            <w:tcW w:w="21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$68,391</w:t>
            </w:r>
          </w:p>
        </w:tc>
        <w:tc>
          <w:tcPr>
            <w:tcW w:w="2520" w:type="dxa"/>
            <w:vAlign w:val="bottom"/>
            <w:shd w:val="clear" w:color="auto" w:fill="CCEEFF"/>
          </w:tcPr>
          <w:p>
            <w:pPr>
              <w:jc w:val="center"/>
              <w:ind w:right="50"/>
              <w:spacing w:after="0"/>
              <w:rPr>
                <w:sz w:val="20"/>
                <w:szCs w:val="20"/>
                <w:color w:val="auto"/>
              </w:rPr>
            </w:pPr>
            <w:r>
              <w:rPr>
                <w:rFonts w:ascii="Times New Roman" w:cs="Times New Roman" w:eastAsia="Times New Roman" w:hAnsi="Times New Roman"/>
                <w:sz w:val="18"/>
                <w:szCs w:val="18"/>
                <w:color w:val="auto"/>
                <w:w w:val="99"/>
              </w:rPr>
              <w:t>January 9, 2025</w:t>
            </w:r>
          </w:p>
        </w:tc>
      </w:tr>
    </w:tbl>
    <w:p>
      <w:pPr>
        <w:spacing w:after="0" w:line="198" w:lineRule="exact"/>
        <w:rPr>
          <w:sz w:val="20"/>
          <w:szCs w:val="20"/>
          <w:color w:val="auto"/>
        </w:rPr>
      </w:pPr>
    </w:p>
    <w:p>
      <w:pPr>
        <w:ind w:firstLine="8"/>
        <w:spacing w:after="0" w:line="282" w:lineRule="auto"/>
        <w:tabs>
          <w:tab w:leader="none" w:pos="26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charter of the fourth high-reefer ECO 9,019 TEU Vessels resulted in an intangible liability of $15,987 that was recognized and is being amortized over the remaining useful life of the charter. As of December 31, 2024, the Company had paid $6,850 advance for this vessel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Sale of Vessels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Dimitris Y was contracted to be sold for $35,600 and was delivered to the buyers on October 13, 2025. Vessel’s net proceeds from the sale of vessel were $35,085. On July 28, 2025, the vessel was released as collateral under the Company’s $350,000 5.69% Senior Secured Notes due 2027. The net gain from the sale of vessel was $17,943.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the Company agreed to sell Keta, a 2,207 TEU vessel, which was sold on March 24, 2025, for net proceeds of $11,944, and the vessel was released as collateral under the Company’s $350,000 5.69% Senior Secured Notes due 2027. The net gain from the sale of vessel was $7,121.</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December 2024, the Company agreed to sell Tasman, a 5,936 TEU vessel, which was sold on March 10, 2025, for net proceeds of $30,846, and the vessel was released as collateral under the Company’s $350,000 5.69% Senior Secured Notes due 2027. The net gain from the sale of vessel was $17,929.</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February 2025, the Company agreed to sell Akiteta, a 2,220 TEU vessel, which was sold on February 19, 2025, for net proceeds of $10,693, and the vessel was released as collateral under the Company’s $350,000 5.69% Senior Secured Notes due 2027. The net gain from the sale of vessel was $3,279.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evaluated the impact of current economic situation on the recoverability of all its vessel groups and has determined that there were no events or changes in circumstances which indicated that their carrying amounts may not be recoverable. Accordingly, there was no triggering event and no impairment test was performed during the three months ended March 31,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right="8080" w:firstLine="8"/>
        <w:spacing w:after="0" w:line="503" w:lineRule="auto"/>
        <w:tabs>
          <w:tab w:leader="none" w:pos="661"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Vessels in Operation (continued) Collateral</w:t>
      </w: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2026, 12 vessels were mortgaged as collateral under the 5.69% Senior Secured Notes due 2027 and 36 vessels under the Company’s loan facilities and sale and leaseback agreements. Twenty-three vessels were unencumbered as of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for vessels acquisitions and other additions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made $nil and a $30,200, respectively, advance for a vessel acquisition, which was delivered on January 9, 2026. As of March 31, 2026, and December 31, 2025, the Company had also made advances for other vessel additions totaling $5,806 and $5,761, respectively.</w:t>
      </w:r>
    </w:p>
    <w:p>
      <w:pPr>
        <w:spacing w:after="0" w:line="172" w:lineRule="exact"/>
        <w:rPr>
          <w:sz w:val="20"/>
          <w:szCs w:val="20"/>
          <w:color w:val="auto"/>
        </w:rPr>
      </w:pPr>
    </w:p>
    <w:p>
      <w:pPr>
        <w:ind w:left="660" w:hanging="652"/>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Liabilities – Charter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Liabilities – Charter Agreements as of March 31, 2026, and December 31, 2025,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Additions </w:t>
            </w:r>
            <w:r>
              <w:rPr>
                <w:rFonts w:ascii="Times New Roman" w:cs="Times New Roman" w:eastAsia="Times New Roman" w:hAnsi="Times New Roman"/>
                <w:sz w:val="25"/>
                <w:szCs w:val="25"/>
                <w:color w:val="auto"/>
                <w:vertAlign w:val="superscript"/>
              </w:rPr>
              <w:t>(*)</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19,061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54,109</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(6,247)</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(13,486)</w:t>
            </w: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102,868</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90,054</w:t>
            </w:r>
          </w:p>
        </w:tc>
        <w:tc>
          <w:tcPr>
            <w:tcW w:w="100" w:type="dxa"/>
            <w:vAlign w:val="bottom"/>
            <w:tcBorders>
              <w:top w:val="single" w:sz="8" w:color="CCEEFF"/>
            </w:tcBorders>
          </w:tcPr>
          <w:p>
            <w:pPr>
              <w:spacing w:after="0"/>
              <w:rPr>
                <w:sz w:val="18"/>
                <w:szCs w:val="18"/>
                <w:color w:val="auto"/>
              </w:rPr>
            </w:pPr>
          </w:p>
        </w:tc>
      </w:tr>
      <w:tr>
        <w:trPr>
          <w:trHeight w:val="21"/>
        </w:trPr>
        <w:tc>
          <w:tcPr>
            <w:tcW w:w="8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8"/>
        <w:spacing w:after="0" w:line="261"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2025, the charter of the fourth high-reefer ECO 9,019 TEU Vessels resulted in an intangible liability of $15,987 that was recognized and is being amortized over the remaining useful life of the charter. During December 2025, the charters of the two new ECO 8,586 TEU Vessels and during January 2026, the charter of the third new ECO 8,586 TEU Vessel, resulted in an intangible liability of $38,122 and $19,061, respectively, that was recognized and will be amortized over the remaining useful life of the charters.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Intangible liabilities are related to (a) acquisition of the four high-reefer ECO 9,019 TEU vessels delivered in December 2024 and January 2025 (the charters of which resulted in an intangible liability of $49,295), (b) acquisition of the three new ECO 8,586 TEU Vessels, out of which two were delivered in December 2025 and one in January 2026 (the charters of which resulted in an intangible liability of $57,183), and (c) management’s estimate of the fair value of below-market charters on August 14, 2008, the date of the Marathon Merger. These intangible liabilities are being amortized over the remaining life of the relevant lease terms and the amortization income is included under the caption “Amortization of intangible liabilities-charter agreements” in the interim unaudited condensed Consolidated Statements of Income.</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income of intangible liabilities-charter agreements for each of the three months ended March 31, 2026, and 2025 was $6,247 and $3,214,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of the intangible liabilities in each of the 12-month periods up to March 31, 2031, is estimated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25,842</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25,772</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March 31, 2030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22,598</w:t>
            </w: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2031</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102,868</w:t>
            </w:r>
          </w:p>
        </w:tc>
        <w:tc>
          <w:tcPr>
            <w:tcW w:w="10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The weighted average life for the remaining intangible liabilities-charter agreements terms is 4.0 year.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Assets and other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2021, the Company purchased interest rate caps with an aggregate notional amount of $484,106,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the strike rate, which is 0.75%. The termination date of the interest rate cap agreements is November 30, 2026. The premium paid to purchase the interest caps was $7,000, which was paid out of cash on December 22, 2021. The premium is being amortized over the life of the interest rate cap by using the caplet method.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2022, the Company further hedged its exposure to a potential rising interest rate environment by putting in place two USD one-month LIBOR interest rate caps of 0.75% through fourth quarter 2026, on $507,891 of its floating rate debt. The second interest rate cap was not designated as a cash flow hedge and therefore the negative fair value adjustment of $584 as at March 31, 2026 ($1,623 the negative fair value adjustment as at March 31, 2025), was recorded through interim unaudited condensed Consolidated Statement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Amount received from interest rate caps for each of the three-month periods ended March 31, 2026, and 2025, was $2,364 and $4,492, respectively.</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4, 2024, the Company entered into an FX option to purchase €3,000, with monthly settlements that started on April 11, 2024 and ended on March 13, 2025. The initial value of the excluded component was equal to the option premium of €417 and was recognized in earnings using the amortization approach as per ASC 815-20-25-83A.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January 2026, the Company entered into a series of FX Reverse Convertible transactions for a total amount of $33,000. These instruments are USD-denominated structured notes with returns linked to the EUR/USD exchange rate. Each instrument has a fixed coupon payable at maturity USD capital protected and is subject to potential principal conversion into EUR if EUR/USD falls below the specified strike. Each instrument is a hybrid financial instrument and an embedded foreign exchange option. The Company has elected the Fair Value Option under ASC 825 for these structured instruments. Under the fair value option, as of March 31, 2026, the instruments are presented as assets measured at fair value amounting to $32,684 ($nil as of December 31, 2025) in the interim unaudited condensed Consolidated Balance Sheets in the line item “Derivative assets and other financial instruments”. As of March 31, 2026, a negative fair value adjustment amounting to $316 ($nil as of March 31, 2025) is recognized in the interim unaudited condensed Consolidated Statements of Income in the line item “Fair value adjustment on derivative asset”.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Opening balance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5,234</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FX Reverse Convertible instruments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33,000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FX option premium</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derivative assets (interest rate caps)</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(1,206)</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FX option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on derivative asset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(584)</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on FX Reverse Convertible instruments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36,128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5,234</w:t>
            </w:r>
          </w:p>
        </w:tc>
        <w:tc>
          <w:tcPr>
            <w:tcW w:w="0" w:type="dxa"/>
            <w:vAlign w:val="bottom"/>
          </w:tcPr>
          <w:p>
            <w:pPr>
              <w:spacing w:after="0"/>
              <w:rPr>
                <w:sz w:val="1"/>
                <w:szCs w:val="1"/>
                <w:color w:val="auto"/>
              </w:rPr>
            </w:pP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derivative assets (interest rate caps) and other financial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(36,128)</w:t>
            </w:r>
          </w:p>
        </w:tc>
        <w:tc>
          <w:tcPr>
            <w:tcW w:w="3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(5,234)</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derivative assets (interest rate caps) and other financial instruments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5480"/>
              <w:spacing w:after="0"/>
              <w:rPr>
                <w:sz w:val="20"/>
                <w:szCs w:val="20"/>
                <w:color w:val="auto"/>
              </w:rPr>
            </w:pPr>
            <w:r>
              <w:rPr>
                <w:rFonts w:ascii="Times New Roman" w:cs="Times New Roman" w:eastAsia="Times New Roman" w:hAnsi="Times New Roman"/>
                <w:sz w:val="14"/>
                <w:szCs w:val="14"/>
                <w:color w:val="auto"/>
              </w:rPr>
              <w:t>F-19</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1"/>
        </w:trPr>
        <w:tc>
          <w:tcPr>
            <w:tcW w:w="8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Assets and other financial instruments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amounts included in accumulated other comprehensive income will be reclassified to interest expense should the hedge no longer be considered effective. The Company assesses the effectiveness of the hedges on an ongoing basis. As of December 31, 2025, interest rate cap notional amount covers ~55% of the outstanding floating debt.</w:t>
      </w:r>
    </w:p>
    <w:p>
      <w:pPr>
        <w:spacing w:after="0" w:line="172"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 as of March 31, 2026, and December 31, 2025, consisted of the following:</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198"/>
        </w:trPr>
        <w:tc>
          <w:tcPr>
            <w:tcW w:w="86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Facilities</w:t>
            </w:r>
          </w:p>
        </w:tc>
        <w:tc>
          <w:tcPr>
            <w:tcW w:w="2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r>
      <w:tr>
        <w:trPr>
          <w:trHeight w:val="28"/>
        </w:trPr>
        <w:tc>
          <w:tcPr>
            <w:tcW w:w="4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Credit Facility (a)</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2024 Senior Secured Term Loan Facility (b)</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240,000</w:t>
            </w: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Secured Notes (c)</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166,250</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credit facilities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458,250</w:t>
            </w:r>
          </w:p>
        </w:tc>
        <w:tc>
          <w:tcPr>
            <w:tcW w:w="2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490,375</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 and Leaseback Agreements</w:t>
            </w: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Minsheng Sale and Leaseback Agreements - $178,000 (g)</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166,788</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CMBFL Sale and Leaseback Agreements - $120,000 (h)</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36,229</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37,546</w:t>
            </w:r>
          </w:p>
        </w:tc>
      </w:tr>
      <w:tr>
        <w:trPr>
          <w:trHeight w:val="223"/>
        </w:trPr>
        <w:tc>
          <w:tcPr>
            <w:tcW w:w="8680" w:type="dxa"/>
            <w:vAlign w:val="bottom"/>
            <w:tcBorders>
              <w:top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Sale and Leaseback Agreements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199,567</w:t>
            </w:r>
          </w:p>
        </w:tc>
        <w:tc>
          <w:tcPr>
            <w:tcW w:w="220" w:type="dxa"/>
            <w:vAlign w:val="bottom"/>
            <w:tcBorders>
              <w:top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204,334</w:t>
            </w:r>
          </w:p>
        </w:tc>
        <w:tc>
          <w:tcPr>
            <w:tcW w:w="100" w:type="dxa"/>
            <w:vAlign w:val="bottom"/>
            <w:tcBorders>
              <w:top w:val="single" w:sz="8" w:color="CCEEFF"/>
            </w:tcBorders>
          </w:tcPr>
          <w:p>
            <w:pPr>
              <w:spacing w:after="0"/>
              <w:rPr>
                <w:sz w:val="19"/>
                <w:szCs w:val="19"/>
                <w:color w:val="auto"/>
              </w:rPr>
            </w:pPr>
          </w:p>
        </w:tc>
      </w:tr>
      <w:tr>
        <w:trPr>
          <w:trHeight w:val="223"/>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657,817</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694,709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(128,500)</w:t>
            </w:r>
          </w:p>
        </w:tc>
        <w:tc>
          <w:tcPr>
            <w:tcW w:w="2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(128,500)</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Sale and Leaseback Agreements (g, h)</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(19,067)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(19,067)</w:t>
            </w: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Deferred financing costs (j)</w:t>
            </w: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(4,935)</w:t>
            </w: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(5,567)</w:t>
            </w:r>
          </w:p>
        </w:tc>
      </w:tr>
      <w:tr>
        <w:trPr>
          <w:trHeight w:val="257"/>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portion of Long-Term Debt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505,315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541,575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Facilities and Senior Secured Notes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82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$85,000 UBS Credit Facility</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2025, the Company, through certain of its vessel-owning subsidiaries, entered into a $85,000 credit facility with UBS AG (the “UBS Credit Facility”).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UBS Credit Facility is repayable in 12 equal consecutive quarterly instalments of $7,000, together with a final balloon payment of $1,000 payable together with the last repayment instalment due at maturity in the second quarter of 2028.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facility’s interest rate is SOFR plus a margin of 2.15% per annum payable quarterly in arrears.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net proceeds from the UBS Credit Facility to prepay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using cash on hand, the amount $5,900 of the E.SUN, MICB, Cathay, Taishin Credit Facility, as no drawdown of the UBS Credit Facility had taken place during the first quarter of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full amount under the UBS Credit Facility had been drawn and the outstanding balance was $64,000.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25"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$300,000 Senior Secured Term Loan Facility CACIB, ABN, Bank of America, First Citizens Bank, CTBC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7, 2024, the Company, through certain of its vessel-owning subsidiaries, entered into a $300,000 senior secured term loan facility (the “2024 Senior Secured Term Loan Facility”). As of December 31, 2024, the banks in this facility were: Credit Agricole Corporate and Investment Bank (“CACIB”), ABN AMRO Bank N.V. (“ABN”), Bank of America N.A. (“BofA”), First Citizens Bank &amp; Trust Company (“First Citizens”) and CTBC Bank Co. Ltd. (“CTBC”) to refinance, or prepay, in full or in part, certain of its then-outstanding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three tranches were drawn down in the third quarter of 2024. The term loan facility matures in the third quarter of 2030.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Senior Secured Term Loan Facility is repayable in 12 equal consecutive quarterly instalments of $12,000, four equal consecutive quarterly instalments of $10,000, four equal consecutive quarterly instalments of $8,000 and four equal consecutive quarterly instalments of $6,000 together with a final balloon payment of $60,000 on the term loan facility termination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facility’s interest rate is SOFR plus a margin of 1.85% per annum payable quarterly in arrears.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used the net proceeds from the 2024 Senior Secured Term Loan Facility to refinance or prepay, in full or in part, the following (a) existing debt facilities (i) Sinopac Credit Facility, (ii) Deutsche Bank Credit Facility, (iii) HCOB Credit Facility, (iv) CACIB, Bank Sinopac, CTBC Credit Facility,</w:t>
      </w:r>
    </w:p>
    <w:p>
      <w:pPr>
        <w:jc w:val="both"/>
        <w:ind w:firstLine="8"/>
        <w:spacing w:after="0" w:line="253" w:lineRule="auto"/>
        <w:tabs>
          <w:tab w:leader="none" w:pos="28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Chailease Credit Facility, (vi) Syndicated Senior Secured Credit Facility (CACIB, ABN, First-Citizens &amp; Trust Company, Siemens, CTBC, Bank Sinopac, Palatine), (vii) Macquarie loan and (viii) E.SUN, MICB, Cathay, Taishin Credit Facility and (b) existing sale and lease back agreements (i) $54,000 CMBFL Sale and Leaseback Agreement –and (ii) Neptune Sale and Leaseback Agreement. The refinancing transaction was accounted as a debt extinguishment.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aggregate principal amount outstanding under the 2024 Senior Secured Term Loan Facility was $228,000.</w:t>
      </w:r>
    </w:p>
    <w:p>
      <w:pPr>
        <w:spacing w:after="0" w:line="22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5.69% Senior Secured Notes due 2027</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16, 2022, Knausen Holding LLC (the "Issuer"), an indirect wholly-owned subsidiary of the Company, closed on the private placement of $350,000, led by Goldman Sachs &amp; Co. LLC., of publicly rated/investment grade 5.69% Senior Secured Notes due 2027 (the “2027 Secured Notes”) to a limited number of accredited investors. The fixed interest rate was determined on June 1, 2022, based on the interpolated interest rate of 2.84% plus a margin of 2.85%.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private placement for the repayment of certain of the Company’s then-outstanding indebtedness and for general corporate purposes.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2027 Secured Notes are senior obligations of the Issuer, were initially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first quarter of 2025, Tasman, Keta and Akiteta were sold. All three vessels were released as collateral under the 2027 Secured Notes. Further, Dimitris Y was contracted to be sold in May 2025, was released as collateral on July 28, 2025, and delivered to the buyers on October 13,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aggregate principal amount outstanding under the 2027 Secured Notes was $166,250.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right="8360" w:firstLine="8"/>
        <w:spacing w:after="0" w:line="500" w:lineRule="auto"/>
        <w:tabs>
          <w:tab w:leader="none" w:pos="661"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 Facilities repaid in 2025</w:t>
      </w:r>
    </w:p>
    <w:p>
      <w:pPr>
        <w:spacing w:after="0" w:line="2"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Macquarie 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2023, the Company, through certain of its vessel-owning subsidiaries, entered into a credit facility agreement with Macquarie Bank Limited (“Macquarie”) for an amount of $76,000 to finance part of the acquisition cost of four containerships, each with carrying capacity of, 8,544 TEU vessels for an aggregate purchase price of $123,300 (the “Macquarie Credit Facility”). The vessels were delivered during the second quarter of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four tranches were drawn down in the second quarter of 2023 and the credit facility had maturity in May 2026. The facility was repayable in two equal consecutive quarterly instalments of $5,000, six equal consecutive quarterly instalments of $6,000 and one quarterly instalments of $3,000 and two equal consecutive quarterly instalments of $1,000 with a final balloon payment of $25,000 payable three years after the first utilization date. This facility’s interest rate was SOFR plus a margin of 3.50% per annum payable quarterly in arrears.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10, 2024, the Company used a portion of the net proceeds from the 2024 Senior Secured Term Loan Facility to partially prepay the amount of $18,500 under this facility (prepayment was deducted from the final balloon payment).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used the net proceeds from the UBS Credit Facility (see Note 6a) and prepaid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with its own cash the amount $5,900 of E.SUN, MICB, Cathay, Taishin Credit Facility, as no drawdown of the UBS Credit Facility had taken place during the first quarter of 2025. Prepayment fee on full repayment of Macquarie Credit Facility was $175.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outstanding balance of this facility was $nil.</w:t>
      </w:r>
    </w:p>
    <w:p>
      <w:pPr>
        <w:spacing w:after="0" w:line="221"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$60,000 E.SUN, MICB, Cathay, Taishin Credit Facility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30, 2021, the Company, through certain of its vessel-owning subsidiaries, entered into a syndicated senior secured debt facility with E.SUN Commercial Bank Ltd (“E.SUN”), Cathay United Bank (“Cathay”), Mega International Commercial Bank Co. Ltd (“MICB”) and Taishin International Bank (“Taishin”) (the “E.SUN, MICB Cathay, Taishin Credit Facility”). The Company used a portion of the net proceeds from this credit facility to fully prepay certain of the Company’s then-outstanding indebtedness. All three tranches were drawn down in January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facility was repayable in eight equal consecutive quarterly instalments of $4,500 and ten equal consecutive quarterly instalments of $2,400.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facility’s interest was SOFR plus a margin of 2.75% per annum plus Credit Adjustment Spread (“CAS”) payable quarterly in arrears.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11, 2024, the Company used a portion of the net proceeds from the 2024 Senior Secured Term Loan Facility to partially prepay the amount of $8,500 under this facility. Following the prepayment, the outstanding balance of the facility was repayable in four equal consecutive quarterly instalments of $2,400 and one quarterly instalment of $1,100 and new maturity would have been in October 2025 from July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28, 2025, the Company fully prepaid the amount of $5,900 under this facility with its own cash, as no drawdown of the UBS Credit Facility had taken place during the first quarter of 2025 (see Note 6a).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outstanding balance of this facility was $nil.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b w:val="1"/>
          <w:bCs w:val="1"/>
          <w:color w:val="auto"/>
        </w:rPr>
        <w:t>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25"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$140,000 HCOB, CACIB, ESUN, CTBC, Taishin Credit Facility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6, 2021, the Company, through certain of its vessel-owning subsidiaries, entered into a facility with CACIB, Hamburg Commercial Bank AG (“HCOB”), ESUN, CTBC and Taishin for a total of $140,000 to finance the acquisition of the Twelve Vessels (the “HCOB, CACIB, ESUN, CTBC, Taishin Credit Facility”). The full amount was drawn down in July 2021 and the credit facility had a maturity in July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facility was repayable in six equal consecutive quarterly instalments of $8,000, eight equal consecutive quarterly instalments of $5,400 and six equal consecutive quarterly instalments of $2,200 with a final balloon payment of $35,600 payable together with the final instalment. On March 23, 2023, due to the sale of GSL Amstel, the Company repaid $2,838 on this facility of which $1,000 was deducted from the final balloon payment, and the vessel was released as collateral.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facility’s interest rate was SOFR plus a margin of 3.25% per annum plus CAS payable quarterly in arrears.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used the net proceeds from the UBS Credit Facility (see Note 6a) to prepay in full, the following existing debt facilities (i) Macquarie Credit Facility, (ii) E.SUN, MICB, Cathay, Taishin Credit Facility, and (iii) HCOB, CACIB, ESUN, CTBC, Taishin Credit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outstanding balance of this facility was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and leaseback agreements (finance leases)</w:t>
      </w:r>
    </w:p>
    <w:p>
      <w:pPr>
        <w:spacing w:after="0" w:line="225"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$178,000 Sale and Leaseback Agreements – Minsheng Financial Leasing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23, 2024, the Company, through certain of its subsidiaries, entered into two sale and leaseback agreements with Minsheng Financial Leasing (“Minsheng Sale and Leaseback Agreements”) for $44,500, each, to finance the acquisition of two of the newly acquired high-reefer ECO 9,019 TEU vessels, Bremerhaven Express, having closed in December 2024 and the other, Czech, in January 2025. As of December 31, 2024, the Company had drawn down a total of $44,500 to finance the acquisition of Bremerhaven Express. During the first quarter of 2025, the Company entered into two additional sale and leaseback agreements, $44,500 each, to finance the acquisition of the two high-reefer ECO 9,019 TEU Vessels which were delivered in December 2024, Istanbul Express and Sydney Express, both then fully paid in cash. As at March 31, 2025, the Company had drawn down a total of $178,000. The Company has a purchase obligation to acquire the vessels at the end of their lease term and under ASC 842-40, the transaction has been accounted for as a failed sale. In accordance with ASC 842-40, the Company did not derecognize the respective vessels from its balance sheet and accounted for the amounts received under the sale and leaseback agreements as financial liability.</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and leaseback agreements are repayable in 40 equal consecutive quarterly instalments of $862.5 with a repurchase obligation of $10,000 on the final repayment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sale and leaseback agreement for Bremerhaven Express matures in December 2034, Istanbul Express, Sydney Express and Czech mature in January 2035, and bear interest at SOFR plus a margin of 2.5% per annum payable quarterly in arrears.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outstanding balance of these sale and leaseback agreements was $163,338.</w:t>
      </w:r>
    </w:p>
    <w:p>
      <w:pPr>
        <w:spacing w:after="0" w:line="221" w:lineRule="exact"/>
        <w:rPr>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$120,000 Sale and Leaseback Agreements – CMBFL Four Vessels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2021, the Company, through certain of its subsidiaries, entered into four $30,000 sale and leaseback agreements with CMB Financial Leasing Co. Ltd. (“CMBFL”) to finance the acquisition of the Four Vessels (the “CMBFL Sale and Leaseback Agreements”). As at September 30, 2021, the Company had drawn 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sale and leaseback agreement is repayable in 12 equal consecutive quarterly instalments of $1,587.5 and 12 equal consecutive quarterly instalments of $329.2 with a repurchase obligation of $7,000 on the final repayment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652"/>
        <w:spacing w:after="0"/>
        <w:tabs>
          <w:tab w:leader="none" w:pos="6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$120,000 Sale and Leaseback Agreements – CMBFL Four Vessels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and leaseback agreements for the three vessels mature in September 2027 and for the fourth vessel in October 2027 and bore interest at SOFR plus a margin of 3.25% per annum plus CAS payable quarterly in arrears. From November 20, 2024, as per supplemental agreement, the sale and leaseback agreements bear interest at SOFR plus a margin of 2.75% per annum.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2026, the outstanding balance of these sale and leaseback agreements was $36,229.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w:t>
            </w:r>
          </w:p>
        </w:tc>
        <w:tc>
          <w:tcPr>
            <w:tcW w:w="8380" w:type="dxa"/>
            <w:vAlign w:val="bottom"/>
          </w:tcPr>
          <w:p>
            <w:pPr>
              <w:jc w:val="center"/>
              <w:ind w:right="5950"/>
              <w:spacing w:after="0"/>
              <w:rPr>
                <w:sz w:val="20"/>
                <w:szCs w:val="20"/>
                <w:color w:val="auto"/>
              </w:rPr>
            </w:pPr>
            <w:r>
              <w:rPr>
                <w:rFonts w:ascii="Times New Roman" w:cs="Times New Roman" w:eastAsia="Times New Roman" w:hAnsi="Times New Roman"/>
                <w:sz w:val="18"/>
                <w:szCs w:val="18"/>
                <w:b w:val="1"/>
                <w:bCs w:val="1"/>
                <w:color w:val="auto"/>
              </w:rPr>
              <w:t>Repayment Schedule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long-term debt for the years subsequent to March 31, 2026, are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Payment due by period ended</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57,800</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2030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2031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85,800</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2032 and thereafter</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94,337</w:t>
            </w:r>
          </w:p>
        </w:tc>
        <w:tc>
          <w:tcPr>
            <w:tcW w:w="0" w:type="dxa"/>
            <w:vAlign w:val="bottom"/>
          </w:tcPr>
          <w:p>
            <w:pPr>
              <w:spacing w:after="0"/>
              <w:rPr>
                <w:sz w:val="1"/>
                <w:szCs w:val="1"/>
                <w:color w:val="auto"/>
              </w:rPr>
            </w:pPr>
          </w:p>
        </w:tc>
      </w:tr>
      <w:tr>
        <w:trPr>
          <w:trHeight w:val="257"/>
        </w:trPr>
        <w:tc>
          <w:tcPr>
            <w:tcW w:w="300" w:type="dxa"/>
            <w:vAlign w:val="bottom"/>
            <w:tcBorders>
              <w:bottom w:val="single" w:sz="8" w:color="CCEEFF"/>
            </w:tcBorders>
            <w:shd w:val="clear" w:color="auto" w:fill="CCEEFF"/>
          </w:tcPr>
          <w:p>
            <w:pPr>
              <w:spacing w:after="0"/>
              <w:rPr>
                <w:sz w:val="22"/>
                <w:szCs w:val="22"/>
                <w:color w:val="auto"/>
              </w:rPr>
            </w:pPr>
          </w:p>
        </w:tc>
        <w:tc>
          <w:tcPr>
            <w:tcW w:w="83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657,817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w:t>
            </w:r>
          </w:p>
        </w:tc>
        <w:tc>
          <w:tcPr>
            <w:tcW w:w="8380" w:type="dxa"/>
            <w:vAlign w:val="bottom"/>
          </w:tcPr>
          <w:p>
            <w:pPr>
              <w:jc w:val="center"/>
              <w:ind w:right="5970"/>
              <w:spacing w:after="0"/>
              <w:rPr>
                <w:sz w:val="20"/>
                <w:szCs w:val="20"/>
                <w:color w:val="auto"/>
              </w:rPr>
            </w:pPr>
            <w:r>
              <w:rPr>
                <w:rFonts w:ascii="Times New Roman" w:cs="Times New Roman" w:eastAsia="Times New Roman" w:hAnsi="Times New Roman"/>
                <w:sz w:val="18"/>
                <w:szCs w:val="18"/>
                <w:b w:val="1"/>
                <w:bCs w:val="1"/>
                <w:color w:val="auto"/>
                <w:w w:val="99"/>
              </w:rPr>
              <w:t>Deferred Financing Costs</w:t>
            </w:r>
          </w:p>
        </w:tc>
        <w:tc>
          <w:tcPr>
            <w:tcW w:w="220" w:type="dxa"/>
            <w:vAlign w:val="bottom"/>
          </w:tcPr>
          <w:p>
            <w:pPr>
              <w:spacing w:after="0"/>
              <w:rPr>
                <w:sz w:val="24"/>
                <w:szCs w:val="24"/>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30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00" w:type="dxa"/>
            <w:vAlign w:val="bottom"/>
          </w:tcPr>
          <w:p>
            <w:pPr>
              <w:spacing w:after="0"/>
              <w:rPr>
                <w:sz w:val="21"/>
                <w:szCs w:val="21"/>
                <w:color w:val="auto"/>
              </w:rPr>
            </w:pPr>
          </w:p>
        </w:tc>
        <w:tc>
          <w:tcPr>
            <w:tcW w:w="8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Expenditure in the period</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included within interest expense</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balance</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4,935</w:t>
            </w: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period ended March 31, 2026, no costs were incurred in connection to the credit facilities and sale and lease back agreements.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2025, total costs amounting to $1,335 were incurred in connection with the Minsheng Sale and Leaseback Agreements (see Note 6g) and $850 in connection with the UBS Credit Facility (see Note 6a).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periods ended March 31, 2026, and 2025, the Company recognized a total of $632 and $915, respectively, in respect of amortization of deferred financing costs.</w:t>
      </w:r>
    </w:p>
    <w:p>
      <w:pPr>
        <w:spacing w:after="0" w:line="158" w:lineRule="exact"/>
        <w:rPr>
          <w:sz w:val="20"/>
          <w:szCs w:val="20"/>
          <w:color w:val="auto"/>
        </w:rPr>
      </w:pPr>
    </w:p>
    <w:p>
      <w:pPr>
        <w:ind w:left="580" w:hanging="572"/>
        <w:spacing w:after="0"/>
        <w:tabs>
          <w:tab w:leader="none" w:pos="5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 covenants-securities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and December 31, 2025, the Company was in compliance with its debt covenants.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right="8480" w:firstLine="8"/>
        <w:spacing w:after="0" w:line="532" w:lineRule="auto"/>
        <w:tabs>
          <w:tab w:leader="none" w:pos="661"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Related Party Transactions </w:t>
      </w:r>
      <w:r>
        <w:rPr>
          <w:rFonts w:ascii="Times New Roman" w:cs="Times New Roman" w:eastAsia="Times New Roman" w:hAnsi="Times New Roman"/>
          <w:sz w:val="17"/>
          <w:szCs w:val="17"/>
          <w:b w:val="1"/>
          <w:bCs w:val="1"/>
          <w:u w:val="single" w:color="auto"/>
          <w:color w:val="auto"/>
        </w:rPr>
        <w:t>Ship Management Agreements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Technomar Shipping Inc. (“Technomar”) is presented as a related party, as the Company’s Executive Chairman is a significant shareholder. The Company has currently a number of ship management agreements with Technomar under which the ship manager is responsible for all day-to-day ship management, including crewing, purchasing stores, lubricating oils and spare parts, paying wages, pensions and insurance for the crew, and organizing other ship operating necessities, including monitoring and reporting with respect to European Union Emission Trading System (“EU ETS”) compliance, EU Allowances (“EUAs”), Fuel EU Maritime (“FEUM”) compliance, and the arrangement and management of dry-docking.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management fees charged to the Company by Technomar for the three months ended March 31, 2026, amounted to $6,532 (three months ended March 31, 2025 - $5,608) and are shown under “Vessel operating expenses” in the interim unaudited condensed Consolidated Statements of Income. Additionally, as of March 31, 2026, outstanding receivables due from Technomar totaling $1,231 are presented under “Due from related parties” (December 31, 2025 - $148).</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Conchart Commercial Inc. (“Conchart”) provides commercial management services to the Company pursuant to commercial management agreements. The Company’s Executive Chairman is the sole beneficial owner of Conchart. Under the management agreements, Conchart is responsible for (i) marketing of the Company’s vessels, (ii) seeking and negotiating employment of the Company’s vessels, (iii) advise the Company on market developments and developments of new rules and regulations, (iv) assisting in calculation of hires, freights, demurrage and/or dispatch monies and collection any sums related to the operation of vessels, (v) communicating with agents, and (vi) negotiating sale and purchase transactions.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fees charged to the Company by Conchart for the three months ended March 31, 2026, amounted to $2,208 (three months ended March 31, 2025: $1,932) and are disclosed within “Time charter and voyage expenses-related parties” in the interim unaudited condensed Consolidated Statements of Income. Any outstanding fees due to Conchart are presented in the interim unaudited condensed Consolidated Balance Sheets under "Due to related parties" totaling to $1,154 and $692 as of March 31, 2026, and December 31, 2025,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as per commercial management agreements, has agreed to pay the commercial manager providing for the sale of all vessels and purchase of some vessels, a commission of 1.00% based on the sale or purchase price for any sale or purchase of a vessel, which shall be payable upon request of the commercial manager. The amount of $9,776 as of March 31, 2026 ($9,476 as of December 31, 2025), reflects commission payable to the commercial manager based on the purchase price of already acquired vessels that has been deferred and will be paid upon request of the commercial manager, is presented in the interim unaudited condensed Consolidated Balance Sheets under "Accrued Liabilities".</w:t>
      </w:r>
    </w:p>
    <w:p>
      <w:pPr>
        <w:spacing w:after="0" w:line="179" w:lineRule="exact"/>
        <w:rPr>
          <w:sz w:val="20"/>
          <w:szCs w:val="20"/>
          <w:color w:val="auto"/>
        </w:rPr>
      </w:pPr>
    </w:p>
    <w:p>
      <w:pPr>
        <w:ind w:right="8020" w:firstLine="8"/>
        <w:spacing w:after="0" w:line="503" w:lineRule="auto"/>
        <w:tabs>
          <w:tab w:leader="none" w:pos="661"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Charter Hire Receivable</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entered into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71 vessels as at March 31, 2026 is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 ending</w:t>
            </w:r>
          </w:p>
        </w:tc>
        <w:tc>
          <w:tcPr>
            <w:tcW w:w="5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2027</w:t>
            </w:r>
          </w:p>
        </w:tc>
        <w:tc>
          <w:tcPr>
            <w:tcW w:w="5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758,035</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March 31, 2028</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613,153</w:t>
            </w:r>
          </w:p>
        </w:tc>
        <w:tc>
          <w:tcPr>
            <w:tcW w:w="10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2029</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320,480</w:t>
            </w:r>
          </w:p>
        </w:tc>
        <w:tc>
          <w:tcPr>
            <w:tcW w:w="10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March 31, 2030</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140,092</w:t>
            </w:r>
          </w:p>
        </w:tc>
        <w:tc>
          <w:tcPr>
            <w:tcW w:w="100" w:type="dxa"/>
            <w:vAlign w:val="bottom"/>
          </w:tcPr>
          <w:p>
            <w:pPr>
              <w:spacing w:after="0"/>
              <w:rPr>
                <w:sz w:val="18"/>
                <w:szCs w:val="18"/>
                <w:color w:val="auto"/>
              </w:rPr>
            </w:pPr>
          </w:p>
        </w:tc>
      </w:tr>
      <w:tr>
        <w:trPr>
          <w:trHeight w:val="223"/>
        </w:trPr>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2031 and thereafter</w:t>
            </w:r>
          </w:p>
        </w:tc>
        <w:tc>
          <w:tcPr>
            <w:tcW w:w="50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minimum lease revenue, net of address commissions</w:t>
            </w:r>
          </w:p>
        </w:tc>
        <w:tc>
          <w:tcPr>
            <w:tcW w:w="50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1,925,610</w:t>
            </w:r>
          </w:p>
        </w:tc>
        <w:tc>
          <w:tcPr>
            <w:tcW w:w="100" w:type="dxa"/>
            <w:vAlign w:val="bottom"/>
          </w:tcPr>
          <w:p>
            <w:pPr>
              <w:spacing w:after="0"/>
              <w:rPr>
                <w:sz w:val="18"/>
                <w:szCs w:val="18"/>
                <w:color w:val="auto"/>
              </w:rPr>
            </w:pPr>
          </w:p>
        </w:tc>
      </w:tr>
      <w:tr>
        <w:trPr>
          <w:trHeight w:val="20"/>
        </w:trPr>
        <w:tc>
          <w:tcPr>
            <w:tcW w:w="49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0"/>
        </w:trPr>
        <w:tc>
          <w:tcPr>
            <w:tcW w:w="4960" w:type="dxa"/>
            <w:vAlign w:val="bottom"/>
          </w:tcPr>
          <w:p>
            <w:pPr>
              <w:spacing w:after="0"/>
              <w:rPr>
                <w:sz w:val="24"/>
                <w:szCs w:val="24"/>
                <w:color w:val="auto"/>
              </w:rPr>
            </w:pPr>
          </w:p>
        </w:tc>
        <w:tc>
          <w:tcPr>
            <w:tcW w:w="5300" w:type="dxa"/>
            <w:vAlign w:val="bottom"/>
            <w:gridSpan w:val="2"/>
          </w:tcPr>
          <w:p>
            <w:pPr>
              <w:jc w:val="right"/>
              <w:ind w:right="4410"/>
              <w:spacing w:after="0"/>
              <w:rPr>
                <w:sz w:val="20"/>
                <w:szCs w:val="20"/>
                <w:color w:val="auto"/>
              </w:rPr>
            </w:pPr>
            <w:r>
              <w:rPr>
                <w:rFonts w:ascii="Times New Roman" w:cs="Times New Roman" w:eastAsia="Times New Roman" w:hAnsi="Times New Roman"/>
                <w:sz w:val="14"/>
                <w:szCs w:val="14"/>
                <w:color w:val="auto"/>
              </w:rPr>
              <w:t>F-25</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9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Company had one class of common shares outstanding: the Class A common shares.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Omnibus Incentive Plan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February 4, 2019, the Company adopted the 2019 Omnibus Incentive Plan, which was thereafter amended and restated on September 29, 2021 and September 25, 2025 (the “Equity Incentive Plan”), pursuant to which directors, officers and employees, among others, of the Company and its subsidiaries are eligible to receive awards in the form of non-qualified stock options, stock appreciation rights, restricted stock, restricted stock units, dividend equivalents, cash awards, unrestricted stock and other equity-based or equity-related awards (see note 17). In April 2020, 184,270 shares were issued under grants made pursuant to the Equity Incentive Plan. In 2025, 2024, 2023, 2022 and 2021, 466,258, 483,713, 440,698, 586,819 and 747,604 Class A common shares were issued under the Equity Incentive Plan,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Repurchase Program</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2023, the Board of Directors authorized the repurchase of up to $40,000 of the Company’s Class A common shares.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the Company did not repurchase any Class A common shares. During 2025, the Company did not repurchase any Class A common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2024 and 2023, the Company repurchased 251,772 and 1,242,663 Class A common shares, respectively, reducing the issued and outstanding shares.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at March 31, 2026, the Company had 35,918,244 Class A common shares outstanding.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10, 2024, the Company announced a dividend of $0.375 per Class A common share from the earnings of the first quarter of 2024 paid on June 3, 2024, to common shareholders of record as of May 24, 2024, amounting to $13,255. On August 5, and November 11, 2024, the Company announced a dividend of $0.45 per Class A common share from the earnings of the second and third quarter of 2024, respectively, each paid on September 4, 2024, and December 4, 2024, to common shareholders of record as of August 23, and November 22, 2024, respectively, each amounting to $15,965 and $16,004.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12, 2025, the Company announced a dividend of $0.45 per Class A common share from the earnings of the fourth quarter of 2024, paid on March 6, 2025, to Class A common shareholders of record as of February 24, 2025, amounting to $16,043.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12, 2025, the Company announced a dividend of $0.525 per Class A common share from the earnings of the first quarter of 2025, paid on June 3, 2025, to Class A common shareholders of record as of May 23, 2025, amounting to $18,763.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August 5, 2025, the Company announced a dividend of $0.525 per Class A common share from the earnings of the second quarter of 2025, paid on September 4, 2025, to Class A common shareholders of record as of August 22, 2025, amounting to $18,809.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10, 2025, the Company announced an increase of $0.10 per Class A common share in the quarterly supplemental dividend for a total quarterly dividend of $0.625 per Class A common share, commencing with the dividend payable in December 2025. The dividend announced paid on December 4, 2025 to Class A common shareholders of record as of November 21, 2025, amounted to $22,446.</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10, 2026, the Company announced a dividend of $0.625 per Class A common share from the earnings of the fourth quarter of 2025 paid on March 6, 2026, to common shareholders of record as of February 24, 2026, amounting to $22,484.</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ATM Program</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2024, the Company entered into an equity distribution agreement with Evercore Group L.L.C. under which the Company could offer and sell its Class A common shares having an aggregate offering price of up to $100,000 (the “Prior Common Share ATM Program”). As of December 31, 2024, the Company issued 27,106 Class A common shares under the Prior Common Share ATM Program at an average price of $27.02.</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23, 2025, the Company renewed its “at the market” offering program for its Class A common shares, and in connection therewith, entered into an equity distribution agreement with Evercore Group L.L.C. and Jefferies LLC, pursuant to which the Company may, from time to time, offer and sell up to $100,000 of its Class A common shares, par value $0.01 per share, in aggregate (the “Common Share ATM Program”). The Common Share ATM Program renewed and replaced the Prior Common Share ATM Program, on similar terms, which expired on September 16, 2025. At the time of such expiration, remaining capacity under the Prior Common Share ATM Program was approximately $99,277 (out of the original $100,000).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shares are classified as Equity in the interim unaudited condensed Consolidated Balance Sheets. The dividends payable on the Series B Preferred Shares are presented as a reduction of Retained Earnings in the interim unaudited condensed Consolidated Statements of Changes in Shareholders’ Equity, when and if declared by the Board of Directors. An initial dividend was declared on September 22, 2014, for the third quarter 2014. Dividends have been declared for all subsequent quarters.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23, 2025, the Company renewed its “at the market” offering program for its Depositary Shares, and in connection therewith, entered into an At Market Issuance Sales Agreement with B. Riley Securities, Inc. and Evercore Group L.L.C., pursuant to which the Company may, from time to time, offer and sell up to $150,000 of its Depositary Shares, in aggregate (the “Preferred Share ATM Program”). The Preferred Share ATM Program renews and replaces the Company’s prior “at the market” offering program that was in place with B. Riley Securities, Inc., on similar terms, which expired on September 16, 2025 (the “Prior Preferred Share ATM Program”). No sales were made under the Prior Preferred Share ATM Program, and no sales have been made under the Preferred Share ATM Program.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there were 4,359,190 Depositary Shares outstanding, representing an interest in 43,592 Series B Preferred Shares.</w:t>
      </w:r>
    </w:p>
    <w:p>
      <w:pPr>
        <w:spacing w:after="0" w:line="221"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4, 2019, the Board of Directors adopted the Equity Incentive Plan.</w:t>
      </w:r>
    </w:p>
    <w:p>
      <w:pPr>
        <w:spacing w:after="0" w:line="22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The purpose of the Equity Incentive Plan is to provide directors, officers and employees, whose initiative and efforts are deemed to be important to the successful conduct of our business, with incentives to (a) enter into and remain in the service of the Company or its subsidiaries and affiliates, (b) acquire a proprietary interest in the success of the Company, (c) maximize their performance and (d) enhance the long-term performance of the Company. The Equity Incentive Plan is administered by the Compensation Committee of the Board of Directors, or such other committee of the Board of Directors as may be designated by them. Unless terminated earlier by the Board of Directors, the Equity Incentive Plan expires 10 years from the date on which it was adopted.</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(continued)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29, 2021, the Board of Directors approved an increase in the aggregate number of Class A common shares available for issuance as awards under the Equity Incentive Plan by 1,600,000 to 3,412,500, and approved an increase to the maximum number of Class A common shares that each non-executive director may be granted in any one year to 25,000. In addition, with effect from October 1, 2021, the Board of Directors approved awards under the Equity Incentive Plan of (a) up to an aggregate of 1,500,000 Class A common shares to members of senior management, and (b) up to an aggregate of 105,000 Class A common shares to the Company’s non-executive directors (representing an award of up to 15,000 Class A common shares to each such director) (collectively, the “Initial 2021 Incentive Awards”). The Initial 2021 Incentive Awards were subject to the satisfaction of certain service-based and performance-based vesting criteria.</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Board of Directors approved an award of 13,780 Class A common shares to a non-executive director who was appointed subsequent to the Initial 2021 Incentive Awards, to vest in a similar manner to the Initial 2021 Incentive Awards, adjusted for the date of appointment of the director. During the year ended December 31, 2024, the Board of Directors approved an award to a non-executive director who was appointed subsequent to the Initial 2021 Incentive Awards, amounting to 4,884 Class A common shares which vested and were issued immediately, and 8,311 Class A common shares, which were scheduled to vest in a similar manner to the Initial 2021 Incentive Awards, adjusted for the date of appointment of the director. These awards together with the Initial 2021 Incentive Awards are collectively referred to as the “2021 Incentive Awards.”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2024, as a result of the transition of the Company’s Chief Executive Officer (“CEO”), the Board of Directors approved new awards of (i) 6,465 Class A common shares to a newly appointed non-executive director and (ii) 51,750 Class A common shares, to the newly appointed CEO, in each case, scheduled to vest in a similar manner to the 2021 Incentive Awards, adjusted for the dates of appointment. Further, 155,250 unvested Class A common shares were forfeited during the first quarter of 2024, due to retirement of the former CEO.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2025, 2024, 2023, 2022 and 2021, 261,461, 535,912, 399,727, 218,366 and 55,175 Class A common shares vested, respectively, pursuant to the 2021 Incentive Awards. An aggregate of 1,470,641 Class A common shares under the 2021 Incentive Awards vested and were issued by December 31, 2025. Of the total Class A common shares which vested under the 2021 Incentive Awards up to December 31, 2025, and December 31, 2024, nil and 204,797, respectively, had not been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September 25, 2025, the Board of Directors approved up to 2,430,000 shares of Class A common shares available for issuance as awards under the Equity Incentive Plan. Effective October 1, 2025, the Board of Directors approved new awards of Class A common shares, with each such award having a term of 3.25 years (ending December 31, 2028) (the “Term”) (such awards, the “2025 Incentive Awards”).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2025 Incentive Awards are divided into three tranches: (i) a service tranche, which vests quarterly, pro rata, during the Term, conditioned only on the recipient’s continued service (“Service Tranche”), (ii) a performance tranche, which is earned upon the Company’s achievement of a specified annualized return on equity that is measured on each of December 31 of 2026, 2027 and 2028, after which, such shares are notionally divided into a number of quarterly installments within the Term and are eligible to vest on this basis (“Performance Tranche”), and (iii) a moonshot tranche, which is measured and will vest at the end of the Term based on the achievement of a specified return on equity over the full Term (“Moonshot Tranche”). The Performance Tranche payout thresholds are (a) below 13% return on equity: no payout, (b) 13%-15% return on equity: 50% payout, (c) 15% return on equity: 100% payout (target), and (d) Moonshot 30% return on equity: 100% payout.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the 2025 Incentive Awards, (a) members of senior management were awarded an aggregate of up to 2,195,250 Class A common shares (comprising a Service Tranche of 731,750 shares, a Performance Tranche of 731,750 shares, and a Moonshot Tranche of 731,750 shares), (b) each non-executive director of the Company was awarded up to 22,500 shares (comprising a Service Tranche of 7,500 shares, a Performance Tranche of 7,500 shares, and a Moonshot Tranche of 7,500 shares), and (c) other new awards were made in an aggregate amount of up to 54,750 Class A common shares (comprising a Service Tranche of 18,250 shares, a Performance Tranche of 18,250 shares, and a Moonshot Tranche of 18,250 shares).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at March 31, 2026 and as at December 31, 2025, a total of 60,903 and 60,903, respectively, Class A common shares vested under the 2025 Incentive Awards and 4,616 and nil shares, respectively, had been issued.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Stock-Based Compensation (continued)</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awards since January 1, 2025, are summarized as follows:</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4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Stock-Based Awards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4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Actual Fair</w:t>
            </w:r>
          </w:p>
        </w:tc>
        <w:tc>
          <w:tcPr>
            <w:tcW w:w="10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1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Number</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Fair Value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Value on</w:t>
            </w:r>
          </w:p>
        </w:tc>
      </w:tr>
      <w:tr>
        <w:trPr>
          <w:trHeight w:val="241"/>
        </w:trPr>
        <w:tc>
          <w:tcPr>
            <w:tcW w:w="46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on Grant Date</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Vesting Date</w:t>
            </w:r>
          </w:p>
        </w:tc>
      </w:tr>
      <w:tr>
        <w:trPr>
          <w:trHeight w:val="223"/>
        </w:trPr>
        <w:tc>
          <w:tcPr>
            <w:tcW w:w="7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as at January 1, 2025</w:t>
            </w:r>
          </w:p>
        </w:tc>
        <w:tc>
          <w:tcPr>
            <w:tcW w:w="1180" w:type="dxa"/>
            <w:vAlign w:val="bottom"/>
            <w:tcBorders>
              <w:top w:val="single" w:sz="8" w:color="auto"/>
              <w:bottom w:val="single" w:sz="8" w:color="auto"/>
              <w:right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261,461</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w w:val="93"/>
              </w:rPr>
              <w:t>21.92</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 in September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2,375,250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25.55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in year ended December 31, 2025</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as at December 31,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2,314,347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25.55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16"/>
        </w:trPr>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in period ended March 31, 2026</w:t>
            </w:r>
          </w:p>
        </w:tc>
        <w:tc>
          <w:tcPr>
            <w:tcW w:w="11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37.23</w:t>
            </w:r>
          </w:p>
        </w:tc>
      </w:tr>
      <w:tr>
        <w:trPr>
          <w:trHeight w:val="27"/>
        </w:trPr>
        <w:tc>
          <w:tcPr>
            <w:tcW w:w="460" w:type="dxa"/>
            <w:vAlign w:val="bottom"/>
            <w:shd w:val="clear" w:color="auto" w:fill="CCEEFF"/>
          </w:tcPr>
          <w:p>
            <w:pPr>
              <w:spacing w:after="0"/>
              <w:rPr>
                <w:sz w:val="2"/>
                <w:szCs w:val="2"/>
                <w:color w:val="auto"/>
              </w:rPr>
            </w:pPr>
          </w:p>
        </w:tc>
        <w:tc>
          <w:tcPr>
            <w:tcW w:w="6700" w:type="dxa"/>
            <w:vAlign w:val="bottom"/>
            <w:shd w:val="clear" w:color="auto" w:fill="CCEEFF"/>
          </w:tcPr>
          <w:p>
            <w:pPr>
              <w:spacing w:after="0"/>
              <w:rPr>
                <w:sz w:val="2"/>
                <w:szCs w:val="2"/>
                <w:color w:val="auto"/>
              </w:rPr>
            </w:pPr>
          </w:p>
        </w:tc>
        <w:tc>
          <w:tcPr>
            <w:tcW w:w="1180" w:type="dxa"/>
            <w:vAlign w:val="bottom"/>
            <w:tcBorders>
              <w:righ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Unvested as at March 31,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2,253,444</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25.55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n/a</w:t>
            </w:r>
          </w:p>
        </w:tc>
      </w:tr>
      <w:tr>
        <w:trPr>
          <w:trHeight w:val="20"/>
        </w:trPr>
        <w:tc>
          <w:tcPr>
            <w:tcW w:w="4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Using the graded vesting method of expensing the incentive stock awards, the weighted average fair value of the stock awards is recognized as compensation costs in the interim unaudited condensed Consolidated Statements of Income over the vesting period. The fair value of the incentive stock awards for time-vesting and performance-based awards is calculated by multiplying the number of stock awards by the fair value of the shares at the closing market price of a share of our common stock on the date of the grant, modified as appropriate to take into account the features of such grants. The Company has not factored any anticipated forfeiture into these calculations based on the limited number of participants.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performance-based compensation expenses are calculated based on the valuation at the grant date and recognized based on the probability of achieving those targets. The Company assesses the probability of the performance targets being achieved at each balance sheet date, and expenses are recognized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2026, and 2025, the Company recognized a total of $5,919 and $2,122, in respect of stock-based compensation.</w:t>
      </w:r>
    </w:p>
    <w:p>
      <w:pPr>
        <w:spacing w:after="0" w:line="221"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Earnings are only allocated to participating securities in a period of net income if, based on the contractual terms, the relevant common shareholders have an obligation to participate in such earnings. As a result, earnings are only allocated to the Class A common shareholders.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Unaudited Condensed Consolidated Financial Statements (continued)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thousands of U.S. dollars except share data)</w:t>
      </w:r>
    </w:p>
    <w:p>
      <w:pPr>
        <w:spacing w:after="0" w:line="22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 (continued)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45"/>
        </w:trPr>
        <w:tc>
          <w:tcPr>
            <w:tcW w:w="620" w:type="dxa"/>
            <w:vAlign w:val="bottom"/>
          </w:tcPr>
          <w:p>
            <w:pPr>
              <w:spacing w:after="0"/>
              <w:rPr>
                <w:sz w:val="21"/>
                <w:szCs w:val="21"/>
                <w:color w:val="auto"/>
              </w:rPr>
            </w:pPr>
          </w:p>
        </w:tc>
        <w:tc>
          <w:tcPr>
            <w:tcW w:w="80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6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Numerator:</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91,445</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121,010</w:t>
            </w:r>
          </w:p>
        </w:tc>
      </w:tr>
      <w:tr>
        <w:trPr>
          <w:trHeight w:val="216"/>
        </w:trPr>
        <w:tc>
          <w:tcPr>
            <w:tcW w:w="8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Denominator:</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A Common shares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number of common shares outstanding</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35,974,531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35,584,556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Plus weighted average number of RSUs with service conditions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627,031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174,297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 and common share equivalents, dilutive</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36,601,562</w:t>
            </w:r>
          </w:p>
        </w:tc>
        <w:tc>
          <w:tcPr>
            <w:tcW w:w="2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35,758,853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Class A</w:t>
            </w:r>
          </w:p>
        </w:tc>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86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w:t>
            </w:r>
          </w:p>
        </w:tc>
        <w:tc>
          <w:tcPr>
            <w:tcW w:w="8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8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Subsequent events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11, 2026, the Company announced a dividend of $0.625 per Class A common share from the earnings of the first quarter of 2026 to be paid on June 3, 2026, to common shareholders of record as of May 22,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2026, and May 2026, the Company entered into agreements for the forward sales of three ships, Manet, Kumasi and Ian H, for an aggregate sale price of $52,000. The ships are scheduled to be delivered to buyers upon expiry of their respective charters.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decimal"/>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bullet"/>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2"/>
    </w:lvl>
  </w:abstractNum>
  <w:abstractNum w:abstractNumId="6">
    <w:nsid w:val="2463B9EA"/>
    <w:multiLevelType w:val="hybridMultilevel"/>
    <w:lvl w:ilvl="0">
      <w:lvlJc w:val="left"/>
      <w:lvlText w:val="(%1)"/>
      <w:numFmt w:val="decimal"/>
      <w:start w:val="18"/>
    </w:lvl>
  </w:abstractNum>
  <w:abstractNum w:abstractNumId="7">
    <w:nsid w:val="5E884ADC"/>
    <w:multiLevelType w:val="hybridMultilevel"/>
    <w:lvl w:ilvl="0">
      <w:lvlJc w:val="left"/>
      <w:lvlText w:val="(%1)"/>
      <w:numFmt w:val="decimal"/>
      <w:start w:val="2"/>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2"/>
    </w:lvl>
  </w:abstractNum>
  <w:abstractNum w:abstractNumId="14">
    <w:nsid w:val="6A2342EC"/>
    <w:multiLevelType w:val="hybridMultilevel"/>
    <w:lvl w:ilvl="0">
      <w:lvlJc w:val="left"/>
      <w:lvlText w:val="(%1)"/>
      <w:numFmt w:val="lowerLetter"/>
      <w:start w:val="1"/>
    </w:lvl>
  </w:abstractNum>
  <w:abstractNum w:abstractNumId="15">
    <w:nsid w:val="2A487CB0"/>
    <w:multiLevelType w:val="hybridMultilevel"/>
    <w:lvl w:ilvl="0">
      <w:lvlJc w:val="left"/>
      <w:lvlText w:val="%1."/>
      <w:numFmt w:val="decimal"/>
      <w:start w:val="2"/>
    </w:lvl>
  </w:abstractNum>
  <w:abstractNum w:abstractNumId="16">
    <w:nsid w:val="1D4ED43B"/>
    <w:multiLevelType w:val="hybridMultilevel"/>
    <w:lvl w:ilvl="0">
      <w:lvlJc w:val="left"/>
      <w:lvlText w:val="(%1)"/>
      <w:numFmt w:val="lowerLetter"/>
      <w:start w:val="2"/>
    </w:lvl>
  </w:abstractNum>
  <w:abstractNum w:abstractNumId="17">
    <w:nsid w:val="725A06FB"/>
    <w:multiLevelType w:val="hybridMultilevel"/>
    <w:lvl w:ilvl="0">
      <w:lvlJc w:val="left"/>
      <w:lvlText w:val="(%1)"/>
      <w:numFmt w:val="lowerLetter"/>
      <w:start w:val="3"/>
    </w:lvl>
  </w:abstractNum>
  <w:abstractNum w:abstractNumId="18">
    <w:nsid w:val="2CD89A32"/>
    <w:multiLevelType w:val="hybridMultilevel"/>
    <w:lvl w:ilvl="0">
      <w:lvlJc w:val="left"/>
      <w:lvlText w:val="(%1)"/>
      <w:numFmt w:val="lowerLetter"/>
      <w:start w:val="4"/>
    </w:lvl>
  </w:abstractNum>
  <w:abstractNum w:abstractNumId="19">
    <w:nsid w:val="57E4CCAF"/>
    <w:multiLevelType w:val="hybridMultilevel"/>
    <w:lvl w:ilvl="0">
      <w:lvlJc w:val="left"/>
      <w:lvlText w:val="%1."/>
      <w:numFmt w:val="decimal"/>
      <w:start w:val="2"/>
    </w:lvl>
  </w:abstractNum>
  <w:abstractNum w:abstractNumId="20">
    <w:nsid w:val="7A6D8D3C"/>
    <w:multiLevelType w:val="hybridMultilevel"/>
    <w:lvl w:ilvl="0">
      <w:lvlJc w:val="left"/>
      <w:lvlText w:val="(%1)"/>
      <w:numFmt w:val="lowerLetter"/>
      <w:start w:val="5"/>
    </w:lvl>
  </w:abstractNum>
  <w:abstractNum w:abstractNumId="21">
    <w:nsid w:val="4B588F54"/>
    <w:multiLevelType w:val="hybridMultilevel"/>
    <w:lvl w:ilvl="0">
      <w:lvlJc w:val="left"/>
      <w:lvlText w:val="(%1)"/>
      <w:numFmt w:val="lowerLetter"/>
      <w:start w:val="6"/>
    </w:lvl>
  </w:abstractNum>
  <w:abstractNum w:abstractNumId="22">
    <w:nsid w:val="542289EC"/>
    <w:multiLevelType w:val="hybridMultilevel"/>
    <w:lvl w:ilvl="0">
      <w:lvlJc w:val="left"/>
      <w:lvlText w:val="(%1)"/>
      <w:numFmt w:val="lowerLetter"/>
      <w:start w:val="7"/>
    </w:lvl>
  </w:abstractNum>
  <w:abstractNum w:abstractNumId="23">
    <w:nsid w:val="6DE91B18"/>
    <w:multiLevelType w:val="hybridMultilevel"/>
    <w:lvl w:ilvl="0">
      <w:lvlJc w:val="left"/>
      <w:lvlText w:val="%1."/>
      <w:numFmt w:val="decimal"/>
      <w:start w:val="2"/>
    </w:lvl>
  </w:abstractNum>
  <w:abstractNum w:abstractNumId="24">
    <w:nsid w:val="38437FDB"/>
    <w:multiLevelType w:val="hybridMultilevel"/>
    <w:lvl w:ilvl="0">
      <w:lvlJc w:val="left"/>
      <w:lvlText w:val="(%1)"/>
      <w:numFmt w:val="lowerLetter"/>
      <w:start w:val="7"/>
    </w:lvl>
  </w:abstractNum>
  <w:abstractNum w:abstractNumId="25">
    <w:nsid w:val="7644A45C"/>
    <w:multiLevelType w:val="hybridMultilevel"/>
    <w:lvl w:ilvl="0">
      <w:lvlJc w:val="left"/>
      <w:lvlText w:val="(%1)"/>
      <w:numFmt w:val="lowerLetter"/>
      <w:start w:val="8"/>
    </w:lvl>
  </w:abstractNum>
  <w:abstractNum w:abstractNumId="26">
    <w:nsid w:val="32FFF902"/>
    <w:multiLevelType w:val="hybridMultilevel"/>
    <w:lvl w:ilvl="0">
      <w:lvlJc w:val="left"/>
      <w:lvlText w:val="%1."/>
      <w:numFmt w:val="decimal"/>
      <w:start w:val="2"/>
    </w:lvl>
  </w:abstractNum>
  <w:abstractNum w:abstractNumId="27">
    <w:nsid w:val="684A481A"/>
    <w:multiLevelType w:val="hybridMultilevel"/>
    <w:lvl w:ilvl="0">
      <w:lvlJc w:val="left"/>
      <w:lvlText w:val="(%1)"/>
      <w:numFmt w:val="lowerLetter"/>
      <w:start w:val="8"/>
    </w:lvl>
  </w:abstractNum>
  <w:abstractNum w:abstractNumId="28">
    <w:nsid w:val="579478FE"/>
    <w:multiLevelType w:val="hybridMultilevel"/>
    <w:lvl w:ilvl="0">
      <w:lvlJc w:val="left"/>
      <w:lvlText w:val="(%1)"/>
      <w:numFmt w:val="lowerRoman"/>
      <w:start w:val="1"/>
    </w:lvl>
  </w:abstractNum>
  <w:abstractNum w:abstractNumId="29">
    <w:nsid w:val="749ABB43"/>
    <w:multiLevelType w:val="hybridMultilevel"/>
    <w:lvl w:ilvl="0">
      <w:lvlJc w:val="left"/>
      <w:lvlText w:val="(%1)"/>
      <w:numFmt w:val="lowerLetter"/>
      <w:start w:val="10"/>
    </w:lvl>
  </w:abstractNum>
  <w:abstractNum w:abstractNumId="30">
    <w:nsid w:val="3DC240FB"/>
    <w:multiLevelType w:val="hybridMultilevel"/>
    <w:lvl w:ilvl="0">
      <w:lvlJc w:val="left"/>
      <w:lvlText w:val="%1."/>
      <w:numFmt w:val="decimal"/>
      <w:start w:val="2"/>
    </w:lvl>
  </w:abstractNum>
  <w:abstractNum w:abstractNumId="31">
    <w:nsid w:val="1BA026FA"/>
    <w:multiLevelType w:val="hybridMultilevel"/>
    <w:lvl w:ilvl="0">
      <w:lvlJc w:val="left"/>
      <w:lvlText w:val="(%1)"/>
      <w:numFmt w:val="lowerLetter"/>
      <w:start w:val="10"/>
    </w:lvl>
  </w:abstractNum>
  <w:abstractNum w:abstractNumId="32">
    <w:nsid w:val="79A1DEAA"/>
    <w:multiLevelType w:val="hybridMultilevel"/>
    <w:lvl w:ilvl="0">
      <w:lvlJc w:val="left"/>
      <w:lvlText w:val="%1."/>
      <w:numFmt w:val="decimal"/>
      <w:start w:val="2"/>
    </w:lvl>
  </w:abstractNum>
  <w:abstractNum w:abstractNumId="33">
    <w:nsid w:val="75C6C33A"/>
    <w:multiLevelType w:val="hybridMultilevel"/>
    <w:lvl w:ilvl="0">
      <w:lvlJc w:val="left"/>
      <w:lvlText w:val="(%1)"/>
      <w:numFmt w:val="lowerLetter"/>
      <w:start w:val="10"/>
    </w:lvl>
  </w:abstractNum>
  <w:abstractNum w:abstractNumId="34">
    <w:nsid w:val="12E685FB"/>
    <w:multiLevelType w:val="hybridMultilevel"/>
    <w:lvl w:ilvl="0">
      <w:lvlJc w:val="left"/>
      <w:lvlText w:val="%1."/>
      <w:numFmt w:val="decimal"/>
      <w:start w:val="2"/>
    </w:lvl>
  </w:abstractNum>
  <w:abstractNum w:abstractNumId="35">
    <w:nsid w:val="70C6A529"/>
    <w:multiLevelType w:val="hybridMultilevel"/>
    <w:lvl w:ilvl="0">
      <w:lvlJc w:val="left"/>
      <w:lvlText w:val="(%1)"/>
      <w:numFmt w:val="lowerLetter"/>
      <w:start w:val="10"/>
    </w:lvl>
  </w:abstractNum>
  <w:abstractNum w:abstractNumId="36">
    <w:nsid w:val="520EEDD1"/>
    <w:multiLevelType w:val="hybridMultilevel"/>
    <w:lvl w:ilvl="0">
      <w:lvlJc w:val="left"/>
      <w:lvlText w:val="(%1)"/>
      <w:numFmt w:val="lowerLetter"/>
      <w:start w:val="11"/>
    </w:lvl>
  </w:abstractNum>
  <w:abstractNum w:abstractNumId="37">
    <w:nsid w:val="374A3FE6"/>
    <w:multiLevelType w:val="hybridMultilevel"/>
    <w:lvl w:ilvl="0">
      <w:lvlJc w:val="left"/>
      <w:lvlText w:val="%1."/>
      <w:numFmt w:val="decimal"/>
      <w:start w:val="2"/>
    </w:lvl>
  </w:abstractNum>
  <w:abstractNum w:abstractNumId="38">
    <w:nsid w:val="4F4EF005"/>
    <w:multiLevelType w:val="hybridMultilevel"/>
    <w:lvl w:ilvl="0">
      <w:lvlJc w:val="left"/>
      <w:lvlText w:val="(%1)"/>
      <w:numFmt w:val="lowerLetter"/>
      <w:start w:val="11"/>
    </w:lvl>
  </w:abstractNum>
  <w:abstractNum w:abstractNumId="39">
    <w:nsid w:val="23F9C13C"/>
    <w:multiLevelType w:val="hybridMultilevel"/>
    <w:lvl w:ilvl="0">
      <w:lvlJc w:val="left"/>
      <w:lvlText w:val="(%1)"/>
      <w:numFmt w:val="lowerLetter"/>
      <w:start w:val="12"/>
    </w:lvl>
  </w:abstractNum>
  <w:abstractNum w:abstractNumId="40">
    <w:nsid w:val="649BB77C"/>
    <w:multiLevelType w:val="hybridMultilevel"/>
    <w:lvl w:ilvl="0">
      <w:lvlJc w:val="left"/>
      <w:lvlText w:val="%1."/>
      <w:numFmt w:val="decimal"/>
      <w:start w:val="3"/>
    </w:lvl>
  </w:abstractNum>
  <w:abstractNum w:abstractNumId="41">
    <w:nsid w:val="275AC794"/>
    <w:multiLevelType w:val="hybridMultilevel"/>
    <w:lvl w:ilvl="0">
      <w:lvlJc w:val="left"/>
      <w:lvlText w:val="%1."/>
      <w:numFmt w:val="decimal"/>
      <w:start w:val="3"/>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decimal"/>
      <w:start w:val="3"/>
    </w:lvl>
  </w:abstractNum>
  <w:abstractNum w:abstractNumId="45">
    <w:nsid w:val="235BA861"/>
    <w:multiLevelType w:val="hybridMultilevel"/>
    <w:lvl w:ilvl="0">
      <w:lvlJc w:val="left"/>
      <w:lvlText w:val="%1."/>
      <w:numFmt w:val="decimal"/>
      <w:start w:val="4"/>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1."/>
      <w:numFmt w:val="decimal"/>
      <w:start w:val="5"/>
    </w:lvl>
  </w:abstractNum>
  <w:abstractNum w:abstractNumId="48">
    <w:nsid w:val="15B5AF5C"/>
    <w:multiLevelType w:val="hybridMultilevel"/>
    <w:lvl w:ilvl="0">
      <w:lvlJc w:val="left"/>
      <w:lvlText w:val="%1."/>
      <w:numFmt w:val="decimal"/>
      <w:start w:val="5"/>
    </w:lvl>
  </w:abstractNum>
  <w:abstractNum w:abstractNumId="49">
    <w:nsid w:val="741226BB"/>
    <w:multiLevelType w:val="hybridMultilevel"/>
    <w:lvl w:ilvl="0">
      <w:lvlJc w:val="left"/>
      <w:lvlText w:val="%1."/>
      <w:numFmt w:val="decimal"/>
      <w:start w:val="6"/>
    </w:lvl>
  </w:abstractNum>
  <w:abstractNum w:abstractNumId="50">
    <w:nsid w:val="D34B6A8"/>
    <w:multiLevelType w:val="hybridMultilevel"/>
    <w:lvl w:ilvl="0">
      <w:lvlJc w:val="left"/>
      <w:lvlText w:val="%1."/>
      <w:numFmt w:val="decimal"/>
      <w:start w:val="6"/>
    </w:lvl>
  </w:abstractNum>
  <w:abstractNum w:abstractNumId="51">
    <w:nsid w:val="10233C99"/>
    <w:multiLevelType w:val="hybridMultilevel"/>
    <w:lvl w:ilvl="0">
      <w:lvlJc w:val="left"/>
      <w:lvlText w:val="%1)"/>
      <w:numFmt w:val="lowerLetter"/>
      <w:start w:val="2"/>
    </w:lvl>
  </w:abstractNum>
  <w:abstractNum w:abstractNumId="52">
    <w:nsid w:val="3F6AB60F"/>
    <w:multiLevelType w:val="hybridMultilevel"/>
    <w:lvl w:ilvl="0">
      <w:lvlJc w:val="left"/>
      <w:lvlText w:val="(%1)"/>
      <w:numFmt w:val="lowerRoman"/>
      <w:start w:val="5"/>
    </w:lvl>
  </w:abstractNum>
  <w:abstractNum w:abstractNumId="53">
    <w:nsid w:val="61574095"/>
    <w:multiLevelType w:val="hybridMultilevel"/>
    <w:lvl w:ilvl="0">
      <w:lvlJc w:val="left"/>
      <w:lvlText w:val="%1)"/>
      <w:numFmt w:val="lowerLetter"/>
      <w:start w:val="3"/>
    </w:lvl>
  </w:abstractNum>
  <w:abstractNum w:abstractNumId="54">
    <w:nsid w:val="7E0C57B1"/>
    <w:multiLevelType w:val="hybridMultilevel"/>
    <w:lvl w:ilvl="0">
      <w:lvlJc w:val="left"/>
      <w:lvlText w:val="%1."/>
      <w:numFmt w:val="decimal"/>
      <w:start w:val="6"/>
    </w:lvl>
  </w:abstractNum>
  <w:abstractNum w:abstractNumId="55">
    <w:nsid w:val="77AE35EB"/>
    <w:multiLevelType w:val="hybridMultilevel"/>
    <w:lvl w:ilvl="0">
      <w:lvlJc w:val="left"/>
      <w:lvlText w:val="%1)"/>
      <w:numFmt w:val="lowerLetter"/>
      <w:start w:val="4"/>
    </w:lvl>
  </w:abstractNum>
  <w:abstractNum w:abstractNumId="56">
    <w:nsid w:val="579BE4F1"/>
    <w:multiLevelType w:val="hybridMultilevel"/>
    <w:lvl w:ilvl="0">
      <w:lvlJc w:val="left"/>
      <w:lvlText w:val="%1)"/>
      <w:numFmt w:val="lowerLetter"/>
      <w:start w:val="5"/>
    </w:lvl>
  </w:abstractNum>
  <w:abstractNum w:abstractNumId="57">
    <w:nsid w:val="310C50B3"/>
    <w:multiLevelType w:val="hybridMultilevel"/>
    <w:lvl w:ilvl="0">
      <w:lvlJc w:val="left"/>
      <w:lvlText w:val="%1."/>
      <w:numFmt w:val="decimal"/>
      <w:start w:val="6"/>
    </w:lvl>
  </w:abstractNum>
  <w:abstractNum w:abstractNumId="58">
    <w:nsid w:val="5FF87E05"/>
    <w:multiLevelType w:val="hybridMultilevel"/>
    <w:lvl w:ilvl="0">
      <w:lvlJc w:val="left"/>
      <w:lvlText w:val="%1)"/>
      <w:numFmt w:val="lowerLetter"/>
      <w:start w:val="6"/>
    </w:lvl>
  </w:abstractNum>
  <w:abstractNum w:abstractNumId="59">
    <w:nsid w:val="2F305DEF"/>
    <w:multiLevelType w:val="hybridMultilevel"/>
    <w:lvl w:ilvl="0">
      <w:lvlJc w:val="left"/>
      <w:lvlText w:val="%1)"/>
      <w:numFmt w:val="lowerLetter"/>
      <w:start w:val="7"/>
    </w:lvl>
  </w:abstractNum>
  <w:abstractNum w:abstractNumId="60">
    <w:nsid w:val="25A70BF7"/>
    <w:multiLevelType w:val="hybridMultilevel"/>
    <w:lvl w:ilvl="0">
      <w:lvlJc w:val="left"/>
      <w:lvlText w:val="%1)"/>
      <w:numFmt w:val="lowerLetter"/>
      <w:start w:val="8"/>
    </w:lvl>
  </w:abstractNum>
  <w:abstractNum w:abstractNumId="61">
    <w:nsid w:val="1DBABF00"/>
    <w:multiLevelType w:val="hybridMultilevel"/>
    <w:lvl w:ilvl="0">
      <w:lvlJc w:val="left"/>
      <w:lvlText w:val="%1."/>
      <w:numFmt w:val="decimal"/>
      <w:start w:val="6"/>
    </w:lvl>
  </w:abstractNum>
  <w:abstractNum w:abstractNumId="62">
    <w:nsid w:val="4AD084E9"/>
    <w:multiLevelType w:val="hybridMultilevel"/>
    <w:lvl w:ilvl="0">
      <w:lvlJc w:val="left"/>
      <w:lvlText w:val="%1)"/>
      <w:numFmt w:val="lowerLetter"/>
      <w:start w:val="8"/>
    </w:lvl>
  </w:abstractNum>
  <w:abstractNum w:abstractNumId="63">
    <w:nsid w:val="1F48EAA1"/>
    <w:multiLevelType w:val="hybridMultilevel"/>
    <w:lvl w:ilvl="0">
      <w:lvlJc w:val="left"/>
      <w:lvlText w:val="%1)"/>
      <w:numFmt w:val="lowerLetter"/>
      <w:start w:val="11"/>
    </w:lvl>
  </w:abstractNum>
  <w:abstractNum w:abstractNumId="64">
    <w:nsid w:val="1381823A"/>
    <w:multiLevelType w:val="hybridMultilevel"/>
    <w:lvl w:ilvl="0">
      <w:lvlJc w:val="left"/>
      <w:lvlText w:val="%1."/>
      <w:numFmt w:val="decimal"/>
      <w:start w:val="7"/>
    </w:lvl>
  </w:abstractNum>
  <w:abstractNum w:abstractNumId="65">
    <w:nsid w:val="5DB70AE5"/>
    <w:multiLevelType w:val="hybridMultilevel"/>
    <w:lvl w:ilvl="0">
      <w:lvlJc w:val="left"/>
      <w:lvlText w:val="%1."/>
      <w:numFmt w:val="decimal"/>
      <w:start w:val="8"/>
    </w:lvl>
  </w:abstractNum>
  <w:abstractNum w:abstractNumId="66">
    <w:nsid w:val="100F8FCA"/>
    <w:multiLevelType w:val="hybridMultilevel"/>
    <w:lvl w:ilvl="0">
      <w:lvlJc w:val="left"/>
      <w:lvlText w:val="%1."/>
      <w:numFmt w:val="decimal"/>
      <w:start w:val="10"/>
    </w:lvl>
  </w:abstractNum>
  <w:abstractNum w:abstractNumId="67">
    <w:nsid w:val="6590700B"/>
    <w:multiLevelType w:val="hybridMultilevel"/>
    <w:lvl w:ilvl="0">
      <w:lvlJc w:val="left"/>
      <w:lvlText w:val="%1."/>
      <w:numFmt w:val="decimal"/>
      <w:start w:val="10"/>
    </w:lvl>
  </w:abstractNum>
  <w:abstractNum w:abstractNumId="68">
    <w:nsid w:val="15014ACB"/>
    <w:multiLevelType w:val="hybridMultilevel"/>
    <w:lvl w:ilvl="0">
      <w:lvlJc w:val="left"/>
      <w:lvlText w:val="%1."/>
      <w:numFmt w:val="decimal"/>
      <w:start w:val="11"/>
    </w:lvl>
  </w:abstractNum>
  <w:abstractNum w:abstractNumId="69">
    <w:nsid w:val="5F5E7FD0"/>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2026-05-22T16:21:13Z</dcterms:created>
  <dcterms:modified xsi:type="dcterms:W3CDTF">2026-05-22T16:21:13Z</dcterms:modified>
</cp:coreProperties>
</file>