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Lister Thomas Arthur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 IRODOU ATTIKOU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KIFISIA, ATHENS</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14561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GREECE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 Ship Lease, Inc.</w:t>
              </w:r>
            </w:hyperlink>
            <w:r>
              <w:rPr/>
              <w:t xml:space="preserve"> [ </w:t>
            </w:r>
            <w:r>
              <w:rPr>
                <w:rFonts w:ascii="Times;serif" w:hAnsi="Times;serif"/>
                <w:color w:val="0000FF"/>
                <w:sz w:val="24"/>
                <w:shd w:fill="FFFFFF" w:val="clear"/>
              </w:rPr>
              <w:t>GSL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918"/>
        <w:gridCol w:w="440"/>
        <w:gridCol w:w="925"/>
        <w:gridCol w:w="1173"/>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Shares, par value of $0.01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44.2613</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15,934</w:t>
            </w:r>
            <w:r>
              <w:rPr>
                <w:rFonts w:ascii="Times;serif" w:hAnsi="Times;serif"/>
                <w:color w:val="008000"/>
                <w:position w:val="7"/>
                <w:sz w:val="16"/>
                <w:sz w:val="20"/>
                <w:shd w:fill="FFFFFF" w:val="clear"/>
              </w:rPr>
              <w:t>(1)</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Shares, par value of $0.01 per 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547,617</w:t>
            </w:r>
            <w:r>
              <w:rPr>
                <w:rFonts w:ascii="Times;serif" w:hAnsi="Times;serif"/>
                <w:color w:val="008000"/>
                <w:position w:val="7"/>
                <w:sz w:val="16"/>
                <w:sz w:val="20"/>
                <w:shd w:fill="FFFFFF" w:val="clear"/>
              </w:rPr>
              <w:t>(2)</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15,211 Class A Common Shares of Global Ship Lease, Inc. (the "Issuer") granted to the reporting person pursuant to the Issuer's 2019 Omnibus Incentive Plan, as amended and restated (the "Plan") that have vested on June 30, 2026 but have not yet been issued.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Unvested awards of Class A Common Shares of the Issuer granted to the reporting person pursuant to the Plan, consisting of (i) 152,117 shares which vest quarterly, pro rata, from the quarter ended September 30, 2026 through the quarter ended December 31, 2028, conditioned on the reporting person's continued service, (ii) 197,750 shares, of which approximately 1/3 are earned upon the Issuer's achievement of a specified annualized return on equity that is measured as of December 31 of 2026, 2027 and 2028, respectively, after which, such earned shares are notionally divided into a number of quarterly installments within the 3.25 year period beginning October 1, 2025 (the "Term") and are eligible to vest on this basis, and (iii) 197,750 shares which vest at December 31, 2028 based on the Issuer's achievement of a specified return on equity over the full Term.</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Arthur Lister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0682" TargetMode="External"/><Relationship Id="rId5" Type="http://schemas.openxmlformats.org/officeDocument/2006/relationships/hyperlink" Target="http://www.sec.gov/cgi-bin/browse-edgar?action=getcompany&amp;CIK=00014307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774</Words>
  <Characters>4128</Characters>
  <CharactersWithSpaces>4831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