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Psaropoulos Anastasios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IRODOU ATTIKOU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KIFISIA, ATHENS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 Ship Lease, Inc.</w:t>
              </w:r>
            </w:hyperlink>
            <w:r>
              <w:rPr/>
              <w:t xml:space="preserve"> [ </w:t>
            </w:r>
            <w:r>
              <w:rPr>
                <w:rFonts w:ascii="Times;serif" w:hAnsi="Times;serif"/>
                <w:color w:val="0000FF"/>
                <w:sz w:val="24"/>
                <w:shd w:fill="FFFFFF" w:val="clear"/>
              </w:rPr>
              <w:t>GSL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23,173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39.0042</w:t>
            </w:r>
            <w:r>
              <w:rPr>
                <w:rFonts w:ascii="Times;serif" w:hAnsi="Times;serif"/>
                <w:color w:val="008000"/>
                <w:position w:val="7"/>
                <w:sz w:val="16"/>
                <w:sz w:val="20"/>
                <w:shd w:fill="FFFFFF" w:val="clear"/>
              </w:rPr>
              <w:t>(1)</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108,102</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392,058</w:t>
            </w:r>
            <w:r>
              <w:rPr>
                <w:rFonts w:ascii="Times;serif" w:hAnsi="Times;serif"/>
                <w:color w:val="008000"/>
                <w:position w:val="7"/>
                <w:sz w:val="16"/>
                <w:sz w:val="20"/>
                <w:shd w:fill="FFFFFF" w:val="clear"/>
              </w:rPr>
              <w:t>(3)</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the weighted average price of Class A common shares of Global Ship Lease, Inc. (the "Issuer") sold in multiple transactions at prices ranging from $39.00 to $39.06 per share. The reporting person will provide to the Issuer, or the U.S. Securities and Exchange Commission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21,192 Class A Common Shares of the Issuer granted to the reporting person pursuant to the Issuer's 2019 Omnibus Incentive Plan, as amended and restated (the "Plan"), of which 10,596 shares vested on December 31, 2025 and have not yet been issued, and 10,596 shares are scheduled to vest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Unvested awards of Class A Common Shares of the Issuer granted to the reporting person pursuant to the Plan, consisting of (i) 116,558 shares which vest quarterly, pro rata, commencing from the quarter ended June 30, 2026, conditioned on the reporting person's continued service, (ii) 137,750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137,750 shares which vest at December 31, 2028 based on the Company's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Anastasios Psaropoulos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689" TargetMode="External"/><Relationship Id="rId5" Type="http://schemas.openxmlformats.org/officeDocument/2006/relationships/hyperlink" Target="http://www.sec.gov/cgi-bin/browse-edgar?action=getcompany&amp;CIK=000143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836</Words>
  <Characters>4455</Characters>
  <CharactersWithSpaces>5228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