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Date of Report: November 15, 2011</w:t>
      </w:r>
    </w:p>
    <w:p>
      <w:pPr>
        <w:spacing w:after="0" w:line="17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GLOBAL SHIP LEASE,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400"/>
        <w:spacing w:after="0" w:line="207" w:lineRule="exact"/>
        <w:tabs>
          <w:tab w:leader="none" w:pos="5260" w:val="left"/>
          <w:tab w:leader="none" w:pos="600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S-I Rule 101 (b)(1).</w:t>
      </w:r>
    </w:p>
    <w:p>
      <w:pPr>
        <w:spacing w:after="0" w:line="139"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 (b)(7).</w:t>
      </w:r>
    </w:p>
    <w:p>
      <w:pPr>
        <w:spacing w:after="0" w:line="139" w:lineRule="exact"/>
        <w:rPr>
          <w:sz w:val="24"/>
          <w:szCs w:val="24"/>
          <w:color w:val="auto"/>
        </w:rPr>
      </w:pPr>
    </w:p>
    <w:p>
      <w:pPr>
        <w:ind w:left="4940"/>
        <w:spacing w:after="0" w:line="207" w:lineRule="exact"/>
        <w:tabs>
          <w:tab w:leader="none" w:pos="5320" w:val="left"/>
          <w:tab w:leader="none" w:pos="600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4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Attached hereto as Exhibit I is a press release dated November 14, 2011 of Global Ship Lease, Inc. (the “Company”) reporting the Company’s financial results for the third quarter of 2011. Attached hereto as Exhibit II are the Company’s interim unaudited consolidated financial statements for the three month and nine month periods ended September 30, 2011.</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15, 2011</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240" w:top="274"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Cimini</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212-477-8261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Third Quarter of 2011</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LONDON, ENGLAND—November 14, 2011</w:t>
      </w:r>
      <w:r>
        <w:rPr>
          <w:rFonts w:ascii="Arial" w:cs="Arial" w:eastAsia="Arial" w:hAnsi="Arial"/>
          <w:sz w:val="18"/>
          <w:szCs w:val="18"/>
          <w:color w:val="auto"/>
        </w:rPr>
        <w:t>—Global Ship Lease, Inc. (NYSE:GSL), a containership charter owner, announced today its unaudited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and nine months ended September 30,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Year To Date Highlights</w:t>
      </w:r>
    </w:p>
    <w:p>
      <w:pPr>
        <w:spacing w:after="0" w:line="96" w:lineRule="exact"/>
        <w:rPr>
          <w:sz w:val="20"/>
          <w:szCs w:val="20"/>
          <w:color w:val="auto"/>
        </w:rPr>
      </w:pPr>
    </w:p>
    <w:p>
      <w:pPr>
        <w:ind w:left="220" w:right="80" w:hanging="212"/>
        <w:spacing w:after="0" w:line="259"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$38.7 million for the third quarter 2011, down from $40.0 million for the third quarter 2010 due mainly to 58 days offhire in third quarter 2011 for planned drydockings. Revenue for the nine months ended September 30, 2011 was $116.6 million compared to $118.8 million for the nine months ended September 30, 2010 due to 88 days offhire in 2011 for planned drydockings</w:t>
      </w:r>
    </w:p>
    <w:p>
      <w:pPr>
        <w:spacing w:after="0" w:line="59" w:lineRule="exact"/>
        <w:rPr>
          <w:rFonts w:ascii="Arial" w:cs="Arial" w:eastAsia="Arial" w:hAnsi="Arial"/>
          <w:sz w:val="18"/>
          <w:szCs w:val="18"/>
          <w:color w:val="auto"/>
        </w:rPr>
      </w:pPr>
    </w:p>
    <w:p>
      <w:pPr>
        <w:ind w:left="220" w:right="100" w:hanging="212"/>
        <w:spacing w:after="0" w:line="30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Reported net loss of $0.9 million for the third quarter 2011, after $6.1 million non-cash interest rate derivative mark-to-market loss. For the third quarter 2010 the reported net loss was $3.5 million, after $9.7 million non-cash mark-to-market loss. Excluding the mark-to-market items, normalized net income</w:t>
      </w:r>
      <w:r>
        <w:rPr>
          <w:rFonts w:ascii="Arial" w:cs="Arial" w:eastAsia="Arial" w:hAnsi="Arial"/>
          <w:sz w:val="10"/>
          <w:szCs w:val="10"/>
          <w:color w:val="auto"/>
        </w:rPr>
        <w:t>(1)</w:t>
      </w:r>
      <w:r>
        <w:rPr>
          <w:rFonts w:ascii="Arial" w:cs="Arial" w:eastAsia="Arial" w:hAnsi="Arial"/>
          <w:sz w:val="16"/>
          <w:szCs w:val="16"/>
          <w:color w:val="auto"/>
        </w:rPr>
        <w:t xml:space="preserve"> was $5.2 million for the third quarter 2011 compared to normalized net income of $6.2 million for the third quarter 2010</w:t>
      </w:r>
    </w:p>
    <w:p>
      <w:pPr>
        <w:spacing w:after="0" w:line="25" w:lineRule="exact"/>
        <w:rPr>
          <w:rFonts w:ascii="Arial" w:cs="Arial" w:eastAsia="Arial" w:hAnsi="Arial"/>
          <w:sz w:val="16"/>
          <w:szCs w:val="16"/>
          <w:color w:val="auto"/>
        </w:rPr>
      </w:pPr>
    </w:p>
    <w:p>
      <w:pPr>
        <w:ind w:left="220" w:right="20" w:hanging="212"/>
        <w:spacing w:after="0" w:line="256"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For the nine months ended September 30, 2011 the reported net loss was $1.8 million, after $13.6 million non-cash impairment charge relating to the fair value of purchase options and $4.9 million mark-to-market loss. The reported net loss of $5.2 million for the nine months ended September 30, 2010 was after a mark-to-market loss of $27.0 million. Normalized net income for the nine months ended September 30, 2011 was $16.8 million compared to $21.8 million for the nine months ended September 30, 2010</w:t>
      </w:r>
    </w:p>
    <w:p>
      <w:pPr>
        <w:spacing w:after="0" w:line="62" w:lineRule="exact"/>
        <w:rPr>
          <w:rFonts w:ascii="Arial" w:cs="Arial" w:eastAsia="Arial" w:hAnsi="Arial"/>
          <w:sz w:val="18"/>
          <w:szCs w:val="18"/>
          <w:color w:val="auto"/>
        </w:rPr>
      </w:pPr>
    </w:p>
    <w:p>
      <w:pPr>
        <w:ind w:left="220" w:right="140" w:hanging="212"/>
        <w:spacing w:after="0" w:line="30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Generated $25.2 million EBITDA</w:t>
      </w:r>
      <w:r>
        <w:rPr>
          <w:rFonts w:ascii="Arial" w:cs="Arial" w:eastAsia="Arial" w:hAnsi="Arial"/>
          <w:sz w:val="10"/>
          <w:szCs w:val="10"/>
          <w:color w:val="auto"/>
        </w:rPr>
        <w:t>(1)</w:t>
      </w:r>
      <w:r>
        <w:rPr>
          <w:rFonts w:ascii="Arial" w:cs="Arial" w:eastAsia="Arial" w:hAnsi="Arial"/>
          <w:sz w:val="16"/>
          <w:szCs w:val="16"/>
          <w:color w:val="auto"/>
        </w:rPr>
        <w:t xml:space="preserve"> for the third quarter 2011, down on $26.8 million for the third quarter 2010 due mainly to reduced revenue and increased costs as a result of planned drydockings. EBITDA for the nine months ended September 30, 2011 was $77.1 million, compared to $82.5 million for the nine months ended September 30, 2010 due mainly to planned drydockings in 2011 and increased crew costs</w:t>
      </w:r>
    </w:p>
    <w:p>
      <w:pPr>
        <w:spacing w:after="0" w:line="25" w:lineRule="exact"/>
        <w:rPr>
          <w:rFonts w:ascii="Arial" w:cs="Arial" w:eastAsia="Arial" w:hAnsi="Arial"/>
          <w:sz w:val="16"/>
          <w:szCs w:val="16"/>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$10.0 million in debt during the third quarter of 2011; repaid $33.9 million year-to-date and $100.1 million since August 2009</w:t>
      </w:r>
    </w:p>
    <w:p>
      <w:pPr>
        <w:spacing w:after="0" w:line="9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Purchase options on two 4,250 TEU newbuildings were allowed to expire</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Ian Webber, Chief Executive Officer of Global Ship Lease, stated, “Third quarter results once again demonstrated the strength of our business model in generating sizeable, stable cash flows. With our fleet of 17 vessels operating on long-term fixed rate charters and utilization levels high, we achieved EBITDA of $25.2 million for the quarter, despite the challenging economic environment and four vessels being in drydock during the quarter. Given our fully time-chartered fleet has a weighted average remaining term of 8.6 years providing contracted revenue stream of over $1.2 billion, we maintain a positive long-term outlook on our future business prospects.”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274" w:right="239" w:bottom="1440" w:gutter="0" w:footer="0" w:header="0"/>
        </w:sectPr>
      </w:pPr>
    </w:p>
    <w:bookmarkStart w:id="4" w:name="page5"/>
    <w:bookmarkEnd w:id="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Webber continued, “During a time in which we have no purchase obligations, we continue to take steps to strengthen our balance sheet for the benefit of our shareholders. We reduced our debt by an additional $10 million in the third quarter for total repayments of $33.9 million year-to-date and $100.1 million since August 2009. As a result of the downturn in the containership market and decline in asset values, we have initiated discussions with our bank group to amend our credit facility in anticipation of the upcoming loan-to-value test on November 30, 2011. We have made good progress in our discussions and expect to have an agreement in place by the time of the test.”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Three</w:t>
            </w: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81"/>
              </w:rPr>
              <w:t>Three</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Nine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months</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7"/>
              </w:rPr>
              <w:t>months</w:t>
            </w: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months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2"/>
              </w:rPr>
              <w:t>ended</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2"/>
              </w:rPr>
              <w:t>ended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4"/>
              </w:rPr>
              <w:t>September 30,</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4"/>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2010</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38,676</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40,040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116,554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Operating Income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15,046</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16,703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33,424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(935)</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(3,526)</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(1,789)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EBITDA (1)</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25,163</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26,803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77,124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Normalised Net Income (1)</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5,155</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6,173</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16,786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21,834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60" w:hanging="452"/>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17 vessel fleet generated revenue from fixed rate long-term time charters of $38.7 million in the three months ended September 30, 2011, down $1.3 million on revenue of $40.0 million for the comparative period in 2010. The decrease in revenue is due mainly to 58 days offhire for planned dry-docking of four vessels. During the three months ended September 30, 2011, there were 1,564 ownership days, the same as the comparable period in 2010. The 58 days offhire for dry-dockings and one unplanned offhire day in the three months ended September 30, 2011, gives a utilization of 96.2%. In the comparable period of 2010, there was no off-hire, for utilization of 100.0%.</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the nine months ended September 30, 2011, revenue was $116.6 million, down $2.2 million on revenue of $118.8 million in the comparative period, mainly due to the effect of 88 days offhire for drydockings.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fleet utilization for the three and nine months ended September 30, 2011 and 2010 and for the year ended December 31, 2010.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Year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700" w:type="dxa"/>
            <w:vAlign w:val="bottom"/>
            <w:gridSpan w:val="4"/>
          </w:tcPr>
          <w:p>
            <w:pPr>
              <w:ind w:left="100"/>
              <w:spacing w:after="0" w:line="159" w:lineRule="exact"/>
              <w:rPr>
                <w:sz w:val="20"/>
                <w:szCs w:val="20"/>
                <w:color w:val="auto"/>
              </w:rPr>
            </w:pPr>
            <w:r>
              <w:rPr>
                <w:rFonts w:ascii="Arial" w:cs="Arial" w:eastAsia="Arial" w:hAnsi="Arial"/>
                <w:sz w:val="14"/>
                <w:szCs w:val="14"/>
                <w:color w:val="auto"/>
              </w:rPr>
              <w:t>Three months ended</w:t>
            </w:r>
          </w:p>
        </w:tc>
        <w:tc>
          <w:tcPr>
            <w:tcW w:w="1700" w:type="dxa"/>
            <w:vAlign w:val="bottom"/>
            <w:gridSpan w:val="4"/>
          </w:tcPr>
          <w:p>
            <w:pPr>
              <w:jc w:val="right"/>
              <w:ind w:right="520"/>
              <w:spacing w:after="0" w:line="159" w:lineRule="exact"/>
              <w:rPr>
                <w:sz w:val="20"/>
                <w:szCs w:val="20"/>
                <w:color w:val="auto"/>
              </w:rPr>
            </w:pPr>
            <w:r>
              <w:rPr>
                <w:rFonts w:ascii="Arial" w:cs="Arial" w:eastAsia="Arial" w:hAnsi="Arial"/>
                <w:sz w:val="14"/>
                <w:szCs w:val="14"/>
                <w:color w:val="auto"/>
                <w:w w:val="95"/>
              </w:rPr>
              <w:t>Nine months ended</w:t>
            </w:r>
          </w:p>
        </w:tc>
        <w:tc>
          <w:tcPr>
            <w:tcW w:w="6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31"/>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332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0"/>
              </w:rPr>
              <w:t>Sept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Sept 30,</w:t>
            </w:r>
          </w:p>
        </w:tc>
        <w:tc>
          <w:tcPr>
            <w:tcW w:w="4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400"/>
              <w:spacing w:after="0" w:line="131" w:lineRule="exact"/>
              <w:rPr>
                <w:sz w:val="20"/>
                <w:szCs w:val="20"/>
                <w:color w:val="auto"/>
              </w:rPr>
            </w:pPr>
            <w:r>
              <w:rPr>
                <w:rFonts w:ascii="Arial" w:cs="Arial" w:eastAsia="Arial" w:hAnsi="Arial"/>
                <w:sz w:val="14"/>
                <w:szCs w:val="14"/>
                <w:color w:val="auto"/>
                <w:w w:val="80"/>
              </w:rPr>
              <w:t>Sept 30,</w:t>
            </w:r>
          </w:p>
        </w:tc>
        <w:tc>
          <w:tcPr>
            <w:tcW w:w="4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Sept 30,</w:t>
            </w:r>
          </w:p>
        </w:tc>
        <w:tc>
          <w:tcPr>
            <w:tcW w:w="400" w:type="dxa"/>
            <w:vAlign w:val="bottom"/>
          </w:tcPr>
          <w:p>
            <w:pPr>
              <w:spacing w:after="0"/>
              <w:rPr>
                <w:sz w:val="11"/>
                <w:szCs w:val="11"/>
                <w:color w:val="auto"/>
              </w:rPr>
            </w:pPr>
          </w:p>
        </w:tc>
        <w:tc>
          <w:tcPr>
            <w:tcW w:w="66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6"/>
              </w:rPr>
              <w:t>Dec 31,</w:t>
            </w:r>
          </w:p>
        </w:tc>
        <w:tc>
          <w:tcPr>
            <w:tcW w:w="0" w:type="dxa"/>
            <w:vAlign w:val="bottom"/>
          </w:tcPr>
          <w:p>
            <w:pPr>
              <w:spacing w:after="0"/>
              <w:rPr>
                <w:sz w:val="1"/>
                <w:szCs w:val="1"/>
                <w:color w:val="auto"/>
              </w:rPr>
            </w:pPr>
          </w:p>
        </w:tc>
      </w:tr>
      <w:tr>
        <w:trPr>
          <w:trHeight w:val="153"/>
        </w:trPr>
        <w:tc>
          <w:tcPr>
            <w:tcW w:w="4040" w:type="dxa"/>
            <w:vAlign w:val="bottom"/>
            <w:gridSpan w:val="3"/>
            <w:vMerge w:val="continue"/>
          </w:tcPr>
          <w:p>
            <w:pPr>
              <w:spacing w:after="0"/>
              <w:rPr>
                <w:sz w:val="13"/>
                <w:szCs w:val="13"/>
                <w:color w:val="auto"/>
              </w:rPr>
            </w:pPr>
          </w:p>
        </w:tc>
        <w:tc>
          <w:tcPr>
            <w:tcW w:w="3780" w:type="dxa"/>
            <w:vAlign w:val="bottom"/>
            <w:gridSpan w:val="2"/>
          </w:tcPr>
          <w:p>
            <w:pPr>
              <w:ind w:left="3420"/>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3"/>
                <w:szCs w:val="13"/>
                <w:color w:val="auto"/>
              </w:rPr>
            </w:pPr>
          </w:p>
        </w:tc>
        <w:tc>
          <w:tcPr>
            <w:tcW w:w="460" w:type="dxa"/>
            <w:vAlign w:val="bottom"/>
          </w:tcPr>
          <w:p>
            <w:pPr>
              <w:jc w:val="right"/>
              <w:ind w:right="20"/>
              <w:spacing w:after="0" w:line="146"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460" w:type="dxa"/>
            <w:vAlign w:val="bottom"/>
          </w:tcPr>
          <w:p>
            <w:pPr>
              <w:jc w:val="right"/>
              <w:spacing w:after="0" w:line="146" w:lineRule="exact"/>
              <w:rPr>
                <w:sz w:val="20"/>
                <w:szCs w:val="20"/>
                <w:color w:val="auto"/>
              </w:rPr>
            </w:pPr>
            <w:r>
              <w:rPr>
                <w:rFonts w:ascii="Arial" w:cs="Arial" w:eastAsia="Arial" w:hAnsi="Arial"/>
                <w:sz w:val="14"/>
                <w:szCs w:val="14"/>
                <w:color w:val="auto"/>
              </w:rPr>
              <w:t>2010</w:t>
            </w:r>
          </w:p>
        </w:tc>
        <w:tc>
          <w:tcPr>
            <w:tcW w:w="400" w:type="dxa"/>
            <w:vAlign w:val="bottom"/>
          </w:tcPr>
          <w:p>
            <w:pPr>
              <w:spacing w:after="0"/>
              <w:rPr>
                <w:sz w:val="13"/>
                <w:szCs w:val="13"/>
                <w:color w:val="auto"/>
              </w:rPr>
            </w:pPr>
          </w:p>
        </w:tc>
        <w:tc>
          <w:tcPr>
            <w:tcW w:w="460" w:type="dxa"/>
            <w:vAlign w:val="bottom"/>
          </w:tcPr>
          <w:p>
            <w:pPr>
              <w:jc w:val="center"/>
              <w:spacing w:after="0" w:line="146" w:lineRule="exact"/>
              <w:rPr>
                <w:sz w:val="20"/>
                <w:szCs w:val="20"/>
                <w:color w:val="auto"/>
              </w:rPr>
            </w:pPr>
            <w:r>
              <w:rPr>
                <w:rFonts w:ascii="Arial" w:cs="Arial" w:eastAsia="Arial" w:hAnsi="Arial"/>
                <w:sz w:val="14"/>
                <w:szCs w:val="14"/>
                <w:color w:val="auto"/>
                <w:w w:val="83"/>
              </w:rPr>
              <w:t>2010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1,564</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4,641</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4,641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6,205</w:t>
            </w:r>
          </w:p>
        </w:tc>
        <w:tc>
          <w:tcPr>
            <w:tcW w:w="0" w:type="dxa"/>
            <w:vAlign w:val="bottom"/>
          </w:tcPr>
          <w:p>
            <w:pPr>
              <w:spacing w:after="0"/>
              <w:rPr>
                <w:sz w:val="1"/>
                <w:szCs w:val="1"/>
                <w:color w:val="auto"/>
              </w:rPr>
            </w:pPr>
          </w:p>
        </w:tc>
      </w:tr>
      <w:tr>
        <w:trPr>
          <w:trHeight w:val="322"/>
        </w:trPr>
        <w:tc>
          <w:tcPr>
            <w:tcW w:w="4040" w:type="dxa"/>
            <w:vAlign w:val="bottom"/>
            <w:gridSpan w:val="3"/>
          </w:tcPr>
          <w:p>
            <w:pPr>
              <w:spacing w:after="0"/>
              <w:rPr>
                <w:sz w:val="20"/>
                <w:szCs w:val="20"/>
                <w:color w:val="auto"/>
              </w:rPr>
            </w:pPr>
            <w:r>
              <w:rPr>
                <w:rFonts w:ascii="Arial" w:cs="Arial" w:eastAsia="Arial" w:hAnsi="Arial"/>
                <w:sz w:val="18"/>
                <w:szCs w:val="18"/>
                <w:color w:val="auto"/>
              </w:rPr>
              <w:t>Planned offhire – scheduled drydock</w:t>
            </w:r>
          </w:p>
        </w:tc>
        <w:tc>
          <w:tcPr>
            <w:tcW w:w="4160" w:type="dxa"/>
            <w:vAlign w:val="bottom"/>
            <w:gridSpan w:val="3"/>
          </w:tcPr>
          <w:p>
            <w:pPr>
              <w:jc w:val="right"/>
              <w:ind w:right="320"/>
              <w:spacing w:after="0"/>
              <w:rPr>
                <w:sz w:val="20"/>
                <w:szCs w:val="20"/>
                <w:color w:val="auto"/>
              </w:rPr>
            </w:pPr>
            <w:r>
              <w:rPr>
                <w:rFonts w:ascii="Arial" w:cs="Arial" w:eastAsia="Arial" w:hAnsi="Arial"/>
                <w:sz w:val="18"/>
                <w:szCs w:val="18"/>
                <w:color w:val="auto"/>
              </w:rPr>
              <w:t>(58)</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(88)</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3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Operating days</w:t>
            </w:r>
          </w:p>
        </w:tc>
        <w:tc>
          <w:tcPr>
            <w:tcW w:w="3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40" w:type="dxa"/>
            <w:vAlign w:val="bottom"/>
            <w:gridSpan w:val="3"/>
            <w:vMerge w:val="continue"/>
          </w:tcPr>
          <w:p>
            <w:pPr>
              <w:spacing w:after="0"/>
              <w:rPr>
                <w:sz w:val="19"/>
                <w:szCs w:val="19"/>
                <w:color w:val="auto"/>
              </w:rPr>
            </w:pPr>
          </w:p>
        </w:tc>
        <w:tc>
          <w:tcPr>
            <w:tcW w:w="3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1,505</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1,564</w:t>
            </w:r>
          </w:p>
        </w:tc>
        <w:tc>
          <w:tcPr>
            <w:tcW w:w="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4,547</w:t>
            </w:r>
          </w:p>
        </w:tc>
        <w:tc>
          <w:tcPr>
            <w:tcW w:w="3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4,639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4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160" w:type="dxa"/>
            <w:vAlign w:val="bottom"/>
            <w:gridSpan w:val="3"/>
          </w:tcPr>
          <w:p>
            <w:pPr>
              <w:jc w:val="right"/>
              <w:ind w:right="2240"/>
              <w:spacing w:after="0"/>
              <w:rPr>
                <w:sz w:val="20"/>
                <w:szCs w:val="20"/>
                <w:color w:val="auto"/>
              </w:rPr>
            </w:pPr>
            <w:r>
              <w:rPr>
                <w:rFonts w:ascii="Arial" w:cs="Arial" w:eastAsia="Arial" w:hAnsi="Arial"/>
                <w:sz w:val="18"/>
                <w:szCs w:val="18"/>
                <w:color w:val="auto"/>
              </w:rPr>
              <w:t>Page 2</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drydocking of six vessels had been completed by September 30, 2011. The drydocking of one further vessel is scheduled to commence late December 2011.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2012, six vessels are scheduled to be drydocked. Two drydockings are scheduled for each of 2013 and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Vessel operating expenses, which include costs of crew, lubricating oil, spares and insurance, were $11.8 million for the three months ended September 30, 2011. The average cost per ownership day was $7,513, up $322 or 4.5% on $7,191 for the rolling four quarters ended June 30, 2011. The increase is due to increased crew wages, mainly from the third quarter 2010, as a result of inflation and adverse exchange rate movements as a portion of crew costs are denominated in euros, together with higher insurance deductibles and costs expensed in the three months ended September 30, 2011 relating to the drydockings. The third quarter 2011 average daily cost was up 7.45% from the average daily cost of $6,992 for the comparative period in 2010 due to higher insurance deductibles and costs incurred in connection with drydocking in third quarter 2011.</w:t>
      </w:r>
    </w:p>
    <w:p>
      <w:pPr>
        <w:spacing w:after="0" w:line="12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nine months ended September 30, 2011 vessel operating expenses were $34.0 million or an average of $7,337 per day compared to $30.7 million in the comparative period or $6,612 per day.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Depreciation of $10.1 million for the three months ended September 30, 2011 was the same as in the comparative period in 2010 as there were no changes to the fleet.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nine months ended September 30, 2011 was $30.1 million, compared to $30.0 million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General and administrative costs incurred were $1.8 million in the three months ended September 30, 2011, compared to $1.9 million for the comparable period in 2010.</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2011, general and administrative costs were $5.6 million compared to $5.8 million for the comparable period in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Purchase Options Expiration</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November 2010, the Company signed agreements with the sellers of two 4,250 TEU newbuildings to (i) terminate the Company’s obligations under contracts entered into in September 2008 to purchase the vessels on their delivery to the sellers by the builder, which was anticipated to be at the end of 2010 and (ii) grant the Company options to purchase the vessels on the first anniversary of their delivery by the builder to the sellers. The purchase of these vessels was always predicated on achieving a strong return for shareholders by acquiring the vessels, which had time charters attached, at an attractive price and with financing on favorable terms. As the Company considered it unlikely that it would be able to obtain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80" w:right="239" w:bottom="1440" w:gutter="0" w:footer="0" w:header="0"/>
        </w:sectPr>
      </w:pPr>
    </w:p>
    <w:bookmarkStart w:id="6" w:name="page7"/>
    <w:bookmarkEnd w:id="6"/>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committed finance on acceptable terms before the expiry of the options on September 16, 2011 for one vessel and October 4, 2011 for the other, intangible assets totaling $13.6 million relating to these options were written off in the second quarter 2011. Both purchase options were allowed to expire.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Other operating income in the three months ended September 30, 2011 was $0.0 million, compared to a loss of $0.4 million in the comparative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 2011, other operating income was $0.2 million, the same as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a result of the above, EBITDA was $25.2 million for the three months ended September 30, 2011 down from $26.8 million for the three months ended September 30,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nine months to September 30, 2011 was $77.1 million compared to $82.5 million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three months ended September 30, 2011 was $4.8 million. The Company’s borrowings under its credit facility averaged $509.0 million during the three months ended September 30, 2011. There were $48.0 million preferred shares throughout the period giving total average borrowings through the three months ended September 30, 2011 of $557.0 million. Interest expense in the comparative period in 2010 was $6.0 million on average borrowings, including the preferred shares, of $601.1 million.</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nine months ended September 30, 2011, interest expense, excluding the effect of interest rate derivatives which do not qualify for hedge accounting, was $15.4 million. The Company’s borrowings under its credit facility averaged $520.1 million during the nine months to September 30, 2011. There were $48.0 million preferred shares throughout the period. Interest expense for the nine months ended September 30, 2010 was $17.9 million based on average borrowings, including the preferred shares, of $622.4 million in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and nine months ended September 30, 2011 and 2010 was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Financial Instruments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As these hedges do not qualify for hedge accounting under US GAAP, the outstanding hedges are marked to market at each period end with any change in the fair value being booked to the income and expenditure account. The Company’s derivative hedging instruments gave a realized loss of $5.0 million in the three months ended September 30, 2011 for settlements of swaps in the period, as current LIBOR rates are lower than the average fixed rates. Further, there was $6.1 million unrealized loss for revaluation of the balance sheet position given current LIBOR and movements in the forward curve for interest rates. This compares to a realized loss of $4.1 million loss in the three months ended September 30, 2010 and an unrealized loss of $9.7 million.</w:t>
      </w:r>
    </w:p>
    <w:p>
      <w:pPr>
        <w:spacing w:after="0" w:line="12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the nine months ended September 30, 2011 the realized loss from hedges was $14.6 million and the unrealized loss was $4.9 million. This compares to a realized loss in the nine months ended September 30, 2010 of $12.4 million and an unrealized loss of $27.0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380"/>
          </w:cols>
          <w:pgMar w:left="240" w:top="280" w:right="279" w:bottom="1440" w:gutter="0" w:footer="0" w:header="0"/>
        </w:sectPr>
      </w:pPr>
    </w:p>
    <w:bookmarkStart w:id="7" w:name="page8"/>
    <w:bookmarkEnd w:id="7"/>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September 30, 2011, interest rate derivatives totaled $580.0 million against floating rate debt of $547.0 million, including the preferred shares. As a consequence, the Company is over hedged which arises from accelerated amortization of the credit facility debt and not incurring additional floating rate debt anticipated to be drawn in connection with the originally intended purchases of the two 4,250 TEU vessels at the end of 2010. $253.0 million of the interest rate derivatives expire mid March 2013. The total mark-to-market unrealized loss recognized as a liability on the balance sheet at September 30, 2011 was $49.4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Taxation for the three months ended September 30, 2011 was $0.2 million compared to $0.6 million in the comparative period which included $0.4 million tax relating to Marathon Acquisition Corp. for the period up to August 14, 2008.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nine months ended September 30, 2011 was $0.3 million compared to $0.6 million in the comparative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Income/Loss</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loss for the three months ended September 30, 2011 was $0.9 million after $6.1 million non-cash interest rate derivative mark-to-market loss. For the three months ended September 30, 2010 net loss was $3.5 million, after $9.7 million non-cash interest rate derivative mark-to-market loss. Normalized net income, excluding the effect of the non-cash interest rate derivative mark-to-market losses, was $5.2 million for the three months ended September 30, 2011 and $6.2 million for the three months ended September 30, 2010.</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loss was $1.8 million for the nine months ended September 30, 2011 after the non-cash impairment charge of $13.6 million and $4.9 million non-cash interest rate derivative mark-to-market loss. For the nine months ended September 30, 2010 net loss was $5.2 million including $27.0 million non-cash interest rate derivative mark-to-market loss. Normalized net income was $16.8 million for the nine months ended September 30, 2011 and $21.8 million for the nine months ended September 30,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container shipping industry is currently experiencing a significant cyclical downturn. One consequence is that there has been a recent decline in charter free market values of containerships. Whilst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next scheduled test of the Leverage Ratio is as at November 30, 2011 when the Company anticipates the Leverage Ratio will be between 75% and 90%. As a result of the Company’s stable business model which generates largely predictable cash flows from its long-term charters, the Leverage Ratio has little impact on operating performance.</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is in discussions with its lenders to amend the credit facility in respect to the Leverage Ratio. The Company was in compliance with all of its financial covenants at September 30, 2011 and at the date of issuance of the third quarter financial statements. Management expects that an amendment or waiver will be obtained and accordingly, the interim unaudited consolidated financial statements are prepared on a going concern basis. If the Company does not successfully amend the credit facility by November 30, 2011 or otherwise obtain a deferral or waiver of the requirement to perform the Leverage Ratio test as at that date, and its Leverage Ratio is above 75%, the lenders may declare an event of default and accelerate some or all of the debt or require the Company to provide additional security. Any amount of the long-term debt which is declared to be immediately repayable would be reclassified as a current liability.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28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three months ended September 30, 2011 a total of $10.0 million of debt was prepaid leaving a balance outstanding of $499.0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paying a dividend on common shares.</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order to achieve the objective of distributing sustainable dividends to shareholders over the long-term and grow the Company accretively, the Board of Directors reviews the Company’s dividend policy on a quarterly basis, taking into consideration capital structure, growth opportunities, industry fundamentals, asset value trends and future financial performance including cash flow, among others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September 30, 2011, about the on-the-water fleet of 17 vessels chartered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Capacity</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Purchase Date</w:t>
            </w: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Charter</w:t>
            </w:r>
          </w:p>
        </w:tc>
        <w:tc>
          <w:tcPr>
            <w:tcW w:w="16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in TEUs</w:t>
            </w:r>
          </w:p>
        </w:tc>
        <w:tc>
          <w:tcPr>
            <w:tcW w:w="720" w:type="dxa"/>
            <w:vAlign w:val="bottom"/>
            <w:gridSpan w:val="2"/>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1"/>
                <w:szCs w:val="11"/>
                <w:color w:val="auto"/>
              </w:rPr>
            </w:pPr>
          </w:p>
        </w:tc>
        <w:tc>
          <w:tcPr>
            <w:tcW w:w="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4"/>
        </w:trPr>
        <w:tc>
          <w:tcPr>
            <w:tcW w:w="780" w:type="dxa"/>
            <w:vAlign w:val="bottom"/>
            <w:tcBorders>
              <w:bottom w:val="single" w:sz="8" w:color="auto"/>
            </w:tcBorders>
          </w:tcPr>
          <w:p>
            <w:pPr>
              <w:spacing w:after="0" w:line="154" w:lineRule="exact"/>
              <w:rPr>
                <w:sz w:val="20"/>
                <w:szCs w:val="20"/>
                <w:color w:val="auto"/>
              </w:rPr>
            </w:pPr>
            <w:r>
              <w:rPr>
                <w:rFonts w:ascii="Arial" w:cs="Arial" w:eastAsia="Arial" w:hAnsi="Arial"/>
                <w:sz w:val="14"/>
                <w:szCs w:val="14"/>
                <w:b w:val="1"/>
                <w:bCs w:val="1"/>
                <w:color w:val="auto"/>
                <w:w w:val="87"/>
              </w:rPr>
              <w:t>Vessel Name</w:t>
            </w:r>
          </w:p>
        </w:tc>
        <w:tc>
          <w:tcPr>
            <w:tcW w:w="60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Pr>
          <w:p>
            <w:pPr>
              <w:spacing w:after="0"/>
              <w:rPr>
                <w:sz w:val="15"/>
                <w:szCs w:val="15"/>
                <w:color w:val="auto"/>
              </w:rPr>
            </w:pPr>
          </w:p>
        </w:tc>
        <w:tc>
          <w:tcPr>
            <w:tcW w:w="720" w:type="dxa"/>
            <w:vAlign w:val="bottom"/>
            <w:gridSpan w:val="2"/>
          </w:tcPr>
          <w:p>
            <w:pPr>
              <w:ind w:left="60"/>
              <w:spacing w:after="0" w:line="154" w:lineRule="exact"/>
              <w:rPr>
                <w:sz w:val="20"/>
                <w:szCs w:val="20"/>
                <w:color w:val="auto"/>
              </w:rPr>
            </w:pPr>
            <w:r>
              <w:rPr>
                <w:rFonts w:ascii="Arial" w:cs="Arial" w:eastAsia="Arial" w:hAnsi="Arial"/>
                <w:sz w:val="14"/>
                <w:szCs w:val="14"/>
                <w:b w:val="1"/>
                <w:bCs w:val="1"/>
                <w:color w:val="auto"/>
              </w:rPr>
              <w:t>Built</w:t>
            </w:r>
          </w:p>
        </w:tc>
        <w:tc>
          <w:tcPr>
            <w:tcW w:w="1460" w:type="dxa"/>
            <w:vAlign w:val="bottom"/>
            <w:gridSpan w:val="2"/>
          </w:tcPr>
          <w:p>
            <w:pPr>
              <w:jc w:val="center"/>
              <w:ind w:right="220"/>
              <w:spacing w:after="0" w:line="154" w:lineRule="exact"/>
              <w:rPr>
                <w:sz w:val="20"/>
                <w:szCs w:val="20"/>
                <w:color w:val="auto"/>
              </w:rPr>
            </w:pPr>
            <w:r>
              <w:rPr>
                <w:rFonts w:ascii="Arial" w:cs="Arial" w:eastAsia="Arial" w:hAnsi="Arial"/>
                <w:sz w:val="14"/>
                <w:szCs w:val="14"/>
                <w:b w:val="1"/>
                <w:bCs w:val="1"/>
                <w:color w:val="auto"/>
                <w:w w:val="89"/>
              </w:rPr>
              <w:t>by GSL</w:t>
            </w:r>
          </w:p>
        </w:tc>
        <w:tc>
          <w:tcPr>
            <w:tcW w:w="780" w:type="dxa"/>
            <w:vAlign w:val="bottom"/>
            <w:gridSpan w:val="2"/>
          </w:tcPr>
          <w:p>
            <w:pPr>
              <w:jc w:val="center"/>
              <w:ind w:right="140"/>
              <w:spacing w:after="0" w:line="154" w:lineRule="exact"/>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5"/>
                <w:szCs w:val="15"/>
                <w:color w:val="auto"/>
              </w:rPr>
            </w:pPr>
          </w:p>
        </w:tc>
        <w:tc>
          <w:tcPr>
            <w:tcW w:w="6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1997</w:t>
            </w:r>
          </w:p>
        </w:tc>
        <w:tc>
          <w:tcPr>
            <w:tcW w:w="3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2007</w:t>
            </w:r>
          </w:p>
        </w:tc>
        <w:tc>
          <w:tcPr>
            <w:tcW w:w="640" w:type="dxa"/>
            <w:vAlign w:val="bottom"/>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January 2008</w:t>
            </w: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11,040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11.25</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4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w:t>
            </w: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December 2008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11.25</w:t>
            </w:r>
          </w:p>
        </w:tc>
        <w:tc>
          <w:tcPr>
            <w:tcW w:w="74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August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will hold a conference call to discuss the Company’s results for the three months ended September 30, 2011 today, Monday, November 14,</w:t>
      </w:r>
    </w:p>
    <w:p>
      <w:pPr>
        <w:spacing w:after="0" w:line="38" w:lineRule="exact"/>
        <w:rPr>
          <w:sz w:val="20"/>
          <w:szCs w:val="20"/>
          <w:color w:val="auto"/>
        </w:rPr>
      </w:pPr>
    </w:p>
    <w:p>
      <w:pPr>
        <w:jc w:val="center"/>
        <w:ind w:right="5560"/>
        <w:spacing w:after="0"/>
        <w:rPr>
          <w:sz w:val="20"/>
          <w:szCs w:val="20"/>
          <w:color w:val="auto"/>
        </w:rPr>
      </w:pPr>
      <w:r>
        <w:rPr>
          <w:rFonts w:ascii="Arial" w:cs="Arial" w:eastAsia="Arial" w:hAnsi="Arial"/>
          <w:sz w:val="15"/>
          <w:szCs w:val="15"/>
          <w:color w:val="auto"/>
        </w:rPr>
        <w:t>2011 at 10:30 a.m. Eastern Time. There are two ways to access the conference call: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Dial-in: : (866) 966-9439 or (631) 510-7498; Passcode: 24175987</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8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 Live Internet webcast and slide presentation: </w:t>
      </w:r>
      <w:r>
        <w:rPr>
          <w:rFonts w:ascii="Arial" w:cs="Arial" w:eastAsia="Arial" w:hAnsi="Arial"/>
          <w:sz w:val="18"/>
          <w:szCs w:val="18"/>
          <w:u w:val="single" w:color="auto"/>
          <w:color w:val="auto"/>
        </w:rPr>
        <w:t>http://www.globalshiplease.com</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are unable to participate at this time, a replay of the call will be available through Monday, November 28, 2011 at (866) 247-4222 or</w:t>
      </w:r>
    </w:p>
    <w:p>
      <w:pPr>
        <w:spacing w:after="0" w:line="38" w:lineRule="exact"/>
        <w:rPr>
          <w:sz w:val="20"/>
          <w:szCs w:val="20"/>
          <w:color w:val="auto"/>
        </w:rPr>
      </w:pPr>
    </w:p>
    <w:p>
      <w:pPr>
        <w:ind w:left="920" w:right="1220" w:firstLine="1"/>
        <w:spacing w:after="0" w:line="261" w:lineRule="auto"/>
        <w:tabs>
          <w:tab w:leader="none" w:pos="13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510-7499. Enter the code 24175987 to access the audio replay. The webcast will also be archived on the Company’s website: </w:t>
      </w:r>
      <w:r>
        <w:rPr>
          <w:rFonts w:ascii="Arial" w:cs="Arial" w:eastAsia="Arial" w:hAnsi="Arial"/>
          <w:sz w:val="18"/>
          <w:szCs w:val="18"/>
          <w:u w:val="single" w:color="auto"/>
          <w:color w:val="auto"/>
        </w:rPr>
        <w:t>http://www.globalshiplease.com</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Global Ship Lease, Inc has filed its Annual Report for 2010 with the Securities and Exchange Commission. A copy of the report can be found under the Investor Relations section (Annual Reports) of the Company’s website at </w:t>
      </w:r>
      <w:r>
        <w:rPr>
          <w:rFonts w:ascii="Arial" w:cs="Arial" w:eastAsia="Arial" w:hAnsi="Arial"/>
          <w:sz w:val="16"/>
          <w:szCs w:val="16"/>
          <w:u w:val="single" w:color="auto"/>
          <w:color w:val="auto"/>
        </w:rPr>
        <w:t>http://www.globalshiplease.com</w:t>
      </w:r>
      <w:r>
        <w:rPr>
          <w:rFonts w:ascii="Arial" w:cs="Arial" w:eastAsia="Arial" w:hAnsi="Arial"/>
          <w:sz w:val="16"/>
          <w:szCs w:val="16"/>
          <w:color w:val="auto"/>
        </w:rPr>
        <w:t xml:space="preserve">. Shareholders may request a hard copy of the audited financial statements free of charge by contacting the Company at </w:t>
      </w:r>
      <w:r>
        <w:rPr>
          <w:rFonts w:ascii="Arial" w:cs="Arial" w:eastAsia="Arial" w:hAnsi="Arial"/>
          <w:sz w:val="16"/>
          <w:szCs w:val="16"/>
          <w:u w:val="single" w:color="auto"/>
          <w:color w:val="auto"/>
        </w:rPr>
        <w:t>info@globalshiplease.com</w:t>
      </w:r>
      <w:r>
        <w:rPr>
          <w:rFonts w:ascii="Arial" w:cs="Arial" w:eastAsia="Arial" w:hAnsi="Arial"/>
          <w:sz w:val="16"/>
          <w:szCs w:val="16"/>
          <w:color w:val="auto"/>
        </w:rPr>
        <w:t xml:space="preserve"> or by writing to Global Ship Lease, Inc, care of Global Ship Lease Services Limited, Portland House, Stag Place, London SW1E 5RS or by telephoning +44 (0) 207 869 8806.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8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Global Ship Lease owns 17 vessels with a total capacity of 66,349 TEU with an average age, weighted by TEU capacity, at September 30, 2011 of 7.6 years. All of the current vessels are fixed on long-term charters to CMA CGM with an average remaining term of 7.3 years, or 8.6 years on a weighted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EBITDA</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EBITDA represents Net income (loss) before interest income and expense including amortization of deferred finance costs, realized and unrealized gain (loss) on derivatives, income taxes, depreciation, amortization and impairment charges. EBITDA is a non-US GAAP quantitative measure used to assist in the assessment of the Company’s ability to generate cash from its operations. We believe that the presentation of EBITDA is useful to investors because it is frequently used by securities analysts, investors and other interested parties in the evaluation of companies in our industry. EBITDA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81"/>
              </w:rPr>
              <w:t>Three</w:t>
            </w:r>
          </w:p>
        </w:tc>
        <w:tc>
          <w:tcPr>
            <w:tcW w:w="84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Nine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months</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7"/>
              </w:rPr>
              <w:t>ended</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Sept 30,</w:t>
            </w: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4"/>
              </w:rPr>
              <w:t>Sept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620" w:type="dxa"/>
            <w:vAlign w:val="bottom"/>
            <w:gridSpan w:val="2"/>
          </w:tcPr>
          <w:p>
            <w:pPr>
              <w:jc w:val="center"/>
              <w:ind w:left="2994"/>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30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(3,526)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322"/>
        </w:trPr>
        <w:tc>
          <w:tcPr>
            <w:tcW w:w="422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10,117</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10,100</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30,055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29,955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30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13,645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940" w:type="dxa"/>
            <w:vAlign w:val="bottom"/>
            <w:gridSpan w:val="3"/>
          </w:tcPr>
          <w:p>
            <w:pPr>
              <w:jc w:val="right"/>
              <w:ind w:right="26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15,428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Realized loss on interest rate derivatives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4,953</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4,054</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14,605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interest rate derivatives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27,032</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Income tax</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0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25,163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26,803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77,124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82,501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940" w:type="dxa"/>
            <w:vAlign w:val="bottom"/>
            <w:gridSpan w:val="3"/>
          </w:tcPr>
          <w:p>
            <w:pPr>
              <w:jc w:val="right"/>
              <w:ind w:right="2660"/>
              <w:spacing w:after="0"/>
              <w:rPr>
                <w:sz w:val="20"/>
                <w:szCs w:val="20"/>
                <w:color w:val="auto"/>
              </w:rPr>
            </w:pPr>
            <w:r>
              <w:rPr>
                <w:rFonts w:ascii="Arial" w:cs="Arial" w:eastAsia="Arial" w:hAnsi="Arial"/>
                <w:sz w:val="18"/>
                <w:szCs w:val="18"/>
                <w:color w:val="auto"/>
              </w:rPr>
              <w:t>Page 7</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Normalized net income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NORMALIZED NET INCOME—UNAUDITED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Three</w:t>
            </w:r>
          </w:p>
        </w:tc>
        <w:tc>
          <w:tcPr>
            <w:tcW w:w="8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Nine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months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2"/>
              </w:rPr>
              <w:t>ended</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2"/>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4"/>
              </w:rPr>
              <w:t>Sept 30,</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Sept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46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2011</w:t>
            </w:r>
          </w:p>
        </w:tc>
        <w:tc>
          <w:tcPr>
            <w:tcW w:w="320" w:type="dxa"/>
            <w:vAlign w:val="bottom"/>
          </w:tcPr>
          <w:p>
            <w:pPr>
              <w:spacing w:after="0"/>
              <w:rPr>
                <w:sz w:val="13"/>
                <w:szCs w:val="13"/>
                <w:color w:val="auto"/>
              </w:rPr>
            </w:pPr>
          </w:p>
        </w:tc>
        <w:tc>
          <w:tcPr>
            <w:tcW w:w="5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2010</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(3,526)</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323"/>
        </w:trPr>
        <w:tc>
          <w:tcPr>
            <w:tcW w:w="7400" w:type="dxa"/>
            <w:vAlign w:val="bottom"/>
            <w:gridSpan w:val="2"/>
          </w:tcPr>
          <w:p>
            <w:pPr>
              <w:spacing w:after="0"/>
              <w:rPr>
                <w:sz w:val="20"/>
                <w:szCs w:val="20"/>
                <w:color w:val="auto"/>
              </w:rPr>
            </w:pPr>
            <w:r>
              <w:rPr>
                <w:rFonts w:ascii="Arial" w:cs="Arial" w:eastAsia="Arial" w:hAnsi="Arial"/>
                <w:sz w:val="18"/>
                <w:szCs w:val="18"/>
                <w:color w:val="auto"/>
              </w:rPr>
              <w:t>Adjust: Change in value of derivatives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6,090</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9,699</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4,930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27,032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13,645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400" w:type="dxa"/>
            <w:vAlign w:val="bottom"/>
            <w:gridSpan w:val="2"/>
          </w:tcPr>
          <w:p>
            <w:pPr>
              <w:spacing w:after="0"/>
              <w:rPr>
                <w:sz w:val="20"/>
                <w:szCs w:val="20"/>
                <w:color w:val="auto"/>
              </w:rPr>
            </w:pPr>
            <w:r>
              <w:rPr>
                <w:rFonts w:ascii="Arial" w:cs="Arial" w:eastAsia="Arial" w:hAnsi="Arial"/>
                <w:sz w:val="18"/>
                <w:szCs w:val="18"/>
                <w:color w:val="auto"/>
              </w:rPr>
              <w:t>Normalized net income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5,155</w:t>
            </w: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6,173</w:t>
            </w:r>
          </w:p>
        </w:tc>
        <w:tc>
          <w:tcPr>
            <w:tcW w:w="3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16,786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80"/>
          </w:cols>
          <w:pgMar w:left="240" w:top="280" w:right="27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17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00"/>
          </w:cols>
          <w:pgMar w:left="240" w:top="280" w:right="259" w:bottom="1440" w:gutter="0" w:footer="0" w:header="0"/>
        </w:sectPr>
      </w:pPr>
    </w:p>
    <w:bookmarkStart w:id="12" w:name="page13"/>
    <w:bookmarkEnd w:id="1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00"/>
          </w:cols>
          <w:pgMar w:left="240" w:top="280"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7"/>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Time charter revenue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38,676</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40,040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116,554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118,802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11,750</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1,924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operating (income)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66,256</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4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15,046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16,703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(4,760)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(4,953)</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interest rate derivatives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Taxes</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4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4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(935)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(3,526)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(1,789)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47,211,396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46,852,478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47,195,676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46,837,885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47,211,396</w:t>
            </w:r>
          </w:p>
        </w:tc>
        <w:tc>
          <w:tcPr>
            <w:tcW w:w="1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46,852,478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47,195,676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46,837,885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20"/>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7,405,956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323"/>
        </w:trPr>
        <w:tc>
          <w:tcPr>
            <w:tcW w:w="540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38,554</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28,360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6,823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50,692</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16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900,167</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922,498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Intangible assets – vessel purchase options</w:t>
            </w: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903,429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954,121</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2,119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71,636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71,383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458,953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Preferred shares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31,721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26,637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559,254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630,890</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656,458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 authorized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214,000,000 shares with a $0.01 par value;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47,395,228 shares issued and outstanding (2010 – 47,130,467)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Class B Common stock – authorized</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20,000,000 shares with a $0.01 par value;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7,405,956 shares issued and outstanding (2010 – 7,405,956)</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351,748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(29,065)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323,231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324,564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954,121</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ind w:right="-19"/>
        <w:spacing w:after="0"/>
        <w:rPr>
          <w:sz w:val="20"/>
          <w:szCs w:val="20"/>
          <w:color w:val="auto"/>
        </w:rPr>
      </w:pPr>
      <w:r>
        <w:rPr>
          <w:rFonts w:ascii="Arial" w:cs="Arial" w:eastAsia="Arial" w:hAnsi="Arial"/>
          <w:sz w:val="15"/>
          <w:szCs w:val="15"/>
          <w:color w:val="auto"/>
        </w:rPr>
        <w:t>Page 12</w:t>
      </w:r>
    </w:p>
    <w:p>
      <w:pPr>
        <w:sectPr>
          <w:pgSz w:w="11900" w:h="16838" w:orient="portrait"/>
          <w:cols w:equalWidth="0" w:num="1">
            <w:col w:w="11420"/>
          </w:cols>
          <w:pgMar w:left="240" w:top="274"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7"/>
              </w:rPr>
              <w:t>Three months ended September 30,</w:t>
            </w:r>
          </w:p>
        </w:tc>
        <w:tc>
          <w:tcPr>
            <w:tcW w:w="22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(935)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(3,526)</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(1,789)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10,117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 and other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24,973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18,464</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63,808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63,656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(4,953)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(4,054)</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(14,605)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(3,715)</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(16,235)</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(8,730)</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(20,458)</w:t>
            </w:r>
          </w:p>
        </w:tc>
        <w:tc>
          <w:tcPr>
            <w:tcW w:w="2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(19,798)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(30,080)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Repayment of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(33,816)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(35,051)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(35,051)</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6,243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30,810</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440" w:type="dxa"/>
            <w:vAlign w:val="bottom"/>
            <w:gridSpan w:val="2"/>
            <w:vMerge w:val="continue"/>
          </w:tcPr>
          <w:p>
            <w:pPr>
              <w:spacing w:after="0"/>
              <w:rPr>
                <w:sz w:val="24"/>
                <w:szCs w:val="24"/>
                <w:color w:val="auto"/>
              </w:rPr>
            </w:pP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38,554</w:t>
            </w:r>
          </w:p>
        </w:tc>
        <w:tc>
          <w:tcPr>
            <w:tcW w:w="3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29,335</w:t>
            </w:r>
          </w:p>
        </w:tc>
        <w:tc>
          <w:tcPr>
            <w:tcW w:w="28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38,554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44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16,806</w:t>
            </w:r>
          </w:p>
        </w:tc>
        <w:tc>
          <w:tcPr>
            <w:tcW w:w="0" w:type="dxa"/>
            <w:vAlign w:val="bottom"/>
          </w:tcPr>
          <w:p>
            <w:pPr>
              <w:spacing w:after="0"/>
              <w:rPr>
                <w:sz w:val="1"/>
                <w:szCs w:val="1"/>
                <w:color w:val="auto"/>
              </w:rPr>
            </w:pPr>
          </w:p>
        </w:tc>
      </w:tr>
      <w:tr>
        <w:trPr>
          <w:trHeight w:val="322"/>
        </w:trPr>
        <w:tc>
          <w:tcPr>
            <w:tcW w:w="644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5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vMerge w:val="restart"/>
          </w:tcPr>
          <w:p>
            <w:pPr>
              <w:ind w:left="5420"/>
              <w:spacing w:after="0"/>
              <w:rPr>
                <w:sz w:val="20"/>
                <w:szCs w:val="20"/>
                <w:color w:val="auto"/>
              </w:rPr>
            </w:pPr>
            <w:r>
              <w:rPr>
                <w:rFonts w:ascii="Arial" w:cs="Arial" w:eastAsia="Arial" w:hAnsi="Arial"/>
                <w:sz w:val="18"/>
                <w:szCs w:val="18"/>
                <w:color w:val="auto"/>
              </w:rPr>
              <w:t>Page 13</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INTERIM UNAUDITED CONSOLIDATED FINANCIAL STATEMENTS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THREE AND NINE MONTH PERIODS ENDED SEPTEMBER 30, 2011</w:t>
      </w:r>
    </w:p>
    <w:p>
      <w:pPr>
        <w:sectPr>
          <w:pgSz w:w="11900" w:h="16838" w:orient="portrait"/>
          <w:cols w:equalWidth="0" w:num="1">
            <w:col w:w="10220"/>
          </w:cols>
          <w:pgMar w:left="14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auto"/>
              </w:rPr>
              <w:t>Note</w:t>
            </w:r>
          </w:p>
        </w:tc>
        <w:tc>
          <w:tcPr>
            <w:tcW w:w="180" w:type="dxa"/>
            <w:vAlign w:val="bottom"/>
          </w:tcPr>
          <w:p>
            <w:pPr>
              <w:spacing w:after="0"/>
              <w:rPr>
                <w:sz w:val="15"/>
                <w:szCs w:val="15"/>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38,554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28,360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Accounts receivable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6,823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receivables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0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680" w:type="dxa"/>
            <w:vAlign w:val="bottom"/>
          </w:tcPr>
          <w:p>
            <w:pPr>
              <w:jc w:val="center"/>
              <w:ind w:right="134"/>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900,167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922,498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Intangible assets – vessel purchase options</w:t>
            </w:r>
          </w:p>
        </w:tc>
        <w:tc>
          <w:tcPr>
            <w:tcW w:w="680" w:type="dxa"/>
            <w:vAlign w:val="bottom"/>
          </w:tcPr>
          <w:p>
            <w:pPr>
              <w:jc w:val="center"/>
              <w:ind w:right="134"/>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other</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903,429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940,044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954,121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981,022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Accrued expenses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71,636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71,383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99"/>
              </w:rPr>
              <w:t>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458,953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488,269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Preferred shares</w:t>
            </w:r>
          </w:p>
        </w:tc>
        <w:tc>
          <w:tcPr>
            <w:tcW w:w="680" w:type="dxa"/>
            <w:vAlign w:val="bottom"/>
          </w:tcPr>
          <w:p>
            <w:pPr>
              <w:jc w:val="center"/>
              <w:ind w:right="134"/>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Derivative instruments</w:t>
            </w:r>
          </w:p>
        </w:tc>
        <w:tc>
          <w:tcPr>
            <w:tcW w:w="680" w:type="dxa"/>
            <w:vAlign w:val="bottom"/>
          </w:tcPr>
          <w:p>
            <w:pPr>
              <w:jc w:val="center"/>
              <w:ind w:right="134"/>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31,721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559,254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630,890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656,458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680" w:type="dxa"/>
            <w:vAlign w:val="bottom"/>
            <w:shd w:val="clear" w:color="auto" w:fill="CCEEFF"/>
          </w:tcPr>
          <w:p>
            <w:pPr>
              <w:jc w:val="center"/>
              <w:ind w:right="134"/>
              <w:spacing w:after="0"/>
              <w:rPr>
                <w:sz w:val="20"/>
                <w:szCs w:val="20"/>
                <w:color w:val="auto"/>
              </w:rPr>
            </w:pPr>
            <w:r>
              <w:rPr>
                <w:rFonts w:ascii="Arial" w:cs="Arial" w:eastAsia="Arial" w:hAnsi="Arial"/>
                <w:sz w:val="18"/>
                <w:szCs w:val="18"/>
                <w:color w:val="auto"/>
                <w:w w:val="99"/>
              </w:rPr>
              <w:t>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8580" w:type="dxa"/>
            <w:vAlign w:val="bottom"/>
          </w:tcPr>
          <w:p>
            <w:pPr>
              <w:jc w:val="center"/>
              <w:ind w:left="271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80" w:type="dxa"/>
            <w:vAlign w:val="bottom"/>
          </w:tcPr>
          <w:p>
            <w:pPr>
              <w:jc w:val="center"/>
              <w:ind w:left="2732"/>
              <w:spacing w:after="0"/>
              <w:rPr>
                <w:sz w:val="20"/>
                <w:szCs w:val="20"/>
                <w:color w:val="auto"/>
              </w:rPr>
            </w:pPr>
            <w:r>
              <w:rPr>
                <w:rFonts w:ascii="Arial" w:cs="Arial" w:eastAsia="Arial" w:hAnsi="Arial"/>
                <w:sz w:val="18"/>
                <w:szCs w:val="18"/>
                <w:color w:val="auto"/>
                <w:w w:val="84"/>
              </w:rPr>
              <w:t>Page 1</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7"/>
              </w:rPr>
              <w:t>Note</w:t>
            </w:r>
          </w:p>
        </w:tc>
        <w:tc>
          <w:tcPr>
            <w:tcW w:w="1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100" w:type="dxa"/>
            <w:vAlign w:val="bottom"/>
            <w:gridSpan w:val="2"/>
          </w:tcPr>
          <w:p>
            <w:pPr>
              <w:spacing w:after="0"/>
              <w:rPr>
                <w:sz w:val="20"/>
                <w:szCs w:val="20"/>
                <w:color w:val="auto"/>
              </w:rPr>
            </w:pPr>
            <w:r>
              <w:rPr>
                <w:rFonts w:ascii="Arial" w:cs="Arial" w:eastAsia="Arial" w:hAnsi="Arial"/>
                <w:sz w:val="18"/>
                <w:szCs w:val="18"/>
                <w:color w:val="auto"/>
                <w:w w:val="91"/>
              </w:rPr>
              <w:t>Class A Common stock – authorized 214,000,000 shares with a $0.01 par value; 47,395,228 shares issued and</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outstanding (2010 – 47,130,467)</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474</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2"/>
              </w:rPr>
              <w:t>Class B Common stock – authorized 20,000,000 shares with a $0.01 par value; 7,405,956 shares issued and</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(2010 – 7,405,956)</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81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351,748</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351,295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(29,065)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(27,276)</w:t>
            </w:r>
          </w:p>
        </w:tc>
        <w:tc>
          <w:tcPr>
            <w:tcW w:w="0" w:type="dxa"/>
            <w:vAlign w:val="bottom"/>
          </w:tcPr>
          <w:p>
            <w:pPr>
              <w:spacing w:after="0"/>
              <w:rPr>
                <w:sz w:val="1"/>
                <w:szCs w:val="1"/>
                <w:color w:val="auto"/>
              </w:rPr>
            </w:pPr>
          </w:p>
        </w:tc>
      </w:tr>
      <w:tr>
        <w:trPr>
          <w:trHeight w:val="330"/>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06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323,231</w:t>
            </w:r>
          </w:p>
        </w:tc>
        <w:tc>
          <w:tcPr>
            <w:tcW w:w="54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324,564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954,121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981,022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80" w:type="dxa"/>
            <w:vAlign w:val="bottom"/>
            <w:vMerge w:val="restart"/>
          </w:tcPr>
          <w:p>
            <w:pPr>
              <w:ind w:left="540"/>
              <w:spacing w:after="0"/>
              <w:rPr>
                <w:sz w:val="20"/>
                <w:szCs w:val="20"/>
                <w:color w:val="auto"/>
              </w:rPr>
            </w:pPr>
            <w:r>
              <w:rPr>
                <w:rFonts w:ascii="Arial" w:cs="Arial" w:eastAsia="Arial" w:hAnsi="Arial"/>
                <w:sz w:val="14"/>
                <w:szCs w:val="14"/>
                <w:color w:val="auto"/>
              </w:rPr>
              <w:t>Note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Time charter revenue</w:t>
            </w:r>
          </w:p>
        </w:tc>
        <w:tc>
          <w:tcPr>
            <w:tcW w:w="9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38,676</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40,040</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116,554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118,802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operating (income) loss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15,046</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16,703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52,546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(4,760)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(4,953)</w:t>
            </w:r>
          </w:p>
        </w:tc>
        <w:tc>
          <w:tcPr>
            <w:tcW w:w="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(14,605)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interest rate derivatives</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(6,090)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(9,699)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before Income Taxes</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1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(1,789)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A common shares outstanding</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47,211,396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46,852,478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47,195,676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46,837,885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tcPr>
          <w:p>
            <w:pPr>
              <w:jc w:val="center"/>
              <w:ind w:left="274"/>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47,211,396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46,852,478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47,195,676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46,837,885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in $ per Class A common share</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Basic</w:t>
            </w:r>
          </w:p>
        </w:tc>
        <w:tc>
          <w:tcPr>
            <w:tcW w:w="980" w:type="dxa"/>
            <w:vAlign w:val="bottom"/>
          </w:tcPr>
          <w:p>
            <w:pPr>
              <w:jc w:val="center"/>
              <w:ind w:left="274"/>
              <w:spacing w:after="0"/>
              <w:rPr>
                <w:sz w:val="20"/>
                <w:szCs w:val="20"/>
                <w:color w:val="auto"/>
              </w:rPr>
            </w:pPr>
            <w:r>
              <w:rPr>
                <w:rFonts w:ascii="Arial" w:cs="Arial" w:eastAsia="Arial" w:hAnsi="Arial"/>
                <w:sz w:val="18"/>
                <w:szCs w:val="18"/>
                <w:color w:val="auto"/>
                <w:w w:val="89"/>
              </w:rPr>
              <w:t>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Weighted average number of Class B common shares outstanding</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7,405,956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32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in $ per Class B common share</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98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89"/>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4"/>
                <w:szCs w:val="14"/>
                <w:color w:val="auto"/>
              </w:rPr>
            </w:pPr>
          </w:p>
        </w:tc>
        <w:tc>
          <w:tcPr>
            <w:tcW w:w="16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6"/>
          </w:tcPr>
          <w:p>
            <w:pPr>
              <w:jc w:val="right"/>
              <w:ind w:right="70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62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14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Note</w:t>
            </w: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(935)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(3,526)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Adjustments to Reconcile Net (Loss) to Net Cash Provided by Operating Activities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Depreciation</w:t>
            </w:r>
          </w:p>
        </w:tc>
        <w:tc>
          <w:tcPr>
            <w:tcW w:w="1040" w:type="dxa"/>
            <w:vAlign w:val="bottom"/>
          </w:tcPr>
          <w:p>
            <w:pPr>
              <w:jc w:val="center"/>
              <w:ind w:left="294"/>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10,100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4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9"/>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104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04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89"/>
              </w:rPr>
              <w:t>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40" w:type="dxa"/>
            <w:vAlign w:val="bottom"/>
          </w:tcPr>
          <w:p>
            <w:pPr>
              <w:jc w:val="center"/>
              <w:ind w:left="294"/>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 and other assets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24,973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18,464</w:t>
            </w:r>
          </w:p>
        </w:tc>
        <w:tc>
          <w:tcPr>
            <w:tcW w:w="30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63,808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63,656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1040" w:type="dxa"/>
            <w:vAlign w:val="bottom"/>
          </w:tcPr>
          <w:p>
            <w:pPr>
              <w:jc w:val="center"/>
              <w:ind w:left="294"/>
              <w:spacing w:after="0"/>
              <w:rPr>
                <w:sz w:val="20"/>
                <w:szCs w:val="20"/>
                <w:color w:val="auto"/>
              </w:rPr>
            </w:pPr>
            <w:r>
              <w:rPr>
                <w:rFonts w:ascii="Arial" w:cs="Arial" w:eastAsia="Arial" w:hAnsi="Arial"/>
                <w:sz w:val="18"/>
                <w:szCs w:val="18"/>
                <w:color w:val="auto"/>
                <w:w w:val="89"/>
              </w:rPr>
              <w:t>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(4,953)</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(14,605)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fixed assets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Cash paid to acquire intangible assets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purchases of vessels, vessel prepayments and vessel deposits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Costs relating to drydockings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(16,235)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(16,235)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67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(8,730)</w:t>
            </w: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(20,458)</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(19,798)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(30,080)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Repayment of debt</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(10,000)</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(33,816)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(35,051)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(10,000)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(33,816)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(35,051)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7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6,243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10,194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31,329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38,554</w:t>
            </w:r>
          </w:p>
        </w:tc>
        <w:tc>
          <w:tcPr>
            <w:tcW w:w="2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29,335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38,554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40" w:type="dxa"/>
            <w:vAlign w:val="bottom"/>
            <w:gridSpan w:val="2"/>
          </w:tcPr>
          <w:p>
            <w:pPr>
              <w:spacing w:after="0"/>
              <w:rPr>
                <w:sz w:val="20"/>
                <w:szCs w:val="20"/>
                <w:color w:val="auto"/>
              </w:rPr>
            </w:pPr>
            <w:r>
              <w:rPr>
                <w:rFonts w:ascii="Arial" w:cs="Arial" w:eastAsia="Arial" w:hAnsi="Arial"/>
                <w:sz w:val="18"/>
                <w:szCs w:val="18"/>
                <w:color w:val="auto"/>
              </w:rPr>
              <w:t>Non cash investing and financing activities</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14,844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16,806</w:t>
            </w:r>
          </w:p>
        </w:tc>
        <w:tc>
          <w:tcPr>
            <w:tcW w:w="0" w:type="dxa"/>
            <w:vAlign w:val="bottom"/>
          </w:tcPr>
          <w:p>
            <w:pPr>
              <w:spacing w:after="0"/>
              <w:rPr>
                <w:sz w:val="1"/>
                <w:szCs w:val="1"/>
                <w:color w:val="auto"/>
              </w:rPr>
            </w:pPr>
          </w:p>
        </w:tc>
      </w:tr>
      <w:tr>
        <w:trPr>
          <w:trHeight w:val="323"/>
        </w:trPr>
        <w:tc>
          <w:tcPr>
            <w:tcW w:w="6740" w:type="dxa"/>
            <w:vAlign w:val="bottom"/>
            <w:gridSpan w:val="2"/>
          </w:tcPr>
          <w:p>
            <w:pPr>
              <w:spacing w:after="0"/>
              <w:rPr>
                <w:sz w:val="20"/>
                <w:szCs w:val="20"/>
                <w:color w:val="auto"/>
              </w:rPr>
            </w:pPr>
            <w:r>
              <w:rPr>
                <w:rFonts w:ascii="Arial" w:cs="Arial" w:eastAsia="Arial" w:hAnsi="Arial"/>
                <w:sz w:val="18"/>
                <w:szCs w:val="18"/>
                <w:color w:val="auto"/>
              </w:rPr>
              <w:t>Income tax paid</w:t>
            </w:r>
          </w:p>
        </w:tc>
        <w:tc>
          <w:tcPr>
            <w:tcW w:w="1040" w:type="dxa"/>
            <w:vAlign w:val="bottom"/>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720" w:type="dxa"/>
            <w:vAlign w:val="bottom"/>
            <w:gridSpan w:val="7"/>
          </w:tcPr>
          <w:p>
            <w:pPr>
              <w:jc w:val="center"/>
              <w:ind w:left="2572"/>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20" w:type="dxa"/>
            <w:vAlign w:val="bottom"/>
          </w:tcPr>
          <w:p>
            <w:pPr>
              <w:jc w:val="center"/>
              <w:ind w:left="4592"/>
              <w:spacing w:after="0"/>
              <w:rPr>
                <w:sz w:val="20"/>
                <w:szCs w:val="20"/>
                <w:color w:val="auto"/>
              </w:rPr>
            </w:pPr>
            <w:r>
              <w:rPr>
                <w:rFonts w:ascii="Arial" w:cs="Arial" w:eastAsia="Arial" w:hAnsi="Arial"/>
                <w:sz w:val="18"/>
                <w:szCs w:val="18"/>
                <w:color w:val="auto"/>
                <w:w w:val="84"/>
              </w:rPr>
              <w:t>Page 4</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Stockholders’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Number of Common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Additional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Stock at $0.01</w:t>
            </w:r>
          </w:p>
        </w:tc>
        <w:tc>
          <w:tcPr>
            <w:tcW w:w="180" w:type="dxa"/>
            <w:vAlign w:val="bottom"/>
          </w:tcPr>
          <w:p>
            <w:pPr>
              <w:spacing w:after="0"/>
              <w:rPr>
                <w:sz w:val="12"/>
                <w:szCs w:val="12"/>
                <w:color w:val="auto"/>
              </w:rPr>
            </w:pPr>
          </w:p>
        </w:tc>
        <w:tc>
          <w:tcPr>
            <w:tcW w:w="5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Common</w:t>
            </w:r>
          </w:p>
        </w:tc>
        <w:tc>
          <w:tcPr>
            <w:tcW w:w="40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Paid in</w:t>
            </w: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3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4"/>
              </w:rPr>
              <w:t>Par value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ind w:left="20"/>
              <w:spacing w:after="0" w:line="159" w:lineRule="exact"/>
              <w:rPr>
                <w:sz w:val="20"/>
                <w:szCs w:val="20"/>
                <w:color w:val="auto"/>
              </w:rPr>
            </w:pPr>
            <w:r>
              <w:rPr>
                <w:rFonts w:ascii="Arial" w:cs="Arial" w:eastAsia="Arial" w:hAnsi="Arial"/>
                <w:sz w:val="14"/>
                <w:szCs w:val="14"/>
                <w:color w:val="auto"/>
              </w:rPr>
              <w:t>Stock</w:t>
            </w:r>
          </w:p>
        </w:tc>
        <w:tc>
          <w:tcPr>
            <w:tcW w:w="400" w:type="dxa"/>
            <w:vAlign w:val="bottom"/>
          </w:tcPr>
          <w:p>
            <w:pPr>
              <w:spacing w:after="0"/>
              <w:rPr>
                <w:sz w:val="13"/>
                <w:szCs w:val="13"/>
                <w:color w:val="auto"/>
              </w:rPr>
            </w:pPr>
          </w:p>
        </w:tc>
        <w:tc>
          <w:tcPr>
            <w:tcW w:w="10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332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2009</w:t>
            </w:r>
          </w:p>
        </w:tc>
        <w:tc>
          <w:tcPr>
            <w:tcW w:w="4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54,086,150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$350,319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(23,305)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332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4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450,273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4</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332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(3,971)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2010</w:t>
            </w:r>
          </w:p>
        </w:tc>
        <w:tc>
          <w:tcPr>
            <w:tcW w:w="4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54,536,423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545</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$351,295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(27,276)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322"/>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11)</w:t>
            </w:r>
          </w:p>
        </w:tc>
        <w:tc>
          <w:tcPr>
            <w:tcW w:w="332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 9)</w:t>
            </w:r>
          </w:p>
        </w:tc>
        <w:tc>
          <w:tcPr>
            <w:tcW w:w="4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264,761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3</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332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at September 30, 2011</w:t>
            </w:r>
          </w:p>
        </w:tc>
        <w:tc>
          <w:tcPr>
            <w:tcW w:w="3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54,801,184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548</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351,748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(29,065)</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820" w:type="dxa"/>
            <w:vAlign w:val="bottom"/>
            <w:gridSpan w:val="9"/>
          </w:tcPr>
          <w:p>
            <w:pPr>
              <w:jc w:val="center"/>
              <w:ind w:right="600"/>
              <w:spacing w:after="0"/>
              <w:rPr>
                <w:sz w:val="20"/>
                <w:szCs w:val="20"/>
                <w:color w:val="auto"/>
              </w:rPr>
            </w:pPr>
            <w:r>
              <w:rPr>
                <w:rFonts w:ascii="Arial" w:cs="Arial" w:eastAsia="Arial" w:hAnsi="Arial"/>
                <w:sz w:val="18"/>
                <w:szCs w:val="18"/>
                <w:color w:val="auto"/>
                <w:w w:val="87"/>
              </w:rPr>
              <w:t>See accompanying notes to interim unaudited consolidated financial statements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60" w:type="dxa"/>
            <w:vAlign w:val="bottom"/>
            <w:gridSpan w:val="3"/>
          </w:tcPr>
          <w:p>
            <w:pPr>
              <w:jc w:val="center"/>
              <w:ind w:left="1492"/>
              <w:spacing w:after="0"/>
              <w:rPr>
                <w:sz w:val="20"/>
                <w:szCs w:val="20"/>
                <w:color w:val="auto"/>
              </w:rPr>
            </w:pPr>
            <w:r>
              <w:rPr>
                <w:rFonts w:ascii="Arial" w:cs="Arial" w:eastAsia="Arial" w:hAnsi="Arial"/>
                <w:sz w:val="18"/>
                <w:szCs w:val="18"/>
                <w:color w:val="auto"/>
                <w:w w:val="84"/>
              </w:rPr>
              <w:t>Page 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177"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left="460" w:right="200"/>
        <w:spacing w:after="0" w:line="306" w:lineRule="auto"/>
        <w:rPr>
          <w:sz w:val="20"/>
          <w:szCs w:val="20"/>
          <w:color w:val="auto"/>
        </w:rPr>
      </w:pPr>
      <w:r>
        <w:rPr>
          <w:rFonts w:ascii="Arial" w:cs="Arial" w:eastAsia="Arial" w:hAnsi="Arial"/>
          <w:sz w:val="16"/>
          <w:szCs w:val="16"/>
          <w:color w:val="auto"/>
        </w:rPr>
        <w:t>The Company owns and charters out containerships under long term time charters. All vessels are time chartered to CMA CGM S.A. (“CMA CGM”) for remaining terms as at September 30, 2011 ranging from 1.25 to 14.25 years (see note 7). The following table provides information about the 17 vessels chartered to CMA CGM and which are reflected in these interim unaudited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Charter</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Daily</w:t>
            </w:r>
          </w:p>
        </w:tc>
      </w:tr>
      <w:tr>
        <w:trPr>
          <w:trHeight w:val="134"/>
        </w:trPr>
        <w:tc>
          <w:tcPr>
            <w:tcW w:w="78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9"/>
              </w:rPr>
              <w:t>Capacity</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Purchase Date</w:t>
            </w: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Duration</w:t>
            </w:r>
          </w:p>
        </w:tc>
        <w:tc>
          <w:tcPr>
            <w:tcW w:w="4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r>
      <w:tr>
        <w:trPr>
          <w:trHeight w:val="18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5480" w:type="dxa"/>
            <w:vAlign w:val="bottom"/>
          </w:tcPr>
          <w:p>
            <w:pPr>
              <w:spacing w:after="0"/>
              <w:rPr>
                <w:sz w:val="15"/>
                <w:szCs w:val="15"/>
                <w:color w:val="auto"/>
              </w:rPr>
            </w:pPr>
          </w:p>
        </w:tc>
        <w:tc>
          <w:tcPr>
            <w:tcW w:w="1060" w:type="dxa"/>
            <w:vAlign w:val="bottom"/>
            <w:gridSpan w:val="2"/>
          </w:tcPr>
          <w:p>
            <w:pPr>
              <w:jc w:val="center"/>
              <w:ind w:right="420"/>
              <w:spacing w:after="0" w:line="162" w:lineRule="exact"/>
              <w:rPr>
                <w:sz w:val="20"/>
                <w:szCs w:val="20"/>
                <w:color w:val="auto"/>
              </w:rPr>
            </w:pPr>
            <w:r>
              <w:rPr>
                <w:rFonts w:ascii="Arial" w:cs="Arial" w:eastAsia="Arial" w:hAnsi="Arial"/>
                <w:sz w:val="12"/>
                <w:szCs w:val="12"/>
                <w:b w:val="1"/>
                <w:bCs w:val="1"/>
                <w:color w:val="auto"/>
              </w:rPr>
              <w:t xml:space="preserve">in TEUs </w:t>
            </w:r>
            <w:r>
              <w:rPr>
                <w:rFonts w:ascii="Arial" w:cs="Arial" w:eastAsia="Arial" w:hAnsi="Arial"/>
                <w:sz w:val="18"/>
                <w:szCs w:val="18"/>
                <w:b w:val="1"/>
                <w:bCs w:val="1"/>
                <w:color w:val="auto"/>
                <w:vertAlign w:val="superscript"/>
              </w:rPr>
              <w:t>(1)</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Year Built</w:t>
            </w: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by GSL</w:t>
            </w:r>
          </w:p>
        </w:tc>
        <w:tc>
          <w:tcPr>
            <w:tcW w:w="6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7"/>
              </w:rPr>
              <w:t xml:space="preserve">(years) </w:t>
            </w:r>
            <w:r>
              <w:rPr>
                <w:rFonts w:ascii="Arial" w:cs="Arial" w:eastAsia="Arial" w:hAnsi="Arial"/>
                <w:sz w:val="18"/>
                <w:szCs w:val="18"/>
                <w:b w:val="1"/>
                <w:bCs w:val="1"/>
                <w:color w:val="auto"/>
                <w:w w:val="97"/>
                <w:vertAlign w:val="superscript"/>
              </w:rPr>
              <w:t>(2)</w:t>
            </w:r>
          </w:p>
        </w:tc>
        <w:tc>
          <w:tcPr>
            <w:tcW w:w="4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r>
      <w:tr>
        <w:trPr>
          <w:trHeight w:val="203"/>
        </w:trPr>
        <w:tc>
          <w:tcPr>
            <w:tcW w:w="6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Ville d’Orion</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December 2007</w:t>
            </w:r>
          </w:p>
        </w:tc>
        <w:tc>
          <w:tcPr>
            <w:tcW w:w="3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$28.500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40" w:type="dxa"/>
            <w:vAlign w:val="bottom"/>
          </w:tcPr>
          <w:p>
            <w:pPr>
              <w:jc w:val="right"/>
              <w:spacing w:after="0"/>
              <w:rPr>
                <w:sz w:val="20"/>
                <w:szCs w:val="20"/>
                <w:color w:val="auto"/>
              </w:rPr>
            </w:pPr>
            <w:r>
              <w:rPr>
                <w:rFonts w:ascii="Arial" w:cs="Arial" w:eastAsia="Arial" w:hAnsi="Arial"/>
                <w:sz w:val="18"/>
                <w:szCs w:val="18"/>
                <w:color w:val="auto"/>
              </w:rPr>
              <w:t>4,113</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1.25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5.25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tcPr>
          <w:p>
            <w:pPr>
              <w:jc w:val="right"/>
              <w:spacing w:after="0"/>
              <w:rPr>
                <w:sz w:val="20"/>
                <w:szCs w:val="20"/>
                <w:color w:val="auto"/>
              </w:rPr>
            </w:pPr>
            <w:r>
              <w:rPr>
                <w:rFonts w:ascii="Arial" w:cs="Arial" w:eastAsia="Arial" w:hAnsi="Arial"/>
                <w:sz w:val="18"/>
                <w:szCs w:val="18"/>
                <w:color w:val="auto"/>
              </w:rPr>
              <w:t>2,272</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2007</w:t>
            </w:r>
          </w:p>
        </w:tc>
        <w:tc>
          <w:tcPr>
            <w:tcW w:w="620" w:type="dxa"/>
            <w:vAlign w:val="bottom"/>
          </w:tcPr>
          <w:p>
            <w:pPr>
              <w:jc w:val="right"/>
              <w:spacing w:after="0"/>
              <w:rPr>
                <w:sz w:val="20"/>
                <w:szCs w:val="20"/>
                <w:color w:val="auto"/>
              </w:rPr>
            </w:pPr>
            <w:r>
              <w:rPr>
                <w:rFonts w:ascii="Arial" w:cs="Arial" w:eastAsia="Arial" w:hAnsi="Arial"/>
                <w:sz w:val="18"/>
                <w:szCs w:val="18"/>
                <w:color w:val="auto"/>
              </w:rPr>
              <w:t>5.25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6"/>
              </w:rPr>
              <w:t>January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40" w:type="dxa"/>
            <w:vAlign w:val="bottom"/>
          </w:tcPr>
          <w:p>
            <w:pPr>
              <w:jc w:val="right"/>
              <w:spacing w:after="0"/>
              <w:rPr>
                <w:sz w:val="20"/>
                <w:szCs w:val="20"/>
                <w:color w:val="auto"/>
              </w:rPr>
            </w:pPr>
            <w:r>
              <w:rPr>
                <w:rFonts w:ascii="Arial" w:cs="Arial" w:eastAsia="Arial" w:hAnsi="Arial"/>
                <w:sz w:val="18"/>
                <w:szCs w:val="18"/>
                <w:color w:val="auto"/>
              </w:rPr>
              <w:t>5,089</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January 2008</w:t>
            </w: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tcPr>
          <w:p>
            <w:pPr>
              <w:jc w:val="right"/>
              <w:spacing w:after="0"/>
              <w:rPr>
                <w:sz w:val="20"/>
                <w:szCs w:val="20"/>
                <w:color w:val="auto"/>
              </w:rPr>
            </w:pPr>
            <w:r>
              <w:rPr>
                <w:rFonts w:ascii="Arial" w:cs="Arial" w:eastAsia="Arial" w:hAnsi="Arial"/>
                <w:sz w:val="18"/>
                <w:szCs w:val="18"/>
                <w:color w:val="auto"/>
              </w:rPr>
              <w:t>4,298</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tcPr>
          <w:p>
            <w:pPr>
              <w:jc w:val="right"/>
              <w:spacing w:after="0"/>
              <w:rPr>
                <w:sz w:val="20"/>
                <w:szCs w:val="20"/>
                <w:color w:val="auto"/>
              </w:rPr>
            </w:pPr>
            <w:r>
              <w:rPr>
                <w:rFonts w:ascii="Arial" w:cs="Arial" w:eastAsia="Arial" w:hAnsi="Arial"/>
                <w:sz w:val="18"/>
                <w:szCs w:val="18"/>
                <w:color w:val="auto"/>
              </w:rPr>
              <w:t>11.25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4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December 2008</w:t>
            </w:r>
          </w:p>
        </w:tc>
        <w:tc>
          <w:tcPr>
            <w:tcW w:w="620" w:type="dxa"/>
            <w:vAlign w:val="bottom"/>
          </w:tcPr>
          <w:p>
            <w:pPr>
              <w:jc w:val="right"/>
              <w:spacing w:after="0"/>
              <w:rPr>
                <w:sz w:val="20"/>
                <w:szCs w:val="20"/>
                <w:color w:val="auto"/>
              </w:rPr>
            </w:pPr>
            <w:r>
              <w:rPr>
                <w:rFonts w:ascii="Arial" w:cs="Arial" w:eastAsia="Arial" w:hAnsi="Arial"/>
                <w:sz w:val="18"/>
                <w:szCs w:val="18"/>
                <w:color w:val="auto"/>
              </w:rPr>
              <w:t>11.25</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August 2009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 at September 30, 2011</w:t>
      </w:r>
    </w:p>
    <w:p>
      <w:pPr>
        <w:spacing w:after="0" w:line="28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9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Counterparty risk</w:t>
      </w:r>
    </w:p>
    <w:p>
      <w:pPr>
        <w:spacing w:after="0" w:line="90" w:lineRule="exact"/>
        <w:rPr>
          <w:sz w:val="20"/>
          <w:szCs w:val="20"/>
          <w:color w:val="auto"/>
        </w:rPr>
      </w:pPr>
    </w:p>
    <w:p>
      <w:pPr>
        <w:ind w:left="460" w:right="180"/>
        <w:spacing w:after="0" w:line="306"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are reporting losses.</w:t>
      </w:r>
    </w:p>
    <w:p>
      <w:pPr>
        <w:spacing w:after="0" w:line="26"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CMA CGM announced in September 2009 that it and its lenders were exploring a potential financial restructuring to address its short and medium term financing requirements and that it was seeking to reduce and in some cases cancel certain vessel deliveries. In August 2011 CMA CGM represented to the Company that it had substantially completed its financial restructuring. Consequently these financial statements have been prepared on a going concern basis.</w:t>
      </w:r>
    </w:p>
    <w:p>
      <w:pPr>
        <w:spacing w:after="0" w:line="62"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Nevertheless, if CMA CGM ceases doing business or fails to perform its obligations under the charters, the Company’s business, financial position and results of operations would be materially adversely affected as it is probable that, even if the Company was were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274" w:right="2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(continued)</w:t>
      </w:r>
    </w:p>
    <w:p>
      <w:pPr>
        <w:spacing w:after="0" w:line="9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Counterparty risk (continued)</w:t>
      </w:r>
    </w:p>
    <w:p>
      <w:pPr>
        <w:spacing w:after="0" w:line="158" w:lineRule="exact"/>
        <w:rPr>
          <w:sz w:val="20"/>
          <w:szCs w:val="20"/>
          <w:color w:val="auto"/>
        </w:rPr>
      </w:pPr>
    </w:p>
    <w:p>
      <w:pPr>
        <w:jc w:val="both"/>
        <w:ind w:left="452"/>
        <w:spacing w:after="0" w:line="332" w:lineRule="auto"/>
        <w:rPr>
          <w:sz w:val="20"/>
          <w:szCs w:val="20"/>
          <w:color w:val="auto"/>
        </w:rPr>
      </w:pPr>
      <w:r>
        <w:rPr>
          <w:rFonts w:ascii="Arial" w:cs="Arial" w:eastAsia="Arial" w:hAnsi="Arial"/>
          <w:sz w:val="16"/>
          <w:szCs w:val="16"/>
          <w:color w:val="auto"/>
        </w:rPr>
        <w:t>The Company has experienced continued delays in receiving charterhire from CMA CGM, where between one and three instalments have been outstanding during 2011. Under the charter contracts charterhire is due to be paid every 15 days in advance on the 1st and 16th of each month.</w:t>
      </w:r>
    </w:p>
    <w:p>
      <w:pPr>
        <w:spacing w:after="0" w:line="4" w:lineRule="exact"/>
        <w:rPr>
          <w:sz w:val="20"/>
          <w:szCs w:val="20"/>
          <w:color w:val="auto"/>
        </w:rPr>
      </w:pPr>
    </w:p>
    <w:p>
      <w:pPr>
        <w:jc w:val="both"/>
        <w:ind w:left="452"/>
        <w:spacing w:after="0" w:line="259" w:lineRule="auto"/>
        <w:rPr>
          <w:sz w:val="20"/>
          <w:szCs w:val="20"/>
          <w:color w:val="auto"/>
        </w:rPr>
      </w:pPr>
      <w:r>
        <w:rPr>
          <w:rFonts w:ascii="Arial" w:cs="Arial" w:eastAsia="Arial" w:hAnsi="Arial"/>
          <w:sz w:val="18"/>
          <w:szCs w:val="18"/>
          <w:color w:val="auto"/>
        </w:rPr>
        <w:t>As at September 30, 2011, one period of charterhire, due on September 16, 2011, was outstanding amounting to $6,429. This was received in October 2011. As at close of business on November 11, 2011, the latest practicable date prior to the issuance of these interim unaudited consolidated financial statements, no charter hire was outstanding.</w:t>
      </w:r>
    </w:p>
    <w:p>
      <w:pPr>
        <w:spacing w:after="0" w:line="262" w:lineRule="exact"/>
        <w:rPr>
          <w:sz w:val="20"/>
          <w:szCs w:val="20"/>
          <w:color w:val="auto"/>
        </w:rPr>
      </w:pPr>
    </w:p>
    <w:p>
      <w:pPr>
        <w:ind w:left="892" w:hanging="446"/>
        <w:spacing w:after="0"/>
        <w:tabs>
          <w:tab w:leader="none" w:pos="892"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left="452" w:right="140"/>
        <w:spacing w:after="0" w:line="306" w:lineRule="auto"/>
        <w:rPr>
          <w:sz w:val="20"/>
          <w:szCs w:val="20"/>
          <w:color w:val="auto"/>
        </w:rPr>
      </w:pPr>
      <w:r>
        <w:rPr>
          <w:rFonts w:ascii="Arial" w:cs="Arial" w:eastAsia="Arial" w:hAnsi="Arial"/>
          <w:sz w:val="16"/>
          <w:szCs w:val="16"/>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cannot exceed 75%. The next scheduled test of the Leverage Ratio is as at November 30, 2011.</w:t>
      </w:r>
    </w:p>
    <w:p>
      <w:pPr>
        <w:spacing w:after="0" w:line="26" w:lineRule="exact"/>
        <w:rPr>
          <w:sz w:val="20"/>
          <w:szCs w:val="20"/>
          <w:color w:val="auto"/>
        </w:rPr>
      </w:pPr>
    </w:p>
    <w:p>
      <w:pPr>
        <w:ind w:left="452"/>
        <w:spacing w:after="0" w:line="254" w:lineRule="auto"/>
        <w:rPr>
          <w:sz w:val="20"/>
          <w:szCs w:val="20"/>
          <w:color w:val="auto"/>
        </w:rPr>
      </w:pPr>
      <w:r>
        <w:rPr>
          <w:rFonts w:ascii="Arial" w:cs="Arial" w:eastAsia="Arial" w:hAnsi="Arial"/>
          <w:sz w:val="18"/>
          <w:szCs w:val="18"/>
          <w:color w:val="auto"/>
        </w:rPr>
        <w:t>The Company is in discussion with its lenders to amend the credit facility in respect to the Leverage Ratio. If the Company does not successfully amend the credit facility by November 30, 2011 or otherwise obtain a deferral or waiver of the requirement to perform the Leverage Ratio test as at that date, and its Leverage Ratio is above 75%, the lenders may declare an event of default and accelerate some or all of the debt or require the Company to provide additional security which would raise substantial doubt about the Company’s ability to continue as a going concern. Management expects that an amendment or waiver will be obtained. The Company was compliant with all of its financial covenants at September 30, 2011 and at the date of issuance of these financial statements.</w:t>
      </w:r>
    </w:p>
    <w:p>
      <w:pPr>
        <w:spacing w:after="0" w:line="63" w:lineRule="exact"/>
        <w:rPr>
          <w:sz w:val="20"/>
          <w:szCs w:val="20"/>
          <w:color w:val="auto"/>
        </w:rPr>
      </w:pPr>
    </w:p>
    <w:p>
      <w:pPr>
        <w:ind w:left="452" w:right="60"/>
        <w:spacing w:after="0" w:line="298" w:lineRule="auto"/>
        <w:rPr>
          <w:sz w:val="20"/>
          <w:szCs w:val="20"/>
          <w:color w:val="auto"/>
        </w:rPr>
      </w:pPr>
      <w:r>
        <w:rPr>
          <w:rFonts w:ascii="Arial" w:cs="Arial" w:eastAsia="Arial" w:hAnsi="Arial"/>
          <w:sz w:val="16"/>
          <w:szCs w:val="16"/>
          <w:color w:val="auto"/>
        </w:rPr>
        <w:t>As a result of management’s plan to address the situation, the relevant debt is classified as non-current in the consolidated balance sheet and the consolidated financial statements have been prepared assuming that the Company will continue as a going concern. Accordingly, the consolidated financial statements do not include any adjustments relating to the recoverability and classification of recorded asset amounts and classification of liabilities, or any other adjustments that might result should the Company be unable to continue as a going concern.</w:t>
      </w:r>
    </w:p>
    <w:p>
      <w:pPr>
        <w:spacing w:after="0" w:line="228" w:lineRule="exact"/>
        <w:rPr>
          <w:sz w:val="20"/>
          <w:szCs w:val="20"/>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w:t>
      </w:r>
    </w:p>
    <w:p>
      <w:pPr>
        <w:spacing w:after="0" w:line="96" w:lineRule="exact"/>
        <w:rPr>
          <w:rFonts w:ascii="Arial" w:cs="Arial" w:eastAsia="Arial" w:hAnsi="Arial"/>
          <w:sz w:val="18"/>
          <w:szCs w:val="18"/>
          <w:b w:val="1"/>
          <w:bCs w:val="1"/>
          <w:color w:val="auto"/>
        </w:rPr>
      </w:pPr>
    </w:p>
    <w:p>
      <w:pPr>
        <w:ind w:left="452" w:right="20"/>
        <w:spacing w:after="0" w:line="303" w:lineRule="auto"/>
        <w:rPr>
          <w:rFonts w:ascii="Arial" w:cs="Arial" w:eastAsia="Arial" w:hAnsi="Arial"/>
          <w:sz w:val="18"/>
          <w:szCs w:val="18"/>
          <w:b w:val="1"/>
          <w:bCs w:val="1"/>
          <w:color w:val="auto"/>
        </w:rPr>
      </w:pPr>
      <w:r>
        <w:rPr>
          <w:rFonts w:ascii="Arial" w:cs="Arial" w:eastAsia="Arial" w:hAnsi="Arial"/>
          <w:sz w:val="15"/>
          <w:szCs w:val="15"/>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w:t>
      </w:r>
    </w:p>
    <w:p>
      <w:pPr>
        <w:spacing w:after="0" w:line="1" w:lineRule="exact"/>
        <w:rPr>
          <w:rFonts w:ascii="Arial" w:cs="Arial" w:eastAsia="Arial" w:hAnsi="Arial"/>
          <w:sz w:val="18"/>
          <w:szCs w:val="18"/>
          <w:b w:val="1"/>
          <w:bCs w:val="1"/>
          <w:color w:val="auto"/>
        </w:rPr>
      </w:pPr>
    </w:p>
    <w:p>
      <w:pPr>
        <w:ind w:left="452" w:right="4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These interim unaudited consolidated financial statements should be read in conjunction with the Company’s financial statements as of December 31, 2010 filed with the Securities and Exchange Commission on May 19, 2011 in the Company’s Annual Report on Form 20-F.</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12"/>
          </w:cols>
          <w:pgMar w:left="248"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Disclosure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Impairment Testing</w:t>
      </w:r>
    </w:p>
    <w:p>
      <w:pPr>
        <w:spacing w:after="0" w:line="90" w:lineRule="exact"/>
        <w:rPr>
          <w:rFonts w:ascii="Arial" w:cs="Arial" w:eastAsia="Arial" w:hAnsi="Arial"/>
          <w:sz w:val="18"/>
          <w:szCs w:val="18"/>
          <w:b w:val="1"/>
          <w:bCs w:val="1"/>
          <w:color w:val="auto"/>
        </w:rPr>
      </w:pPr>
    </w:p>
    <w:p>
      <w:pPr>
        <w:ind w:left="46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decline in charter free vessel values referred to in note 2(b)(ii) is seen as an indicator of potential impairment of the carrying value of the Company’s vessels. Accordingly, an impairment test, based on expected undiscounted cashflows by vessel, was performed as at September 30, 2011. A test of impairment was also undertaken as at December 31, 2010.</w:t>
      </w:r>
    </w:p>
    <w:p>
      <w:pPr>
        <w:spacing w:after="0" w:line="59" w:lineRule="exact"/>
        <w:rPr>
          <w:rFonts w:ascii="Arial" w:cs="Arial" w:eastAsia="Arial" w:hAnsi="Arial"/>
          <w:sz w:val="18"/>
          <w:szCs w:val="18"/>
          <w:b w:val="1"/>
          <w:bCs w:val="1"/>
          <w:color w:val="auto"/>
        </w:rPr>
      </w:pPr>
    </w:p>
    <w:p>
      <w:pPr>
        <w:ind w:left="46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37" w:lineRule="exact"/>
        <w:rPr>
          <w:rFonts w:ascii="Arial" w:cs="Arial" w:eastAsia="Arial" w:hAnsi="Arial"/>
          <w:sz w:val="18"/>
          <w:szCs w:val="18"/>
          <w:b w:val="1"/>
          <w:bCs w:val="1"/>
          <w:color w:val="auto"/>
        </w:rPr>
      </w:pPr>
    </w:p>
    <w:p>
      <w:pPr>
        <w:ind w:left="46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Based on the assumptions made, the expected undiscounted future cash flows exceed the vessels’ carrying amounts as of September 30, 2011 and December 31, 2010 and accordingly no impairment has been recognised.</w:t>
      </w:r>
    </w:p>
    <w:p>
      <w:pPr>
        <w:spacing w:after="0" w:line="21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Recently issued accounting standards</w:t>
      </w:r>
    </w:p>
    <w:p>
      <w:pPr>
        <w:spacing w:after="0" w:line="90"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May 2011, the Financial Accounting Standards Board (“FASB”) issued an accounting pronouncement that amended fair value measurement and disclosure requirements (Topic 820). This amendment does not affect valuation practices used by the Company. The amendment is effective for interim and annual periods beginning after December 15, 2011. The adoption of this pronouncement is not expected to have an effect on the interim unaudited consolidated financial statements of the Company other than minor disclosure amendments.</w:t>
      </w:r>
    </w:p>
    <w:p>
      <w:pPr>
        <w:spacing w:after="0" w:line="3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June 2011, FASB issued an amendment on the presentation and disclosure of comprehensive income (Topic 220). An entity will have the option to present the total of comprehensive income, the components of net income, and the components of other comprehensive income either in a continuous statement of comprehensive income or in two separate but consecutive statements. The pronouncement eliminates the option to present the components of other comprehensive income as part of the statement of changes in stockholders’ equity. The amendment is effective for annual periods, and interim periods beginning after December 15, 2011. The adoption of this pronouncement is not expected to have an effect on the interim unaudited consolidated financial statements of the Company.</w:t>
      </w:r>
    </w:p>
    <w:p>
      <w:pPr>
        <w:spacing w:after="0" w:line="63"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interim unaudited consolidated financial statements of the Company.</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1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3"/>
              </w:rPr>
              <w:t>September 30,</w:t>
            </w:r>
          </w:p>
        </w:tc>
        <w:tc>
          <w:tcPr>
            <w:tcW w:w="280" w:type="dxa"/>
            <w:vAlign w:val="bottom"/>
          </w:tcPr>
          <w:p>
            <w:pPr>
              <w:spacing w:after="0"/>
              <w:rPr>
                <w:sz w:val="14"/>
                <w:szCs w:val="1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w w:val="84"/>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1,012,402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1,008,330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(112,611)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900,167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27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500" w:type="dxa"/>
            <w:vAlign w:val="bottom"/>
            <w:gridSpan w:val="3"/>
          </w:tcPr>
          <w:p>
            <w:pPr>
              <w:jc w:val="center"/>
              <w:ind w:right="392"/>
              <w:spacing w:after="0"/>
              <w:rPr>
                <w:sz w:val="20"/>
                <w:szCs w:val="20"/>
                <w:color w:val="auto"/>
              </w:rPr>
            </w:pPr>
            <w:r>
              <w:rPr>
                <w:rFonts w:ascii="Arial" w:cs="Arial" w:eastAsia="Arial" w:hAnsi="Arial"/>
                <w:sz w:val="18"/>
                <w:szCs w:val="18"/>
                <w:b w:val="1"/>
                <w:bCs w:val="1"/>
                <w:color w:val="auto"/>
                <w:w w:val="88"/>
              </w:rPr>
              <w:t>Global Ship Lease, Inc.</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540" w:type="dxa"/>
            <w:vAlign w:val="bottom"/>
            <w:gridSpan w:val="6"/>
          </w:tcPr>
          <w:p>
            <w:pPr>
              <w:jc w:val="center"/>
              <w:ind w:left="1032"/>
              <w:spacing w:after="0"/>
              <w:rPr>
                <w:sz w:val="20"/>
                <w:szCs w:val="20"/>
                <w:color w:val="auto"/>
              </w:rPr>
            </w:pPr>
            <w:r>
              <w:rPr>
                <w:rFonts w:ascii="Arial" w:cs="Arial" w:eastAsia="Arial" w:hAnsi="Arial"/>
                <w:sz w:val="18"/>
                <w:szCs w:val="18"/>
                <w:b w:val="1"/>
                <w:bCs w:val="1"/>
                <w:color w:val="auto"/>
                <w:w w:val="88"/>
              </w:rPr>
              <w:t>Notes to the Interim Unaudited Consolidated Financial Statements (continued)</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500" w:type="dxa"/>
            <w:vAlign w:val="bottom"/>
            <w:gridSpan w:val="3"/>
          </w:tcPr>
          <w:p>
            <w:pPr>
              <w:jc w:val="center"/>
              <w:ind w:right="372"/>
              <w:spacing w:after="0"/>
              <w:rPr>
                <w:sz w:val="20"/>
                <w:szCs w:val="20"/>
                <w:color w:val="auto"/>
              </w:rPr>
            </w:pPr>
            <w:r>
              <w:rPr>
                <w:rFonts w:ascii="Arial" w:cs="Arial" w:eastAsia="Arial" w:hAnsi="Arial"/>
                <w:sz w:val="18"/>
                <w:szCs w:val="18"/>
                <w:color w:val="auto"/>
                <w:w w:val="88"/>
              </w:rPr>
              <w:t>(Expressed in thousands of U.S. dollars)</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39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2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88"/>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6"/>
                <w:szCs w:val="16"/>
                <w:color w:val="auto"/>
              </w:rPr>
            </w:pPr>
          </w:p>
        </w:tc>
        <w:tc>
          <w:tcPr>
            <w:tcW w:w="1040" w:type="dxa"/>
            <w:vAlign w:val="bottom"/>
            <w:gridSpan w:val="2"/>
          </w:tcPr>
          <w:p>
            <w:pPr>
              <w:jc w:val="right"/>
              <w:ind w:right="17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Vessel purchase options</w:t>
            </w: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0"/>
              </w:rPr>
              <w:t>Impairment of vessel purchase options</w:t>
            </w: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(13,645)</w:t>
            </w:r>
          </w:p>
        </w:tc>
        <w:tc>
          <w:tcPr>
            <w:tcW w:w="28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3900" w:type="dxa"/>
            <w:vAlign w:val="bottom"/>
            <w:gridSpan w:val="2"/>
          </w:tcPr>
          <w:p>
            <w:pPr>
              <w:ind w:left="1080"/>
              <w:spacing w:after="0"/>
              <w:rPr>
                <w:sz w:val="20"/>
                <w:szCs w:val="20"/>
                <w:color w:val="auto"/>
              </w:rPr>
            </w:pPr>
            <w:r>
              <w:rPr>
                <w:rFonts w:ascii="Arial" w:cs="Arial" w:eastAsia="Arial" w:hAnsi="Arial"/>
                <w:sz w:val="18"/>
                <w:szCs w:val="18"/>
                <w:b w:val="1"/>
                <w:bCs w:val="1"/>
                <w:color w:val="auto"/>
              </w:rPr>
              <w:t>Closing balance</w:t>
            </w:r>
          </w:p>
        </w:tc>
        <w:tc>
          <w:tcPr>
            <w:tcW w:w="3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  13,671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On November 8, 2010, the Company signed agreements with the sellers of two 4,250 TEU newbuildings to (i) terminate the Company’s obligations under contracts entered into in September 2008 to purchase the vessels on their delivery to the sellers by the builder, which was anticipated to be at the end of 2010 and (ii) grant the Company options to purchase the vessels one year later. Intangible assets relating to these purchase options were recognised at the fair value of the purchase options on the date of the agreement.</w:t>
      </w:r>
    </w:p>
    <w:p>
      <w:pPr>
        <w:spacing w:after="0" w:line="6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purchase options were to be declared by September 16, 2011 for one vessel and October 4, 2011 for the other. The purchase of these vessels was always predicated on achieving a strong return for shareholders by acquiring the vessels, which had time charters attached, at an attractive price and securing financing on favorable terms. As the Company was unable to obtain committed finance on acceptable terms, the intangible assets relating to these purchase options were written off in the second quarter 2011.</w:t>
      </w:r>
    </w:p>
    <w:p>
      <w:pPr>
        <w:spacing w:after="0" w:line="25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90"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Until April 2011, borrowings under the credit facility were repaid quarterly in an amount equal to free cash in excess of $20,000 determined as at the previous month end subject to a minimum of $40,000 repayment a year on a rolling 12 month trailing basis. On this basis, repayments of the credit facility were made in the year ended December 31, 2010 amounting to $51,330. A further repayment of $13,816 was made on March 31, 2011.</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April 30, 2011 the Leverage Ratio was less than 75% and greater than 65%. Accordingly from that date (i) interest margin paid on borrowings is 3.00%</w:t>
      </w:r>
    </w:p>
    <w:p>
      <w:pPr>
        <w:spacing w:after="0" w:line="38" w:lineRule="exact"/>
        <w:rPr>
          <w:sz w:val="20"/>
          <w:szCs w:val="20"/>
          <w:color w:val="auto"/>
        </w:rPr>
      </w:pPr>
    </w:p>
    <w:p>
      <w:pPr>
        <w:ind w:left="460" w:firstLine="4"/>
        <w:spacing w:after="0" w:line="261" w:lineRule="auto"/>
        <w:tabs>
          <w:tab w:leader="none" w:pos="7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prepayments of borrowings are fixed at $10,000 per quarter and (iii) the Company is able to make dividend payments to common shareholders. On this basis, further repayments of $10,000 were made on both June 30, 2011 and September 30, 2011.</w:t>
      </w:r>
    </w:p>
    <w:p>
      <w:pPr>
        <w:spacing w:after="0" w:line="57"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As referred to in note 2(b)(ii) due to recent falls in charter free market values of containerships, the Company is in discussion with its lenders to amend the credit facility in respect to the Leverage Ratio test. If the Company does not successfully amend the credit facility by November 30, 2011 or otherwise obtain a deferral or waiver of the requirement to perform the Leverage Ratio test as at that date, and its Leverage Ratio is above 75%, the lenders may declare an event of default and accelerate some or all of the debt or require the Company to provide additional security. Management expects that an amendment or waiver will be obtained.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340"/>
          </w:cols>
          <w:pgMar w:left="240" w:top="274" w:right="319" w:bottom="1440" w:gutter="0" w:footer="0" w:header="0"/>
        </w:sectPr>
      </w:pPr>
    </w:p>
    <w:bookmarkStart w:id="26" w:name="page27"/>
    <w:bookmarkEnd w:id="26"/>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3" w:lineRule="exact"/>
        <w:rPr>
          <w:rFonts w:ascii="Arial" w:cs="Arial" w:eastAsia="Arial" w:hAnsi="Arial"/>
          <w:sz w:val="18"/>
          <w:szCs w:val="18"/>
          <w:b w:val="1"/>
          <w:bCs w:val="1"/>
          <w:color w:val="auto"/>
        </w:rPr>
      </w:pPr>
    </w:p>
    <w:p>
      <w:pPr>
        <w:ind w:left="452"/>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credit facility is secured by, inter alia, first priority mortgages on each of the Company’s 17 vessels,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195"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20" w:type="dxa"/>
            <w:vAlign w:val="bottom"/>
            <w:gridSpan w:val="4"/>
          </w:tcPr>
          <w:p>
            <w:pPr>
              <w:ind w:left="14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220" w:type="dxa"/>
            <w:vAlign w:val="bottom"/>
            <w:gridSpan w:val="6"/>
          </w:tcPr>
          <w:p>
            <w:pPr>
              <w:ind w:left="34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217"/>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9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at Libor USD + 3.00% to 3.50%</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498,953</w:t>
            </w: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532,769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Less current instalments of long-term debt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(44,500)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458,953</w:t>
            </w: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488,269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gridSpan w:val="2"/>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360" w:type="dxa"/>
            <w:vAlign w:val="bottom"/>
            <w:gridSpan w:val="7"/>
          </w:tcPr>
          <w:p>
            <w:pPr>
              <w:jc w:val="right"/>
              <w:ind w:right="200"/>
              <w:spacing w:after="0"/>
              <w:rPr>
                <w:sz w:val="20"/>
                <w:szCs w:val="20"/>
                <w:color w:val="auto"/>
              </w:rPr>
            </w:pPr>
            <w:r>
              <w:rPr>
                <w:rFonts w:ascii="Arial" w:cs="Arial" w:eastAsia="Arial" w:hAnsi="Arial"/>
                <w:sz w:val="18"/>
                <w:szCs w:val="18"/>
                <w:color w:val="auto"/>
                <w:w w:val="87"/>
              </w:rPr>
              <w:t>Based on loan to value being less than 75%, the estimated repayments in each of the relevant periods are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920" w:type="dxa"/>
            <w:vAlign w:val="bottom"/>
          </w:tcPr>
          <w:p>
            <w:pPr>
              <w:spacing w:after="0"/>
              <w:rPr>
                <w:sz w:val="24"/>
                <w:szCs w:val="24"/>
                <w:color w:val="auto"/>
              </w:rPr>
            </w:pPr>
          </w:p>
        </w:tc>
        <w:tc>
          <w:tcPr>
            <w:tcW w:w="4820" w:type="dxa"/>
            <w:vAlign w:val="bottom"/>
            <w:gridSpan w:val="2"/>
          </w:tcPr>
          <w:p>
            <w:pPr>
              <w:ind w:left="460"/>
              <w:spacing w:after="0"/>
              <w:rPr>
                <w:sz w:val="20"/>
                <w:szCs w:val="20"/>
                <w:color w:val="auto"/>
              </w:rPr>
            </w:pPr>
            <w:r>
              <w:rPr>
                <w:rFonts w:ascii="Arial" w:cs="Arial" w:eastAsia="Arial" w:hAnsi="Arial"/>
                <w:sz w:val="14"/>
                <w:szCs w:val="14"/>
                <w:b w:val="1"/>
                <w:bCs w:val="1"/>
                <w:color w:val="auto"/>
              </w:rPr>
              <w:t>Year ending September 30,</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380" w:type="dxa"/>
            <w:vAlign w:val="bottom"/>
            <w:gridSpan w:val="2"/>
            <w:vMerge w:val="restart"/>
          </w:tcPr>
          <w:p>
            <w:pPr>
              <w:spacing w:after="0"/>
              <w:rPr>
                <w:sz w:val="8"/>
                <w:szCs w:val="8"/>
                <w:color w:val="auto"/>
              </w:rPr>
            </w:pPr>
          </w:p>
        </w:tc>
        <w:tc>
          <w:tcPr>
            <w:tcW w:w="4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$ 40,000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2013</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2015</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338,953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498,953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52"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September 30, 2011 is a significant shareholder of the Company, owning Class A and Class B common shares representing a 45% voting interest in the Company.</w:t>
      </w:r>
    </w:p>
    <w:p>
      <w:pPr>
        <w:spacing w:after="0" w:line="59"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195"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7,409</w:t>
            </w: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9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6,823</w:t>
            </w: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52" w:right="180"/>
        <w:spacing w:after="0" w:line="33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September 30, 2011 and December 31, 2010 relate to amounts payable to or recoverable from CMA CGM group companies.</w:t>
      </w:r>
    </w:p>
    <w:p>
      <w:pPr>
        <w:spacing w:after="0" w:line="4"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CMA CGM holds all of the Series A preferred shares of the Company. During the three months to September 30, 2011, the Company incurred costs in respect of dividends on these preferred shares of $279 (2010: $295). Costs during the nine months to September 30, 2011 were $833 (2010: $852). At September 30, 2011, the dividend payment for the three months ended September 30, 2011 was outstanding. This amount is included within Amounts due to CMA CGM companies.</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72"/>
          </w:cols>
          <w:pgMar w:left="248" w:top="274" w:right="279" w:bottom="1440" w:gutter="0" w:footer="0" w:header="0"/>
        </w:sectPr>
      </w:pPr>
    </w:p>
    <w:bookmarkStart w:id="27" w:name="page28"/>
    <w:bookmarkEnd w:id="27"/>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52" w:right="8000" w:hanging="452"/>
        <w:spacing w:after="0" w:line="391" w:lineRule="auto"/>
        <w:tabs>
          <w:tab w:leader="none" w:pos="441"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(continued) Time Charter Agreements</w:t>
      </w:r>
    </w:p>
    <w:p>
      <w:pPr>
        <w:ind w:left="452" w:right="220"/>
        <w:spacing w:after="0" w:line="306" w:lineRule="auto"/>
        <w:rPr>
          <w:rFonts w:ascii="Arial" w:cs="Arial" w:eastAsia="Arial" w:hAnsi="Arial"/>
          <w:sz w:val="16"/>
          <w:szCs w:val="16"/>
          <w:b w:val="1"/>
          <w:bCs w:val="1"/>
          <w:color w:val="auto"/>
        </w:rPr>
      </w:pPr>
      <w:r>
        <w:rPr>
          <w:rFonts w:ascii="Arial" w:cs="Arial" w:eastAsia="Arial" w:hAnsi="Arial"/>
          <w:sz w:val="16"/>
          <w:szCs w:val="16"/>
          <w:color w:val="auto"/>
        </w:rPr>
        <w:t>All of the Company’s vessels are time chartered to CMA CGM. Under each of the time charters, hire is payable in advance and the daily rate is fixed for the duration of the charter. The charters are for remaining periods as at September 30, 2011 of between 1.25 and 14.25 years. All the $1,242,609 future charter hire receivable for the fleet set out in note 8 relates to the 17 ships currently chartered to CMA CGM.</w:t>
      </w:r>
    </w:p>
    <w:p>
      <w:pPr>
        <w:spacing w:after="0" w:line="181"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Ship Management Agreements</w:t>
      </w:r>
    </w:p>
    <w:p>
      <w:pPr>
        <w:spacing w:after="0" w:line="96" w:lineRule="exact"/>
        <w:rPr>
          <w:rFonts w:ascii="Arial" w:cs="Arial" w:eastAsia="Arial" w:hAnsi="Arial"/>
          <w:sz w:val="16"/>
          <w:szCs w:val="16"/>
          <w:b w:val="1"/>
          <w:bCs w:val="1"/>
          <w:color w:val="auto"/>
        </w:rPr>
      </w:pPr>
    </w:p>
    <w:p>
      <w:pPr>
        <w:ind w:left="452"/>
        <w:spacing w:after="0" w:line="294" w:lineRule="auto"/>
        <w:rPr>
          <w:rFonts w:ascii="Arial" w:cs="Arial" w:eastAsia="Arial" w:hAnsi="Arial"/>
          <w:sz w:val="16"/>
          <w:szCs w:val="16"/>
          <w:b w:val="1"/>
          <w:bCs w:val="1"/>
          <w:color w:val="auto"/>
        </w:rPr>
      </w:pPr>
      <w:r>
        <w:rPr>
          <w:rFonts w:ascii="Arial" w:cs="Arial" w:eastAsia="Arial" w:hAnsi="Arial"/>
          <w:sz w:val="16"/>
          <w:szCs w:val="16"/>
          <w:color w:val="auto"/>
        </w:rPr>
        <w:t>The Company outsources day to day technical management of its 17 vessels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depending on the vessel, of between $5.4 and $8.8 per day per vessel. The impact of the cap is determined quarterly and for the fleet as a whole. Ship management fees expensed for the three months and nine months ended September 30, 2011 amounted to $485 (2010: $485) and $1,454 (2010: $1,454) respectively.</w:t>
      </w:r>
    </w:p>
    <w:p>
      <w:pPr>
        <w:spacing w:after="0" w:line="34" w:lineRule="exact"/>
        <w:rPr>
          <w:rFonts w:ascii="Arial" w:cs="Arial" w:eastAsia="Arial" w:hAnsi="Arial"/>
          <w:sz w:val="16"/>
          <w:szCs w:val="16"/>
          <w:b w:val="1"/>
          <w:bCs w:val="1"/>
          <w:color w:val="auto"/>
        </w:rPr>
      </w:pPr>
    </w:p>
    <w:p>
      <w:pPr>
        <w:ind w:left="452"/>
        <w:spacing w:after="0"/>
        <w:rPr>
          <w:rFonts w:ascii="Arial" w:cs="Arial" w:eastAsia="Arial" w:hAnsi="Arial"/>
          <w:sz w:val="16"/>
          <w:szCs w:val="16"/>
          <w:b w:val="1"/>
          <w:bCs w:val="1"/>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286" w:lineRule="exact"/>
        <w:rPr>
          <w:rFonts w:ascii="Arial" w:cs="Arial" w:eastAsia="Arial" w:hAnsi="Arial"/>
          <w:sz w:val="16"/>
          <w:szCs w:val="16"/>
          <w:b w:val="1"/>
          <w:bCs w:val="1"/>
          <w:color w:val="auto"/>
        </w:rPr>
      </w:pPr>
    </w:p>
    <w:p>
      <w:pPr>
        <w:ind w:left="452" w:right="8460" w:hanging="452"/>
        <w:spacing w:after="0" w:line="417" w:lineRule="auto"/>
        <w:tabs>
          <w:tab w:leader="none" w:pos="441"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Vessel Purchase Options</w:t>
      </w:r>
    </w:p>
    <w:p>
      <w:pPr>
        <w:ind w:left="452" w:right="2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On November 8, 2010 the Company acquired purchase options giving it the right, but not the obligation, to purchase two vessels from German interests, on the first anniversary of their delivery by the builders to the sellers, for a payment of $61,250 per vessel. The purchase options were to be exercised no later than September 16, 2011 for one vessel and October 4, 2011 for the other, being 270 days after the respective delivery dates of the vessels to the seller by the builder. These options were not exercised and the Company has no further liability in respect of these vessels (see note 5).</w:t>
      </w:r>
    </w:p>
    <w:p>
      <w:pPr>
        <w:spacing w:after="0" w:line="187" w:lineRule="exact"/>
        <w:rPr>
          <w:rFonts w:ascii="Arial" w:cs="Arial" w:eastAsia="Arial" w:hAnsi="Arial"/>
          <w:sz w:val="15"/>
          <w:szCs w:val="15"/>
          <w:b w:val="1"/>
          <w:bCs w:val="1"/>
          <w:color w:val="auto"/>
        </w:rPr>
      </w:pPr>
    </w:p>
    <w:p>
      <w:pPr>
        <w:ind w:left="452"/>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b w:val="1"/>
          <w:bCs w:val="1"/>
          <w:color w:val="auto"/>
        </w:rPr>
      </w:pPr>
    </w:p>
    <w:p>
      <w:pPr>
        <w:ind w:left="452" w:right="18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Company has entered into long term time charters for its vessels at September 30, 2011. The charter hire is fixed for the duration of the charter. The charters for the vessels were originally for periods of between five and 17 years and the maximum future annual charter hire receivable for the fleet of 17 vessels as at September 30, 2011 is as follows:</w:t>
      </w:r>
    </w:p>
    <w:p>
      <w:pPr>
        <w:spacing w:after="0" w:line="164"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560" w:type="dxa"/>
            <w:vAlign w:val="bottom"/>
            <w:gridSpan w:val="4"/>
          </w:tcPr>
          <w:p>
            <w:pPr>
              <w:ind w:left="264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7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Year ending September 30,</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2013</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2015</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1,242,609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92"/>
          </w:cols>
          <w:pgMar w:left="248" w:top="274" w:right="259" w:bottom="1440" w:gutter="0" w:footer="0" w:header="0"/>
        </w:sectPr>
      </w:pPr>
    </w:p>
    <w:bookmarkStart w:id="28" w:name="page29"/>
    <w:bookmarkEnd w:id="2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b w:val="1"/>
          <w:bCs w:val="1"/>
          <w:color w:val="auto"/>
        </w:rPr>
      </w:pPr>
    </w:p>
    <w:p>
      <w:pPr>
        <w:ind w:left="452"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September 30, 2011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certain financial conditions, mainly relating to the historic record of dividend payments, have been met when the Class B common shares would convert to Class A common shares on a one-for-one basis. The financial conditions have not yet been met and accordingly the conversion has not taken place.</w:t>
      </w:r>
    </w:p>
    <w:p>
      <w:pPr>
        <w:spacing w:after="0" w:line="61" w:lineRule="exact"/>
        <w:rPr>
          <w:rFonts w:ascii="Arial" w:cs="Arial" w:eastAsia="Arial" w:hAnsi="Arial"/>
          <w:sz w:val="18"/>
          <w:szCs w:val="18"/>
          <w:b w:val="1"/>
          <w:bCs w:val="1"/>
          <w:color w:val="auto"/>
        </w:rPr>
      </w:pPr>
    </w:p>
    <w:p>
      <w:pPr>
        <w:ind w:left="452"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11).</w:t>
      </w:r>
    </w:p>
    <w:p>
      <w:pPr>
        <w:spacing w:after="0" w:line="50"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shares holders are entitled to is presented as part of interest expense.</w:t>
      </w:r>
    </w:p>
    <w:p>
      <w:pPr>
        <w:spacing w:after="0" w:line="4" w:lineRule="exact"/>
        <w:rPr>
          <w:rFonts w:ascii="Arial" w:cs="Arial" w:eastAsia="Arial" w:hAnsi="Arial"/>
          <w:sz w:val="18"/>
          <w:szCs w:val="18"/>
          <w:b w:val="1"/>
          <w:bCs w:val="1"/>
          <w:color w:val="auto"/>
        </w:rPr>
      </w:pPr>
    </w:p>
    <w:p>
      <w:pPr>
        <w:ind w:left="452"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August 24, 2010, 39,531,348 Public Warrants, which gave the holder the right to purchase one Class A common share at a price of $6, and 5,500,000 Sponsor Warrants, which had similar terms except that the exercise had to be on a cashless basis, expired. There are 6,188,088 Class A Warrants outstanding which expire on September 1, 2013 and give the holders the right to purchase one Class A common share at a price of $9.25.</w:t>
      </w:r>
    </w:p>
    <w:p>
      <w:pPr>
        <w:spacing w:after="0" w:line="2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As at September 30, 2011, total proceeds received in 2008 from the exercise of Public Warrants prior to their expiry were $3,027 (December 31, 2010:</w:t>
      </w:r>
    </w:p>
    <w:p>
      <w:pPr>
        <w:spacing w:after="0" w:line="38" w:lineRule="exact"/>
        <w:rPr>
          <w:rFonts w:ascii="Arial" w:cs="Arial" w:eastAsia="Arial" w:hAnsi="Arial"/>
          <w:sz w:val="18"/>
          <w:szCs w:val="18"/>
          <w:b w:val="1"/>
          <w:bCs w:val="1"/>
          <w:color w:val="auto"/>
        </w:rPr>
      </w:pPr>
    </w:p>
    <w:p>
      <w:pPr>
        <w:ind w:left="452" w:right="10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$3,027). Such funds are to be used to redeem the Series A preferred shares, with a minimum redemption amount of $5,000. As this threshold has not been reached, none of the preferred shares have been redeemed and the funds are classified as restricted cash in the balance sheet.</w:t>
      </w:r>
    </w:p>
    <w:p>
      <w:pPr>
        <w:spacing w:after="0" w:line="208" w:lineRule="exact"/>
        <w:rPr>
          <w:rFonts w:ascii="Arial" w:cs="Arial" w:eastAsia="Arial" w:hAnsi="Arial"/>
          <w:sz w:val="18"/>
          <w:szCs w:val="18"/>
          <w:b w:val="1"/>
          <w:bCs w:val="1"/>
          <w:color w:val="auto"/>
        </w:rPr>
      </w:pPr>
    </w:p>
    <w:p>
      <w:pPr>
        <w:ind w:left="452" w:hanging="452"/>
        <w:spacing w:after="0"/>
        <w:tabs>
          <w:tab w:leader="none" w:pos="4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As of September 30, 2011 a total of $580,000 of debt was swapped into fixed rate debt at a weighted average rate of 3.59%.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 of cash flows.</w:t>
      </w:r>
    </w:p>
    <w:p>
      <w:pPr>
        <w:spacing w:after="0" w:line="39" w:lineRule="exact"/>
        <w:rPr>
          <w:rFonts w:ascii="Arial" w:cs="Arial" w:eastAsia="Arial" w:hAnsi="Arial"/>
          <w:sz w:val="18"/>
          <w:szCs w:val="18"/>
          <w:b w:val="1"/>
          <w:bCs w:val="1"/>
          <w:color w:val="auto"/>
        </w:rPr>
      </w:pPr>
    </w:p>
    <w:p>
      <w:pPr>
        <w:ind w:left="452"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statement of income. In addition, the interest rate derivatives are “marked to market” at each reporting period end and are recorded at fair values. This generates unrealized gains or losses. The unrealized loss on interest rate derivatives for the three months ended September 30, 2011 was $6,090 (2010: $9,699). The unrealized loss on interest rate derivatives for the nine months ended September 30, 2011 was $4,930 (2010: $27,032).</w:t>
      </w:r>
    </w:p>
    <w:p>
      <w:pPr>
        <w:spacing w:after="0" w:line="62" w:lineRule="exact"/>
        <w:rPr>
          <w:rFonts w:ascii="Arial" w:cs="Arial" w:eastAsia="Arial" w:hAnsi="Arial"/>
          <w:sz w:val="18"/>
          <w:szCs w:val="18"/>
          <w:b w:val="1"/>
          <w:bCs w:val="1"/>
          <w:color w:val="auto"/>
        </w:rPr>
      </w:pPr>
    </w:p>
    <w:p>
      <w:pPr>
        <w:ind w:left="452"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September 30, 2011, these derivatives represented a liability of $49,365 (December 31, 2010: $44,435).</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72"/>
          </w:cols>
          <w:pgMar w:left="248" w:top="274"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07" w:lineRule="exact"/>
        <w:rPr>
          <w:sz w:val="20"/>
          <w:szCs w:val="20"/>
          <w:color w:val="auto"/>
        </w:rPr>
      </w:pPr>
    </w:p>
    <w:tbl>
      <w:tblPr>
        <w:tblLayout w:type="fixed"/>
        <w:tblInd w:w="698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Restricted Stock Units</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100" w:type="dxa"/>
            <w:vAlign w:val="bottom"/>
            <w:gridSpan w:val="2"/>
          </w:tcPr>
          <w:p>
            <w:pPr>
              <w:ind w:left="480"/>
              <w:spacing w:after="0"/>
              <w:rPr>
                <w:sz w:val="20"/>
                <w:szCs w:val="20"/>
                <w:color w:val="auto"/>
              </w:rPr>
            </w:pPr>
            <w:r>
              <w:rPr>
                <w:rFonts w:ascii="Arial" w:cs="Arial" w:eastAsia="Arial" w:hAnsi="Arial"/>
                <w:sz w:val="14"/>
                <w:szCs w:val="14"/>
                <w:color w:val="auto"/>
              </w:rPr>
              <w:t>Number of Units</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84"/>
              </w:rPr>
              <w:t>Weighted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Fair</w:t>
            </w:r>
          </w:p>
        </w:tc>
        <w:tc>
          <w:tcPr>
            <w:tcW w:w="720" w:type="dxa"/>
            <w:vAlign w:val="bottom"/>
          </w:tcPr>
          <w:p>
            <w:pPr>
              <w:jc w:val="center"/>
              <w:ind w:left="192"/>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3"/>
              </w:rPr>
              <w:t>Value on</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6"/>
              </w:rPr>
              <w:t>Value on</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5"/>
              </w:rPr>
              <w:t>Grant</w:t>
            </w:r>
          </w:p>
        </w:tc>
        <w:tc>
          <w:tcPr>
            <w:tcW w:w="72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5"/>
              </w:rPr>
              <w:t>Vesting</w:t>
            </w:r>
          </w:p>
        </w:tc>
        <w:tc>
          <w:tcPr>
            <w:tcW w:w="0" w:type="dxa"/>
            <w:vAlign w:val="bottom"/>
          </w:tcPr>
          <w:p>
            <w:pPr>
              <w:spacing w:after="0"/>
              <w:rPr>
                <w:sz w:val="1"/>
                <w:szCs w:val="1"/>
                <w:color w:val="auto"/>
              </w:rPr>
            </w:pPr>
          </w:p>
        </w:tc>
      </w:tr>
      <w:tr>
        <w:trPr>
          <w:trHeight w:val="172"/>
        </w:trPr>
        <w:tc>
          <w:tcPr>
            <w:tcW w:w="1000" w:type="dxa"/>
            <w:vAlign w:val="bottom"/>
          </w:tcPr>
          <w:p>
            <w:pPr>
              <w:spacing w:after="0"/>
              <w:rPr>
                <w:sz w:val="20"/>
                <w:szCs w:val="20"/>
                <w:color w:val="auto"/>
              </w:rPr>
            </w:pPr>
            <w:r>
              <w:rPr>
                <w:rFonts w:ascii="Arial" w:cs="Arial" w:eastAsia="Arial" w:hAnsi="Arial"/>
                <w:sz w:val="14"/>
                <w:szCs w:val="14"/>
                <w:color w:val="auto"/>
              </w:rPr>
              <w:t>Management</w:t>
            </w:r>
          </w:p>
        </w:tc>
        <w:tc>
          <w:tcPr>
            <w:tcW w:w="1100" w:type="dxa"/>
            <w:vAlign w:val="bottom"/>
          </w:tcPr>
          <w:p>
            <w:pPr>
              <w:ind w:left="300"/>
              <w:spacing w:after="0"/>
              <w:rPr>
                <w:sz w:val="20"/>
                <w:szCs w:val="20"/>
                <w:color w:val="auto"/>
              </w:rPr>
            </w:pPr>
            <w:r>
              <w:rPr>
                <w:rFonts w:ascii="Arial" w:cs="Arial" w:eastAsia="Arial" w:hAnsi="Arial"/>
                <w:sz w:val="14"/>
                <w:szCs w:val="14"/>
                <w:color w:val="auto"/>
              </w:rPr>
              <w:t>Directors</w:t>
            </w:r>
          </w:p>
        </w:tc>
        <w:tc>
          <w:tcPr>
            <w:tcW w:w="1060" w:type="dxa"/>
            <w:vAlign w:val="bottom"/>
          </w:tcPr>
          <w:p>
            <w:pPr>
              <w:jc w:val="center"/>
              <w:spacing w:after="0"/>
              <w:rPr>
                <w:sz w:val="20"/>
                <w:szCs w:val="20"/>
                <w:color w:val="auto"/>
              </w:rPr>
            </w:pPr>
            <w:r>
              <w:rPr>
                <w:rFonts w:ascii="Arial" w:cs="Arial" w:eastAsia="Arial" w:hAnsi="Arial"/>
                <w:sz w:val="14"/>
                <w:szCs w:val="14"/>
                <w:color w:val="auto"/>
                <w:w w:val="80"/>
              </w:rPr>
              <w:t>date</w:t>
            </w:r>
          </w:p>
        </w:tc>
        <w:tc>
          <w:tcPr>
            <w:tcW w:w="720" w:type="dxa"/>
            <w:vAlign w:val="bottom"/>
          </w:tcPr>
          <w:p>
            <w:pPr>
              <w:jc w:val="center"/>
              <w:ind w:left="192"/>
              <w:spacing w:after="0"/>
              <w:rPr>
                <w:sz w:val="20"/>
                <w:szCs w:val="20"/>
                <w:color w:val="auto"/>
              </w:rPr>
            </w:pPr>
            <w:r>
              <w:rPr>
                <w:rFonts w:ascii="Arial" w:cs="Arial" w:eastAsia="Arial" w:hAnsi="Arial"/>
                <w:sz w:val="14"/>
                <w:szCs w:val="14"/>
                <w:color w:val="auto"/>
                <w:w w:val="80"/>
              </w:rPr>
              <w:t>date</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2010</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560,000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150,273</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4.21</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Vested in January 2010</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(150,273)</w:t>
            </w:r>
          </w:p>
        </w:tc>
        <w:tc>
          <w:tcPr>
            <w:tcW w:w="540" w:type="dxa"/>
            <w:vAlign w:val="bottom"/>
          </w:tcPr>
          <w:p>
            <w:pPr>
              <w:jc w:val="right"/>
              <w:spacing w:after="0"/>
              <w:rPr>
                <w:sz w:val="20"/>
                <w:szCs w:val="20"/>
                <w:color w:val="auto"/>
              </w:rPr>
            </w:pPr>
            <w:r>
              <w:rPr>
                <w:rFonts w:ascii="Arial" w:cs="Arial" w:eastAsia="Arial" w:hAnsi="Arial"/>
                <w:sz w:val="18"/>
                <w:szCs w:val="18"/>
                <w:color w:val="auto"/>
              </w:rPr>
              <w:t>1.83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 2010</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58,511</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Vested in September 2010</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(210,000)</w:t>
            </w:r>
          </w:p>
        </w:tc>
        <w:tc>
          <w:tcPr>
            <w:tcW w:w="11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(90,000)</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2010</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260,000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58,511</w:t>
            </w:r>
          </w:p>
        </w:tc>
        <w:tc>
          <w:tcPr>
            <w:tcW w:w="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2011</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(58,511)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 on March 17, 2011</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spacing w:after="0"/>
              <w:rPr>
                <w:sz w:val="20"/>
                <w:szCs w:val="20"/>
                <w:color w:val="auto"/>
              </w:rPr>
            </w:pPr>
            <w:r>
              <w:rPr>
                <w:rFonts w:ascii="Arial" w:cs="Arial" w:eastAsia="Arial" w:hAnsi="Arial"/>
                <w:sz w:val="18"/>
                <w:szCs w:val="18"/>
                <w:color w:val="auto"/>
              </w:rPr>
              <w:t>17,886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6.15</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2011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(206,250)</w:t>
            </w:r>
          </w:p>
        </w:tc>
        <w:tc>
          <w:tcPr>
            <w:tcW w:w="1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 on September 2, 2011</w:t>
            </w: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September 30, 2011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218,750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 of income over the vesting period. During the three months and nine months ended September 30, 2011, the Company recognized a total of $145 (2010: $223) and $456 (2010: $849) share based compensation cost respectively. As at September 30, 2011, there was a total of $435 unrecognized compensation cost relating to the above share based awards (December 31, 2010: $255). The remaining cost is expected to be recognized over a period of 25 months.</w:t>
      </w:r>
    </w:p>
    <w:p>
      <w:pPr>
        <w:spacing w:after="0" w:line="62" w:lineRule="exact"/>
        <w:rPr>
          <w:sz w:val="20"/>
          <w:szCs w:val="20"/>
          <w:color w:val="auto"/>
        </w:rPr>
      </w:pPr>
    </w:p>
    <w:p>
      <w:pPr>
        <w:ind w:left="460" w:right="320"/>
        <w:spacing w:after="0" w:line="298" w:lineRule="auto"/>
        <w:rPr>
          <w:sz w:val="20"/>
          <w:szCs w:val="20"/>
          <w:color w:val="auto"/>
        </w:rPr>
      </w:pPr>
      <w:r>
        <w:rPr>
          <w:rFonts w:ascii="Arial" w:cs="Arial" w:eastAsia="Arial" w:hAnsi="Arial"/>
          <w:sz w:val="16"/>
          <w:szCs w:val="16"/>
          <w:color w:val="auto"/>
        </w:rPr>
        <w:t>The restricted stock units granted to three members of management on August 14, 2008 were to vest over a period of three years; one third on the first anniversary of the merger, one third on the second anniversary and one third on the third anniversary. The vesting dates were amended and a total of 260,000 vested in September and October 2009, a further 260,000 vested in September and October 2010 and for the final tranche 195,000 units vested during September 2011 and the balance of 65,000 units vested during October 2011.</w:t>
      </w:r>
    </w:p>
    <w:p>
      <w:pPr>
        <w:spacing w:after="0" w:line="32"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restricted stock units granted to one member of management on November 12, 2008 were to vest over a period of two years; half on the first anniversary of the merger and half on the second anniversary. The vesting date of the both tranches was amended and a total of 40,000 vested in September and October 2009 and the remaining 40,000 vested in September and October 2010.</w:t>
      </w:r>
    </w:p>
    <w:p>
      <w:pPr>
        <w:spacing w:after="0" w:line="59"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restricted stock units granted to Directors on May 18, 2009 and March 1, 2010 vested in January 2010 and January 2011 respectively. The restricted stock units granted to Directors on March 17, 2011 will vest in January 2012.</w:t>
      </w:r>
    </w:p>
    <w:p>
      <w:pPr>
        <w:spacing w:after="0" w:line="5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Restricted stock units totalling 15,000 were granted to one member of management on March 17, 2011 to vest in September and October 2011. 11,250 units vested during September 2011 and the balance of 3,750 units vested during October 2011. The restricted stock units granted to four members of management on September 2, 2011 are to vest over two years; half during September and October 2012 and the remaining half during September and October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274" w:right="239" w:bottom="1440" w:gutter="0" w:footer="0" w:header="0"/>
        </w:sectPr>
      </w:pPr>
    </w:p>
    <w:bookmarkStart w:id="30" w:name="page31"/>
    <w:bookmarkEnd w:id="30"/>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52" w:hanging="452"/>
        <w:spacing w:after="0"/>
        <w:tabs>
          <w:tab w:leader="none" w:pos="4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52"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b w:val="1"/>
          <w:bCs w:val="1"/>
          <w:color w:val="auto"/>
        </w:rPr>
      </w:pPr>
    </w:p>
    <w:p>
      <w:pPr>
        <w:ind w:left="452"/>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nine months ended September 30, 2011, no dividend was declared (2010: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39" w:lineRule="exact"/>
        <w:rPr>
          <w:rFonts w:ascii="Arial" w:cs="Arial" w:eastAsia="Arial" w:hAnsi="Arial"/>
          <w:sz w:val="18"/>
          <w:szCs w:val="18"/>
          <w:b w:val="1"/>
          <w:bCs w:val="1"/>
          <w:color w:val="auto"/>
        </w:rPr>
      </w:pPr>
    </w:p>
    <w:p>
      <w:pPr>
        <w:ind w:left="45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59" w:lineRule="exact"/>
        <w:rPr>
          <w:rFonts w:ascii="Arial" w:cs="Arial" w:eastAsia="Arial" w:hAnsi="Arial"/>
          <w:sz w:val="18"/>
          <w:szCs w:val="18"/>
          <w:b w:val="1"/>
          <w:bCs w:val="1"/>
          <w:color w:val="auto"/>
        </w:rPr>
      </w:pPr>
    </w:p>
    <w:p>
      <w:pPr>
        <w:ind w:left="4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at $6.00, expired. At September 30, 2011, there were 6,188,088 Class A Warrants to purchase Class A common shares at an exercise price of $9.25 outstanding which are due to expire on September 1, 2013. In addition, there were 236,636 restricted stock units granted and unvested as part of management’s equity incentive plan and as part of the Directors’ compensation for 2011. As of September 30, 2011 only Class A and B common shares are participating securities.</w:t>
      </w:r>
    </w:p>
    <w:p>
      <w:pPr>
        <w:spacing w:after="0" w:line="61" w:lineRule="exact"/>
        <w:rPr>
          <w:rFonts w:ascii="Arial" w:cs="Arial" w:eastAsia="Arial" w:hAnsi="Arial"/>
          <w:sz w:val="18"/>
          <w:szCs w:val="18"/>
          <w:b w:val="1"/>
          <w:bCs w:val="1"/>
          <w:color w:val="auto"/>
        </w:rPr>
      </w:pPr>
    </w:p>
    <w:p>
      <w:pPr>
        <w:ind w:left="452" w:right="5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For the three and nine months ended September 30, 2011 and September 30, 2010,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had an antidilutive effect.</w:t>
      </w:r>
    </w:p>
    <w:p>
      <w:pPr>
        <w:spacing w:after="0" w:line="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392"/>
          </w:cols>
          <w:pgMar w:left="248" w:top="274" w:right="259" w:bottom="1440" w:gutter="0" w:footer="0" w:header="0"/>
        </w:sectPr>
      </w:pPr>
    </w:p>
    <w:bookmarkStart w:id="31" w:name="page32"/>
    <w:bookmarkEnd w:id="31"/>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Earnings per Share (continued)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720" w:type="dxa"/>
            <w:vAlign w:val="bottom"/>
            <w:gridSpan w:val="2"/>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(B)</w:t>
            </w:r>
          </w:p>
        </w:tc>
        <w:tc>
          <w:tcPr>
            <w:tcW w:w="10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47,211,396</w:t>
            </w: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46,852,478</w:t>
            </w:r>
          </w:p>
        </w:tc>
        <w:tc>
          <w:tcPr>
            <w:tcW w:w="10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47,195,676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46,837,885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720" w:type="dxa"/>
            <w:vAlign w:val="bottom"/>
            <w:gridSpan w:val="2"/>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tcPr>
          <w:p>
            <w:pPr>
              <w:spacing w:after="0"/>
              <w:rPr>
                <w:sz w:val="24"/>
                <w:szCs w:val="2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47,211,396</w:t>
            </w:r>
          </w:p>
        </w:tc>
        <w:tc>
          <w:tcPr>
            <w:tcW w:w="80" w:type="dxa"/>
            <w:vAlign w:val="bottom"/>
          </w:tcPr>
          <w:p>
            <w:pPr>
              <w:spacing w:after="0"/>
              <w:rPr>
                <w:sz w:val="24"/>
                <w:szCs w:val="2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46,852,478</w:t>
            </w:r>
          </w:p>
        </w:tc>
        <w:tc>
          <w:tcPr>
            <w:tcW w:w="100" w:type="dxa"/>
            <w:vAlign w:val="bottom"/>
          </w:tcPr>
          <w:p>
            <w:pPr>
              <w:spacing w:after="0"/>
              <w:rPr>
                <w:sz w:val="24"/>
                <w:szCs w:val="2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86"/>
              </w:rPr>
              <w:t>47,195,676</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46,837,885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(D)</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720" w:type="dxa"/>
            <w:vAlign w:val="bottom"/>
            <w:gridSpan w:val="2"/>
          </w:tcPr>
          <w:p>
            <w:pPr>
              <w:spacing w:after="0"/>
              <w:rPr>
                <w:sz w:val="20"/>
                <w:szCs w:val="20"/>
                <w:color w:val="auto"/>
              </w:rPr>
            </w:pPr>
            <w:r>
              <w:rPr>
                <w:rFonts w:ascii="Arial" w:cs="Arial" w:eastAsia="Arial" w:hAnsi="Arial"/>
                <w:sz w:val="18"/>
                <w:szCs w:val="18"/>
                <w:color w:val="auto"/>
              </w:rPr>
              <w:t>Common shares (H)</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24"/>
                <w:szCs w:val="24"/>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available to shareholders</w:t>
            </w:r>
          </w:p>
        </w:tc>
        <w:tc>
          <w:tcPr>
            <w:tcW w:w="1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Net loss available for Class A (A)</w:t>
            </w:r>
          </w:p>
        </w:tc>
        <w:tc>
          <w:tcPr>
            <w:tcW w:w="10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(A/B)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Class B (C/D)</w:t>
            </w:r>
          </w:p>
        </w:tc>
        <w:tc>
          <w:tcPr>
            <w:tcW w:w="100" w:type="dxa"/>
            <w:vAlign w:val="bottom"/>
          </w:tcPr>
          <w:p>
            <w:pPr>
              <w:spacing w:after="0"/>
              <w:rPr>
                <w:sz w:val="19"/>
                <w:szCs w:val="19"/>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loss available to shareholders</w:t>
            </w:r>
          </w:p>
        </w:tc>
        <w:tc>
          <w:tcPr>
            <w:tcW w:w="1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Available to:</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tcPr>
          <w:p>
            <w:pPr>
              <w:spacing w:after="0"/>
              <w:rPr>
                <w:sz w:val="18"/>
                <w:szCs w:val="18"/>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Net loss available for Class A (E)</w:t>
            </w:r>
          </w:p>
        </w:tc>
        <w:tc>
          <w:tcPr>
            <w:tcW w:w="10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4"/>
                <w:szCs w:val="2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7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(E/F)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Class B (G/H)</w:t>
            </w:r>
          </w:p>
        </w:tc>
        <w:tc>
          <w:tcPr>
            <w:tcW w:w="100" w:type="dxa"/>
            <w:vAlign w:val="bottom"/>
          </w:tcPr>
          <w:p>
            <w:pPr>
              <w:spacing w:after="0"/>
              <w:rPr>
                <w:sz w:val="19"/>
                <w:szCs w:val="19"/>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Page 15</w:t>
      </w:r>
    </w:p>
    <w:sectPr>
      <w:pgSz w:w="11900" w:h="16838" w:orient="portrait"/>
      <w:cols w:equalWidth="0" w:num="1">
        <w:col w:w="10960"/>
      </w:cols>
      <w:pgMar w:left="24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63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lvl w:ilvl="1">
      <w:lvlJc w:val="left"/>
      <w:lvlText w:val="(%2)"/>
      <w:numFmt w:val="lowerLetter"/>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2"/>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decimal"/>
      <w:start w:val="2"/>
    </w:lvl>
    <w:lvl w:ilvl="1">
      <w:lvlJc w:val="left"/>
      <w:lvlText w:val="(%2)"/>
      <w:numFmt w:val="lowerLetter"/>
      <w:start w:val="2"/>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3"/>
    </w:lvl>
  </w:abstractNum>
  <w:abstractNum w:abstractNumId="14">
    <w:nsid w:val="3F2DBA31"/>
    <w:multiLevelType w:val="hybridMultilevel"/>
    <w:lvl w:ilvl="0">
      <w:lvlJc w:val="left"/>
      <w:lvlText w:val="%1."/>
      <w:numFmt w:val="decimal"/>
      <w:start w:val="6"/>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decimal"/>
      <w:start w:val="6"/>
    </w:lvl>
  </w:abstractNum>
  <w:abstractNum w:abstractNumId="17">
    <w:nsid w:val="62BBD95A"/>
    <w:multiLevelType w:val="hybridMultilevel"/>
    <w:lvl w:ilvl="0">
      <w:lvlJc w:val="left"/>
      <w:lvlText w:val="%1."/>
      <w:numFmt w:val="decimal"/>
      <w:start w:val="7"/>
    </w:lvl>
  </w:abstractNum>
  <w:abstractNum w:abstractNumId="18">
    <w:nsid w:val="436C6125"/>
    <w:multiLevelType w:val="hybridMultilevel"/>
    <w:lvl w:ilvl="0">
      <w:lvlJc w:val="left"/>
      <w:lvlText w:val="%1."/>
      <w:numFmt w:val="decimal"/>
      <w:start w:val="7"/>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2"/>
    </w:lvl>
  </w:abstractNum>
  <w:abstractNum w:abstractNumId="21">
    <w:nsid w:val="721DA317"/>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2019-12-11T06:50:48Z</dcterms:created>
  <dcterms:modified xsi:type="dcterms:W3CDTF">2019-12-11T06:50:48Z</dcterms:modified>
</cp:coreProperties>
</file>