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Date of Report: July 28, 2014</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5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 (b)(1).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 (b)(7).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368"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Attached hereto as Exhibit I is a press release dated July 28, 2014 of Global Ship Lease, Inc. (the “Company”) reporting the Company’s financial results for the second quarter of 2014. Attached hereto as Exhibit II are the Company’s interim unaudited consolidated financial statements for the six months ended June 30, 2014.</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28, 2014</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Leon Berman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212-477-8438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2014</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LONDON, ENGLAND — July 28, 2014 </w:t>
      </w:r>
      <w:r>
        <w:rPr>
          <w:rFonts w:ascii="Arial" w:cs="Arial" w:eastAsia="Arial" w:hAnsi="Arial"/>
          <w:sz w:val="18"/>
          <w:szCs w:val="18"/>
          <w:color w:val="auto"/>
        </w:rPr>
        <w:t>- 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and six months ended June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 Highlights</w:t>
      </w:r>
    </w:p>
    <w:p>
      <w:pPr>
        <w:spacing w:after="0" w:line="13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$33.5 million for the second quarter 2014. Revenue for the six months ended June 30, 2014 was $67.5 million</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loss of $2.3 million for the second quarter 2014. For the six months ended June 30, 2014, net loss was $0.4 million after a $1.9 million non-cash mark-to-market gain and non-cash $3.0 million accelerated write off of deferred financing costs</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Generated $19.8 million of Adjusted EBITDA </w:t>
      </w:r>
      <w:r>
        <w:rPr>
          <w:rFonts w:ascii="Arial" w:cs="Arial" w:eastAsia="Arial" w:hAnsi="Arial"/>
          <w:sz w:val="15"/>
          <w:szCs w:val="15"/>
          <w:color w:val="auto"/>
        </w:rPr>
        <w:t>(1)</w:t>
      </w:r>
      <w:r>
        <w:rPr>
          <w:rFonts w:ascii="Arial" w:cs="Arial" w:eastAsia="Arial" w:hAnsi="Arial"/>
          <w:sz w:val="18"/>
          <w:szCs w:val="18"/>
          <w:color w:val="auto"/>
        </w:rPr>
        <w:t xml:space="preserve"> for the second quarter 2014. Adjusted EBITDA for the six months ended June 30, 2014 was $40.6 million</w:t>
      </w:r>
    </w:p>
    <w:p>
      <w:pPr>
        <w:spacing w:after="0" w:line="75"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Normalized net loss </w:t>
      </w:r>
      <w:r>
        <w:rPr>
          <w:rFonts w:ascii="Arial" w:cs="Arial" w:eastAsia="Arial" w:hAnsi="Arial"/>
          <w:sz w:val="15"/>
          <w:szCs w:val="15"/>
          <w:color w:val="auto"/>
        </w:rPr>
        <w:t>(1)</w:t>
      </w:r>
      <w:r>
        <w:rPr>
          <w:rFonts w:ascii="Arial" w:cs="Arial" w:eastAsia="Arial" w:hAnsi="Arial"/>
          <w:sz w:val="18"/>
          <w:szCs w:val="18"/>
          <w:color w:val="auto"/>
        </w:rPr>
        <w:t xml:space="preserve"> is the same as reported net loss at $2.3 million for the second quarter 2014. Excluding the non-cash items normalized net income was $0.6 million for the six months ended June 30, 2014</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a new time charter with Sea Consortium, doing business as X-press Feeders, on May 7, 2014 for Ville d’Aquarius, a 4,113 TEU vessel, at a gross rate of $7,490 per day for 180 days plus or minus 30 days at charterer’s option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Expanded the Board of Directors by appointing on May 8, 2014 Alain Wils and John van de Merwe, nominated by the company’s largest shareholder,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CMA CGM</w:t>
      </w:r>
    </w:p>
    <w:p>
      <w:pPr>
        <w:spacing w:after="0" w:line="116" w:lineRule="exact"/>
        <w:rPr>
          <w:rFonts w:ascii="Arial" w:cs="Arial" w:eastAsia="Arial" w:hAnsi="Arial"/>
          <w:sz w:val="16"/>
          <w:szCs w:val="16"/>
          <w:color w:val="auto"/>
        </w:rPr>
      </w:pPr>
    </w:p>
    <w:p>
      <w:pPr>
        <w:ind w:left="460" w:right="1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a new time charter with Sea Consortium, on July 17, 2014 for Ville d’Orion, a 4,113 TEU vessel, at a gross rate of $8,000 per day for six to 12 months at charterer’s option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Ian Webber, Chief Executive Officer of Global Ship Lease, stated, “In the second quarter of 2014, during which our two 4,113 TEU vessels, </w:t>
      </w:r>
      <w:r>
        <w:rPr>
          <w:rFonts w:ascii="Arial" w:cs="Arial" w:eastAsia="Arial" w:hAnsi="Arial"/>
          <w:sz w:val="18"/>
          <w:szCs w:val="18"/>
          <w:i w:val="1"/>
          <w:iCs w:val="1"/>
          <w:color w:val="auto"/>
        </w:rPr>
        <w:t>Ville d’Aquarius</w:t>
      </w:r>
      <w:r>
        <w:rPr>
          <w:rFonts w:ascii="Arial" w:cs="Arial" w:eastAsia="Arial" w:hAnsi="Arial"/>
          <w:sz w:val="18"/>
          <w:szCs w:val="18"/>
          <w:color w:val="auto"/>
        </w:rPr>
        <w:t xml:space="preserve"> and </w:t>
      </w:r>
      <w:r>
        <w:rPr>
          <w:rFonts w:ascii="Arial" w:cs="Arial" w:eastAsia="Arial" w:hAnsi="Arial"/>
          <w:sz w:val="18"/>
          <w:szCs w:val="18"/>
          <w:i w:val="1"/>
          <w:iCs w:val="1"/>
          <w:color w:val="auto"/>
        </w:rPr>
        <w:t>Ville d’Orion</w:t>
      </w:r>
      <w:r>
        <w:rPr>
          <w:rFonts w:ascii="Arial" w:cs="Arial" w:eastAsia="Arial" w:hAnsi="Arial"/>
          <w:sz w:val="18"/>
          <w:szCs w:val="18"/>
          <w:color w:val="auto"/>
        </w:rPr>
        <w:t>, were redelivered at the conclusion of charters to CMA CGM, our fleet generated Adjusted EBITDA of $19.8 million. We are pleased to have agreed to new time charters with Sea Consortium for these vessels, thereby again achieving 100% contract coverage. By establishing and expanding our commercial relationship with Sea Consortium, we have taken meaningful steps in diversifying our charter portfolio and increasing our contracted revenue stream.”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Webber continued, “We remain confident in the long-term, underlying fundamentals of the industry and believe the Company is well-positioned for growth. Drawing on our strong financial flexibility, we continue to actively pursue accretive opportunities to expand our fleet and future earnings power while enhancing shareholder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Three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Three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months</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months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months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ended</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ended</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4"/>
              </w:rPr>
              <w:t>33,500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35,867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67,538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Income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9,734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12,796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20,583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(2,286)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10,128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19,767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22,922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40,649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Normalised Net (loss) Income </w:t>
            </w:r>
            <w:r>
              <w:rPr>
                <w:rFonts w:ascii="Arial" w:cs="Arial" w:eastAsia="Arial" w:hAnsi="Arial"/>
                <w:sz w:val="15"/>
                <w:szCs w:val="15"/>
                <w:color w:val="auto"/>
              </w:rPr>
              <w:t>(1)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(2,286)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598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8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and Normalized net (loss)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17 vessel fleet generated revenue from fixed rate, mainly long-term time, charters of $33.5 million in the three months ended June 30, 2014, down $2.4 million on revenue of $35.9 million for the comparative period in 2013 due mainly to reduced revenue for four vessels, following charter extensions by three years at a lower daily rate of $15,300 compared to $18,465 previously, effective February 1, 2014 and from 48 days idle time in the quarter for Ville d’Aquarius and Ville d’Orion from their redelivery by the previous charterer, CMA CGM, in late April and in late May respectively, until the commencement of new charters on May 7, 2014 and July 17, 2014 respectively. There were 1,547 ownership days in the quarter, the same as the comparable period in 2013. There was one day of unplanned offhire and 48 days idle in the three months ended June 30, 2014 giving a utilization of 96.8%. In the comparable period of 2013, there was one unplanned day offhire, for utilization of 99.9%.</w:t>
      </w:r>
    </w:p>
    <w:p>
      <w:pPr>
        <w:spacing w:after="0" w:line="1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the six months ended June 30, 2014, revenue was $67.5 million, down $3.6 million on revenue of $71.1 million in the comparative period, mainly due to lower revenue on the four extended charters and idle time on the two 4,113 TEU vessels, offset by lower offhire from planned drydockings.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shows fleet utilization for the three and six months ended June 30, 2014 and 2013 and for the years ended December 31, 2013, 2012, 2011 and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Six months ended</w:t>
            </w: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1"/>
              </w:rPr>
              <w:t>Dec 31,</w:t>
            </w: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1"/>
              </w:rPr>
              <w:t>Dec 31,</w:t>
            </w: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w w:val="86"/>
              </w:rPr>
              <w:t>Dec 31,</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23"/>
        </w:trPr>
        <w:tc>
          <w:tcPr>
            <w:tcW w:w="488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8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June 30,</w:t>
            </w:r>
          </w:p>
        </w:tc>
        <w:tc>
          <w:tcPr>
            <w:tcW w:w="4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June 30,</w:t>
            </w:r>
          </w:p>
        </w:tc>
        <w:tc>
          <w:tcPr>
            <w:tcW w:w="36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85"/>
              </w:rPr>
              <w:t>June 30,</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3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880" w:type="dxa"/>
            <w:vAlign w:val="bottom"/>
            <w:gridSpan w:val="3"/>
            <w:vMerge w:val="continue"/>
          </w:tcPr>
          <w:p>
            <w:pPr>
              <w:spacing w:after="0"/>
              <w:rPr>
                <w:sz w:val="13"/>
                <w:szCs w:val="13"/>
                <w:color w:val="auto"/>
              </w:rPr>
            </w:pPr>
          </w:p>
        </w:tc>
        <w:tc>
          <w:tcPr>
            <w:tcW w:w="480" w:type="dxa"/>
            <w:vAlign w:val="bottom"/>
          </w:tcPr>
          <w:p>
            <w:pPr>
              <w:ind w:left="100"/>
              <w:spacing w:after="0" w:line="154"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3"/>
                <w:szCs w:val="13"/>
                <w:color w:val="auto"/>
              </w:rPr>
            </w:pPr>
          </w:p>
        </w:tc>
        <w:tc>
          <w:tcPr>
            <w:tcW w:w="480" w:type="dxa"/>
            <w:vAlign w:val="bottom"/>
          </w:tcPr>
          <w:p>
            <w:pPr>
              <w:jc w:val="right"/>
              <w:ind w:right="14"/>
              <w:spacing w:after="0" w:line="154"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3"/>
                <w:szCs w:val="13"/>
                <w:color w:val="auto"/>
              </w:rPr>
            </w:pPr>
          </w:p>
        </w:tc>
        <w:tc>
          <w:tcPr>
            <w:tcW w:w="500" w:type="dxa"/>
            <w:vAlign w:val="bottom"/>
          </w:tcPr>
          <w:p>
            <w:pPr>
              <w:jc w:val="right"/>
              <w:ind w:right="16"/>
              <w:spacing w:after="0" w:line="154" w:lineRule="exact"/>
              <w:rPr>
                <w:sz w:val="20"/>
                <w:szCs w:val="20"/>
                <w:color w:val="auto"/>
              </w:rPr>
            </w:pPr>
            <w:r>
              <w:rPr>
                <w:rFonts w:ascii="Arial" w:cs="Arial" w:eastAsia="Arial" w:hAnsi="Arial"/>
                <w:sz w:val="14"/>
                <w:szCs w:val="14"/>
                <w:color w:val="auto"/>
              </w:rPr>
              <w:t>2014</w:t>
            </w:r>
          </w:p>
        </w:tc>
        <w:tc>
          <w:tcPr>
            <w:tcW w:w="360" w:type="dxa"/>
            <w:vAlign w:val="bottom"/>
          </w:tcPr>
          <w:p>
            <w:pPr>
              <w:spacing w:after="0"/>
              <w:rPr>
                <w:sz w:val="13"/>
                <w:szCs w:val="13"/>
                <w:color w:val="auto"/>
              </w:rPr>
            </w:pPr>
          </w:p>
        </w:tc>
        <w:tc>
          <w:tcPr>
            <w:tcW w:w="480" w:type="dxa"/>
            <w:vAlign w:val="bottom"/>
          </w:tcPr>
          <w:p>
            <w:pPr>
              <w:jc w:val="right"/>
              <w:ind w:right="14"/>
              <w:spacing w:after="0" w:line="154"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60" w:type="dxa"/>
            <w:vAlign w:val="bottom"/>
          </w:tcPr>
          <w:p>
            <w:pPr>
              <w:jc w:val="right"/>
              <w:ind w:right="14"/>
              <w:spacing w:after="0" w:line="154"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1,547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1,547</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3,077</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3,077</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6,205</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6,222</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6,205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Idle time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days</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1,498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1,546</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3,023</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6,177</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6,124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6,099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6,202</w:t>
            </w:r>
          </w:p>
        </w:tc>
        <w:tc>
          <w:tcPr>
            <w:tcW w:w="0" w:type="dxa"/>
            <w:vAlign w:val="bottom"/>
          </w:tcPr>
          <w:p>
            <w:pPr>
              <w:spacing w:after="0"/>
              <w:rPr>
                <w:sz w:val="1"/>
                <w:szCs w:val="1"/>
                <w:color w:val="auto"/>
              </w:rPr>
            </w:pPr>
          </w:p>
        </w:tc>
      </w:tr>
      <w:tr>
        <w:trPr>
          <w:trHeight w:val="324"/>
        </w:trPr>
        <w:tc>
          <w:tcPr>
            <w:tcW w:w="4880" w:type="dxa"/>
            <w:vAlign w:val="bottom"/>
            <w:gridSpan w:val="3"/>
          </w:tcPr>
          <w:p>
            <w:pPr>
              <w:spacing w:after="0"/>
              <w:rPr>
                <w:sz w:val="20"/>
                <w:szCs w:val="20"/>
                <w:color w:val="auto"/>
              </w:rPr>
            </w:pPr>
            <w:r>
              <w:rPr>
                <w:rFonts w:ascii="Arial" w:cs="Arial" w:eastAsia="Arial" w:hAnsi="Arial"/>
                <w:sz w:val="18"/>
                <w:szCs w:val="18"/>
                <w:color w:val="auto"/>
              </w:rPr>
              <w:t>Utilization</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99.9%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98.3%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drydockings in the first half of 2014. Two vessels were drydocked in the comparative period. Two regulatory drydockings are scheduled for later in 2014 and none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Vessel operating expenses, which include costs of crew, lubricating oil, spares and insurance, were $12.1 million for the three months ended June 30, 2014. The average cost per ownership day in the quarter was $7,853 compared to $7,504 for the comparative period, up $349 or 4.7%. Second quarter average cost per ownership day was up $434 or 5.9% on $7,419 for the rolling four quarters ended March 31, 2014. The increases are mostly from higher spend on maintenance due to the phasing of generator overhauls and from the cost of bunkers consumed, for owners account, while the two 4,113 TEU vessels were idle and for positioning Ville d’Aquarius for the commencement of her new charter on May 7, 2014.</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six months ended June 30, 2014 vessel operating expenses were $23.7 million or an average of $7,696 per day compared to $23.2 million in the comparative period or $7,525 per day.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June 30, 2014 was $10.0 million, compared to $10.1 million in the second quarter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six months ended June 30, 2014 was $20.1 million, compared to $20.2 million in the comparative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costs were $1.7 million in the three months ended June 30, 2014, compared to $1.5 million in the second quarter of 2013.</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six months ended June 30, 2014, general and administrative costs were $3.4 million compared to $3.1 million for 2013. The increase is due mainly to costs associated with the issuance of the Notes which could not be capitalized.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June 30, 2014 was $0.1 million, compared to $0.2 million in the second quarter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2014, other operating income was $0.2 million, the same as for the comparative period.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above, Adjusted EBITDA was $19.8 million for the three months ended June 30, 2014 down from $22.9 million for the three months ended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six months ended June 30, 2014 was $40.6 million, compared to $45.1 million for the comparative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Until March 19, 2014 the Company’s borrowings comprised amounts outstanding under its credit facility, which carried interest at US $ LIBOR plus a margin, most recently 3.75%, and $45 million preferred shares, which carries interest at US $ LIBOR plus a margin of 2.00%. The Company hedged its interest rate exposure by entering into derivatives that swapped floating rate debt for fixed rate debt to provide long-term stability and predictability to cash flows.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19, 2014, the outstanding borrowings under the credit facility totaling $366.4 million were repaid out of the proceeds of $420.0 million aggregate principal amount of 10.0% First Priority Secured Notes due 2019 (the “Notes”). In addition, the $277.0 million nominal amount of interest rate derivatives outstanding were terminated on March 19, 2014 for a final payment of $19.3 million.</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expense for the three months ended June 30, 2014, including interest and the amortization of deferred financing costs and of the original issue discount on the Notes, interest on the $45.0 million preferred shares and the commitment fee on the Company’s new and undrawn $40.0 million revolving credit facility, was $12.0 million.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second quarter 2013, interest expense, including amortization of deferred financing costs, was $4.8 million, on borrowings averaging $410.9 million under the Company’s credit facility and the $45.0 million preferred shares.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six months ended June 30, 2014, interest expense (including the amortization of deferred financing costs and from March 19, 2014 of the original issue discount on the Notes) on borrowings under the credit facility up to March 19, 2014, on the Notes from that date, on the $45.0 million preferred shares and including the commitment fee on the million revolving credit facility was $20.2 million. Amortization of deferred financing costs includes accelerated write off of $3.0 million being the balance of such costs associated with the credit facility.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for the six months ended June 30, 2013 was $9.7 million on an average amount outstanding on the credit facility during that period of $418.2 million and $45.0 million of preferred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six months ended June 30, 2014 and 2013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hedged its interest rate exposure by entering into derivatives that swap floating rate debt for fixed rate debt. These hedges did not qualify for hedge accounting under US GAAP and the outstanding hedges were marked to market at each period end with any change in the fair value being booked to the income and expenditure account. The Company’s derivative hedging instruments were terminated on March 19, 2014 and consequently had no effect in the three months ended June 30, 2014. They gave a realized loss of $2.9 million in the three months ended June 30, 2013 for settlements in the period, as US $ LIBOR rates were lower than the average fixed rates. Further, there was a $5.0 million unrealized gain for revaluation of the balance sheet.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six months ended June 30, 2014, the realized loss from hedges was $2.8 million and the unrealized gain was $1.9 million. This compares to a realized loss of $8.3 million and an unrealized gain of $10.4 million in the six months ended June 30,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June 30, 2014 was $22,000, compared to $16,000 in the second quarter of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six months ended June 30, 2014 was $41,000, compared to $39,000 for the comparative period in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Loss/Income</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Net loss for the three months ended June 30, 2014 was $2.3 million. For the three months ended June 30, 2013 net income was $10.1 million, after the $5.0 million non-cash interest rate derivative mark-to-market gain. Normalized net loss, which excludes when applicable the effect of the non-cash interest rate derivative mark-to-market gains and losses was $2.3 million for the three months ended June 30, 2014, which is the same as the reported net loss, and $5.1 million for the three months ended June 30, 2013.</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loss was $0.4 million for the six months ended June 30, 2014 after a $1.9 million non-cash mark-to-market gain on interest rate derivatives and a non-cash $3.0 million accelerated write off of deferred financing costs. For the six months ended June 30, 2013, net income was $17.4 million after a $10.4 million non-cash interest rate derivative mark-to-market gain.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board of directors is committed to paying a meaningful dividend once this can be sustained and provided that it is in the best interests of shareholders at the time. In the meantime, Global Ship Lease is not paying a dividend on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information about the on-the-water fleet of 17 vessels, of which 15 are chartered to CMA CGM and two (Ville d’Orion from July 17, 2014) to Sea Consortium, doing business as X-press Feeders.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Capacity</w:t>
            </w: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Charter</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Charter</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464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Charterer</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 xml:space="preserve">Term </w:t>
            </w:r>
            <w:r>
              <w:rPr>
                <w:rFonts w:ascii="Arial" w:cs="Arial" w:eastAsia="Arial" w:hAnsi="Arial"/>
                <w:sz w:val="12"/>
                <w:szCs w:val="12"/>
                <w:b w:val="1"/>
                <w:bCs w:val="1"/>
                <w:color w:val="auto"/>
                <w:w w:val="94"/>
              </w:rPr>
              <w:t>(2)</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Expiry</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5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Built</w:t>
            </w:r>
          </w:p>
        </w:tc>
        <w:tc>
          <w:tcPr>
            <w:tcW w:w="1380" w:type="dxa"/>
            <w:vAlign w:val="bottom"/>
            <w:gridSpan w:val="2"/>
            <w:vMerge w:val="continue"/>
          </w:tcPr>
          <w:p>
            <w:pPr>
              <w:spacing w:after="0"/>
              <w:rPr>
                <w:sz w:val="15"/>
                <w:szCs w:val="15"/>
                <w:color w:val="auto"/>
              </w:rPr>
            </w:pPr>
          </w:p>
        </w:tc>
        <w:tc>
          <w:tcPr>
            <w:tcW w:w="9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(years)</w:t>
            </w:r>
          </w:p>
        </w:tc>
        <w:tc>
          <w:tcPr>
            <w:tcW w:w="14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Ville d’Orion</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Sea Consortium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0.35</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4, 2014</w:t>
            </w:r>
          </w:p>
        </w:tc>
        <w:tc>
          <w:tcPr>
            <w:tcW w:w="54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2,262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11,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11,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14,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2,272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 7,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Oct 18, 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5,089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 11, 2020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Oct 1, 2025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4,298</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17,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16, 2022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4,045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19,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CMA CGM</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28, 2021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8" w:name="page9"/>
    <w:bookmarkEnd w:id="8"/>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As at June 30, 2014. Plus or minus 90 days, other than Ville d’Aquarius which is plus or minus 30 days, all at charterer’s option.</w:t>
      </w:r>
    </w:p>
    <w:p>
      <w:pPr>
        <w:spacing w:after="0" w:line="9" w:lineRule="exact"/>
        <w:rPr>
          <w:rFonts w:ascii="Arial" w:cs="Arial" w:eastAsia="Arial" w:hAnsi="Arial"/>
          <w:sz w:val="18"/>
          <w:szCs w:val="18"/>
          <w:i w:val="1"/>
          <w:iCs w:val="1"/>
          <w:color w:val="auto"/>
        </w:rPr>
      </w:pPr>
    </w:p>
    <w:p>
      <w:pPr>
        <w:ind w:left="460" w:right="80" w:hanging="452"/>
        <w:spacing w:after="0" w:line="250"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On charter to Sea Consortium with effect from July 17, 2014 at $8,000 per day for a minimum of six months and maximum of 12 months at charterer’s option and 30 days’ notice.</w:t>
      </w:r>
    </w:p>
    <w:p>
      <w:pPr>
        <w:ind w:left="460" w:right="380" w:hanging="452"/>
        <w:spacing w:after="0" w:line="302"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One of the cranes on-board Julie Delmas was found to be damaged in January 2014 and was out of service until repaired on July 14, 2014. The Company agreed with CMA CGM to reduce the daily charter rate pro-rata, from $18,465 to $10,000 per day from February 9, 2014, to reflect the diminished performance of the vessel, for as long as the crane was not operational. The daily charter rate reverted to $18,465 from July 14,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2014 today, Monday, July 28, 2014 at 10:30 a.m. Eastern Time. There are two ways to access the conference call: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(877) 445-2556 or (908) 982-4670; Passcode: 69499510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you are unable to participate at this time, a replay of the call will be available through Wednesday, August 13, 2014 at (855) 859-2056 or</w:t>
      </w:r>
    </w:p>
    <w:p>
      <w:pPr>
        <w:spacing w:after="0" w:line="35" w:lineRule="exact"/>
        <w:rPr>
          <w:sz w:val="20"/>
          <w:szCs w:val="20"/>
          <w:color w:val="auto"/>
        </w:rPr>
      </w:pPr>
    </w:p>
    <w:p>
      <w:pPr>
        <w:ind w:left="920" w:right="1000" w:firstLine="1"/>
        <w:spacing w:after="0" w:line="261" w:lineRule="auto"/>
        <w:tabs>
          <w:tab w:leader="none" w:pos="13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537-3406. Enter the code 69499510 to access the audio replay. The webcast will also be archived on the Company’s website: </w:t>
      </w: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Global Ship Lease, Inc has filed its Annual Report for 2013 with the Securities and Exchange Commission. A copy of the report can be found under the Investor Relations section (Annual Reports) of the Company’s website at </w:t>
      </w:r>
      <w:r>
        <w:rPr>
          <w:rFonts w:ascii="Arial" w:cs="Arial" w:eastAsia="Arial" w:hAnsi="Arial"/>
          <w:sz w:val="17"/>
          <w:szCs w:val="17"/>
          <w:u w:val="single" w:color="auto"/>
          <w:color w:val="auto"/>
        </w:rPr>
        <w:t>http://www.globalshiplease.com</w:t>
      </w:r>
      <w:r>
        <w:rPr>
          <w:rFonts w:ascii="Arial" w:cs="Arial" w:eastAsia="Arial" w:hAnsi="Arial"/>
          <w:sz w:val="17"/>
          <w:szCs w:val="17"/>
          <w:color w:val="auto"/>
        </w:rPr>
        <w:t xml:space="preserve"> Shareholders may request a hard copy of the audited financial statements free of charge by contacting the Company at </w:t>
      </w:r>
      <w:r>
        <w:rPr>
          <w:rFonts w:ascii="Arial" w:cs="Arial" w:eastAsia="Arial" w:hAnsi="Arial"/>
          <w:sz w:val="17"/>
          <w:szCs w:val="17"/>
          <w:u w:val="single" w:color="auto"/>
          <w:color w:val="auto"/>
        </w:rPr>
        <w:t>info@globalshiplease.com</w:t>
      </w:r>
      <w:r>
        <w:rPr>
          <w:rFonts w:ascii="Arial" w:cs="Arial" w:eastAsia="Arial" w:hAnsi="Arial"/>
          <w:sz w:val="17"/>
          <w:szCs w:val="17"/>
          <w:color w:val="auto"/>
        </w:rPr>
        <w:t xml:space="preserve"> or by writing to Global Ship Lease, Inc, care of Global Ship Lease Services Limited, Portland House, Stag Place, London SW1E 5RS or by telephoning +44 (0) 207 869 8806.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Global Ship Lease owns 17 vessels with a total capacity of 66,349 TEU with an average age, weighted by TEU capacity, at June 30, 2014 of 10.3 years. All 17 vessels are currently fixed on time charters, 15 of which are with CMA CGM. The average remaining term of the charters is 6.2 years, or 7.3 years on a weighted basis, excluding Ville d’Orion and Ville d’Aquarius which operate in the short term charter market.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Non-U.S.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represents Net income (loss) before interest income and expense including 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Three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Six</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months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months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ended</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ended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9"/>
              </w:rPr>
              <w:t>June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June 30,</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June 30,</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(2,286)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10,128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10,033</w:t>
            </w:r>
          </w:p>
        </w:tc>
        <w:tc>
          <w:tcPr>
            <w:tcW w:w="28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10,126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20,066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12,017</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4,776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20,158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Realized loss on interest rate derivatives</w:t>
            </w: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20"/>
              <w:spacing w:after="0"/>
              <w:rPr>
                <w:sz w:val="20"/>
                <w:szCs w:val="20"/>
                <w:color w:val="auto"/>
              </w:rPr>
            </w:pPr>
            <w:r>
              <w:rPr>
                <w:rFonts w:ascii="Arial" w:cs="Arial" w:eastAsia="Arial" w:hAnsi="Arial"/>
                <w:sz w:val="18"/>
                <w:szCs w:val="18"/>
                <w:color w:val="auto"/>
              </w:rPr>
              <w:t>Unrealized (gain) on interest rate derivatives</w:t>
            </w: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(4,988)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(1,944)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19,767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22,922</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40,649</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7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 -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Three</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rPr>
              <w:t>Six</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months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months</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months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ended</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7"/>
              </w:rPr>
              <w:t>ended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9"/>
              </w:rPr>
              <w:t>June 30,</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June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June 30,</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(2,286)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10,128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324"/>
        </w:trPr>
        <w:tc>
          <w:tcPr>
            <w:tcW w:w="7240" w:type="dxa"/>
            <w:vAlign w:val="bottom"/>
            <w:gridSpan w:val="2"/>
          </w:tcPr>
          <w:p>
            <w:pPr>
              <w:spacing w:after="0"/>
              <w:rPr>
                <w:sz w:val="20"/>
                <w:szCs w:val="20"/>
                <w:color w:val="auto"/>
              </w:rPr>
            </w:pPr>
            <w:r>
              <w:rPr>
                <w:rFonts w:ascii="Arial" w:cs="Arial" w:eastAsia="Arial" w:hAnsi="Arial"/>
                <w:sz w:val="18"/>
                <w:szCs w:val="18"/>
                <w:color w:val="auto"/>
              </w:rPr>
              <w:t>Adjust:   Unrealized (gain) on derivatives</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(4,988)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(1,944)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Accelerated amortization of deferred financing costs</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Normalized net (loss)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(2,286</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131"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53" w:lineRule="exact"/>
        <w:rPr>
          <w:rFonts w:ascii="Arial" w:cs="Arial" w:eastAsia="Arial" w:hAnsi="Arial"/>
          <w:sz w:val="16"/>
          <w:szCs w:val="16"/>
          <w:color w:val="auto"/>
        </w:rPr>
      </w:pPr>
    </w:p>
    <w:p>
      <w:pPr>
        <w:ind w:left="1480" w:right="58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130" w:lineRule="exact"/>
        <w:rPr>
          <w:rFonts w:ascii="Arial" w:cs="Arial" w:eastAsia="Arial" w:hAnsi="Arial"/>
          <w:sz w:val="18"/>
          <w:szCs w:val="18"/>
          <w:color w:val="auto"/>
        </w:rPr>
      </w:pPr>
    </w:p>
    <w:p>
      <w:pPr>
        <w:ind w:left="1480" w:right="74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130" w:lineRule="exact"/>
        <w:rPr>
          <w:rFonts w:ascii="Arial" w:cs="Arial" w:eastAsia="Arial" w:hAnsi="Arial"/>
          <w:sz w:val="18"/>
          <w:szCs w:val="18"/>
          <w:color w:val="auto"/>
        </w:rPr>
      </w:pPr>
    </w:p>
    <w:p>
      <w:pPr>
        <w:ind w:left="1480" w:right="78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0" w:right="239" w:bottom="1440" w:gutter="0" w:footer="0" w:header="0"/>
        </w:sectPr>
      </w:pPr>
    </w:p>
    <w:bookmarkStart w:id="11" w:name="page12"/>
    <w:bookmarkEnd w:id="11"/>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estimated future capital expenditures needed to preserve its capital base;</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33,500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35,867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67,538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12,148</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11,609</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23,681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10,033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10,126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12,796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(20,158)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(2,876)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10,144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47,691,484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47,588,934</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47,691,332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47,588,757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47,691,484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47,742,911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47,691,332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47,697,969</w:t>
            </w: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Net (loss) income per Class A common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7,405,956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B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72,145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portion of deferred financing costs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83,137</w:t>
            </w: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798,142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817,875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809,978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819,859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893,115</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414,052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316,256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14,755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473,820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493,992</w:t>
            </w:r>
          </w:p>
        </w:tc>
        <w:tc>
          <w:tcPr>
            <w:tcW w:w="200" w:type="dxa"/>
            <w:vAlign w:val="bottom"/>
          </w:tcPr>
          <w:p>
            <w:pPr>
              <w:spacing w:after="0"/>
              <w:rPr>
                <w:sz w:val="24"/>
                <w:szCs w:val="24"/>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458,781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 authorized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214,000,000 shares with a $0.01 par value;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47,541,484 shares issued and outstanding (2013 – 47,513,934)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spacing w:after="0" w:line="201" w:lineRule="exact"/>
              <w:rPr>
                <w:sz w:val="20"/>
                <w:szCs w:val="20"/>
                <w:color w:val="auto"/>
              </w:rPr>
            </w:pPr>
            <w:r>
              <w:rPr>
                <w:rFonts w:ascii="Arial" w:cs="Arial" w:eastAsia="Arial" w:hAnsi="Arial"/>
                <w:sz w:val="18"/>
                <w:szCs w:val="18"/>
                <w:color w:val="auto"/>
              </w:rPr>
              <w:t>Class B Common stock – authorized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60"/>
              <w:spacing w:after="0"/>
              <w:rPr>
                <w:sz w:val="20"/>
                <w:szCs w:val="20"/>
                <w:color w:val="auto"/>
              </w:rPr>
            </w:pPr>
            <w:r>
              <w:rPr>
                <w:rFonts w:ascii="Arial" w:cs="Arial" w:eastAsia="Arial" w:hAnsi="Arial"/>
                <w:sz w:val="18"/>
                <w:szCs w:val="18"/>
                <w:color w:val="auto"/>
              </w:rPr>
              <w:t>20,000,000 shares with a $0.01 par value;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160"/>
              <w:spacing w:after="0"/>
              <w:rPr>
                <w:sz w:val="20"/>
                <w:szCs w:val="20"/>
                <w:color w:val="auto"/>
              </w:rPr>
            </w:pPr>
            <w:r>
              <w:rPr>
                <w:rFonts w:ascii="Arial" w:cs="Arial" w:eastAsia="Arial" w:hAnsi="Arial"/>
                <w:sz w:val="18"/>
                <w:szCs w:val="18"/>
                <w:color w:val="auto"/>
              </w:rPr>
              <w:t>7,405,956 shares issued and outstanding (2013 – 7,405,956)</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352,777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45,797</w:t>
            </w:r>
          </w:p>
        </w:tc>
        <w:tc>
          <w:tcPr>
            <w:tcW w:w="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399,123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893,115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June 30,</w:t>
            </w:r>
          </w:p>
        </w:tc>
        <w:tc>
          <w:tcPr>
            <w:tcW w:w="19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10,033</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20,066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(Increase) in inventory</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9,346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38,207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40,303</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6"/>
              </w:rPr>
              <w:t>Settlement and termination of derivative instruments which do not qualify for hedge accounting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paid for other assets</w:t>
            </w: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(22,153)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(366,366)</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413,700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financing costs incurred</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(25,597)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55,163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72,148</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5400"/>
              <w:spacing w:after="0"/>
              <w:rPr>
                <w:sz w:val="20"/>
                <w:szCs w:val="20"/>
                <w:color w:val="auto"/>
              </w:rPr>
            </w:pPr>
            <w:r>
              <w:rPr>
                <w:rFonts w:ascii="Arial" w:cs="Arial" w:eastAsia="Arial" w:hAnsi="Arial"/>
                <w:sz w:val="18"/>
                <w:szCs w:val="18"/>
                <w:color w:val="auto"/>
              </w:rPr>
              <w:t>Page 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UNAUDITED CONSOLIDATED FINANCIAL STATEMENTS</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THREE AND SIX MONTH PERIODS ENDED JUNE 30, 2014</w:t>
      </w:r>
    </w:p>
    <w:p>
      <w:pPr>
        <w:sectPr>
          <w:pgSz w:w="11900" w:h="16838" w:orient="portrait"/>
          <w:cols w:equalWidth="0" w:num="1">
            <w:col w:w="10220"/>
          </w:cols>
          <w:pgMar w:left="14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40" w:type="dxa"/>
            <w:vAlign w:val="bottom"/>
            <w:vMerge w:val="restart"/>
          </w:tcPr>
          <w:p>
            <w:pPr>
              <w:ind w:left="2040"/>
              <w:spacing w:after="0"/>
              <w:rPr>
                <w:sz w:val="20"/>
                <w:szCs w:val="20"/>
                <w:color w:val="auto"/>
              </w:rPr>
            </w:pPr>
            <w:r>
              <w:rPr>
                <w:rFonts w:ascii="Arial" w:cs="Arial" w:eastAsia="Arial" w:hAnsi="Arial"/>
                <w:sz w:val="14"/>
                <w:szCs w:val="14"/>
                <w:color w:val="auto"/>
              </w:rPr>
              <w:t>Note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72,145</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Accounts receivable</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receivables</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portion of deferred financing costs</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331"/>
        </w:trPr>
        <w:tc>
          <w:tcPr>
            <w:tcW w:w="674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798,142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817,875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Intangible assets</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64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5</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809,978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819,859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893,115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color w:val="auto"/>
              </w:rPr>
              <w:t>Current portion of long term debt</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99"/>
              </w:rPr>
              <w:t>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Accounts payable</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2,511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331"/>
        </w:trPr>
        <w:tc>
          <w:tcPr>
            <w:tcW w:w="674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414,052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316,256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264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44,976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14,755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liabilities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473,820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6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493,992</w:t>
            </w:r>
          </w:p>
        </w:tc>
        <w:tc>
          <w:tcPr>
            <w:tcW w:w="20" w:type="dxa"/>
            <w:vAlign w:val="bottom"/>
          </w:tcPr>
          <w:p>
            <w:pPr>
              <w:spacing w:after="0"/>
              <w:rPr>
                <w:sz w:val="24"/>
                <w:szCs w:val="24"/>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458,781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4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8</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 authorized</w:t>
            </w:r>
          </w:p>
        </w:tc>
        <w:tc>
          <w:tcPr>
            <w:tcW w:w="2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214,000,000 shares with a $0.01 par value;</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47,541,484 shares issued and outstanding (2013 – 47,513,934)</w:t>
            </w:r>
          </w:p>
        </w:tc>
        <w:tc>
          <w:tcPr>
            <w:tcW w:w="2640" w:type="dxa"/>
            <w:vAlign w:val="bottom"/>
            <w:shd w:val="clear" w:color="auto" w:fill="CCEEFF"/>
          </w:tcPr>
          <w:p>
            <w:pPr>
              <w:jc w:val="center"/>
              <w:ind w:left="1611"/>
              <w:spacing w:after="0"/>
              <w:rPr>
                <w:sz w:val="20"/>
                <w:szCs w:val="20"/>
                <w:color w:val="auto"/>
              </w:rPr>
            </w:pPr>
            <w:r>
              <w:rPr>
                <w:rFonts w:ascii="Arial" w:cs="Arial" w:eastAsia="Arial" w:hAnsi="Arial"/>
                <w:sz w:val="18"/>
                <w:szCs w:val="18"/>
                <w:color w:val="auto"/>
                <w:w w:val="99"/>
              </w:rPr>
              <w:t>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rPr>
              <w:t>Class B Common stock – authorized</w:t>
            </w: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20,000,000 shares with a $0.01 par value;</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7,405,956 shares issued and outstanding (2013 – 7,405,956)</w:t>
            </w:r>
          </w:p>
        </w:tc>
        <w:tc>
          <w:tcPr>
            <w:tcW w:w="2640" w:type="dxa"/>
            <w:vAlign w:val="bottom"/>
          </w:tcPr>
          <w:p>
            <w:pPr>
              <w:jc w:val="center"/>
              <w:ind w:left="1611"/>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352,777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Retained earnings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45,797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399,123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893,115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120" w:type="dxa"/>
            <w:vAlign w:val="bottom"/>
            <w:vMerge w:val="restart"/>
          </w:tcPr>
          <w:p>
            <w:pPr>
              <w:ind w:left="460"/>
              <w:spacing w:after="0"/>
              <w:rPr>
                <w:sz w:val="20"/>
                <w:szCs w:val="20"/>
                <w:color w:val="auto"/>
              </w:rPr>
            </w:pPr>
            <w:r>
              <w:rPr>
                <w:rFonts w:ascii="Arial" w:cs="Arial" w:eastAsia="Arial" w:hAnsi="Arial"/>
                <w:sz w:val="14"/>
                <w:szCs w:val="14"/>
                <w:color w:val="auto"/>
              </w:rPr>
              <w:t>Note</w:t>
            </w: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Time charter revenue</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9"/>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33,500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35,867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67,538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23,681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4,988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Class A common shares outstanding</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47,691,484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47,588,934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47,691,332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47,588,757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47,691,484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47,742,911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47,691,332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47,697,969</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Net (loss) income per Class A common share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Class B common shares outstanding</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7,405,956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B common share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89"/>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4"/>
                <w:szCs w:val="14"/>
                <w:color w:val="auto"/>
              </w:rPr>
            </w:pPr>
          </w:p>
        </w:tc>
        <w:tc>
          <w:tcPr>
            <w:tcW w:w="19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020" w:type="dxa"/>
            <w:vAlign w:val="bottom"/>
            <w:gridSpan w:val="2"/>
            <w:vMerge w:val="restart"/>
          </w:tcPr>
          <w:p>
            <w:pPr>
              <w:jc w:val="right"/>
              <w:ind w:right="276"/>
              <w:spacing w:after="0"/>
              <w:rPr>
                <w:sz w:val="20"/>
                <w:szCs w:val="20"/>
                <w:color w:val="auto"/>
              </w:rPr>
            </w:pPr>
            <w:r>
              <w:rPr>
                <w:rFonts w:ascii="Arial" w:cs="Arial" w:eastAsia="Arial" w:hAnsi="Arial"/>
                <w:sz w:val="14"/>
                <w:szCs w:val="14"/>
                <w:color w:val="auto"/>
              </w:rPr>
              <w:t>Note</w:t>
            </w: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(2,286)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Adjustments to Reconcile Net (loss) income to Net Cash Provided by Operating</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Depreciation</w:t>
            </w:r>
          </w:p>
        </w:tc>
        <w:tc>
          <w:tcPr>
            <w:tcW w:w="860" w:type="dxa"/>
            <w:vAlign w:val="bottom"/>
          </w:tcPr>
          <w:p>
            <w:pPr>
              <w:jc w:val="center"/>
              <w:ind w:left="91"/>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10,033</w:t>
            </w: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20,066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860" w:type="dxa"/>
            <w:vAlign w:val="bottom"/>
          </w:tcPr>
          <w:p>
            <w:pPr>
              <w:jc w:val="center"/>
              <w:ind w:left="91"/>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86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86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860" w:type="dxa"/>
            <w:vAlign w:val="bottom"/>
          </w:tcPr>
          <w:p>
            <w:pPr>
              <w:jc w:val="center"/>
              <w:ind w:left="71"/>
              <w:spacing w:after="0"/>
              <w:rPr>
                <w:sz w:val="20"/>
                <w:szCs w:val="20"/>
                <w:color w:val="auto"/>
              </w:rPr>
            </w:pPr>
            <w:r>
              <w:rPr>
                <w:rFonts w:ascii="Arial" w:cs="Arial" w:eastAsia="Arial" w:hAnsi="Arial"/>
                <w:sz w:val="18"/>
                <w:szCs w:val="18"/>
                <w:color w:val="auto"/>
                <w:w w:val="89"/>
              </w:rPr>
              <w:t>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(Increase) in inventory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17,460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38,207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40,303</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Settlement and termination of derivative instruments which do not qualify for hedge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w:t>
            </w:r>
          </w:p>
        </w:tc>
        <w:tc>
          <w:tcPr>
            <w:tcW w:w="86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(22,146)</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paid for other assets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(22,153)</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860" w:type="dxa"/>
            <w:vAlign w:val="bottom"/>
          </w:tcPr>
          <w:p>
            <w:pPr>
              <w:jc w:val="center"/>
              <w:ind w:left="91"/>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(366,366)</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w:t>
            </w:r>
          </w:p>
        </w:tc>
        <w:tc>
          <w:tcPr>
            <w:tcW w:w="8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413,700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financing costs incurred</w:t>
            </w:r>
          </w:p>
        </w:tc>
        <w:tc>
          <w:tcPr>
            <w:tcW w:w="860" w:type="dxa"/>
            <w:vAlign w:val="bottom"/>
          </w:tcPr>
          <w:p>
            <w:pPr>
              <w:jc w:val="center"/>
              <w:ind w:left="91"/>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(10,797)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(25,597)</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55,163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24,539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72,148</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3,751</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0" w:type="dxa"/>
            <w:vAlign w:val="bottom"/>
            <w:gridSpan w:val="6"/>
          </w:tcPr>
          <w:p>
            <w:pPr>
              <w:jc w:val="center"/>
              <w:ind w:left="2710"/>
              <w:spacing w:after="0"/>
              <w:rPr>
                <w:sz w:val="20"/>
                <w:szCs w:val="20"/>
                <w:color w:val="auto"/>
              </w:rPr>
            </w:pPr>
            <w:r>
              <w:rPr>
                <w:rFonts w:ascii="Arial" w:cs="Arial" w:eastAsia="Arial" w:hAnsi="Arial"/>
                <w:sz w:val="18"/>
                <w:szCs w:val="18"/>
                <w:color w:val="auto"/>
                <w:w w:val="90"/>
              </w:rPr>
              <w:t>See accompanying notes to interim unaudited consolidated financial statements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jc w:val="center"/>
              <w:ind w:left="4890"/>
              <w:spacing w:after="0"/>
              <w:rPr>
                <w:sz w:val="20"/>
                <w:szCs w:val="20"/>
                <w:color w:val="auto"/>
              </w:rPr>
            </w:pPr>
            <w:r>
              <w:rPr>
                <w:rFonts w:ascii="Arial" w:cs="Arial" w:eastAsia="Arial" w:hAnsi="Arial"/>
                <w:sz w:val="18"/>
                <w:szCs w:val="18"/>
                <w:color w:val="auto"/>
                <w:w w:val="84"/>
              </w:rPr>
              <w:t>Page 3</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rPr>
              <w:t>Additional</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Number of</w:t>
            </w: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Paid in</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Capital</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54,887,820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$352,316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$13,723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366,588</w:t>
            </w: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360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54,919,890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$352,676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$46,241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399,466</w:t>
            </w: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101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54,947,440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352,777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45,797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The Company owns and charters out containerships. With the exception of two vessels which are on short term time charters to a non-related party, all vessels are time chartered to CMA CGM S.A. (“CMA CGM”) for remaining terms as at June 30, 2014 ranging from 3.50 to 11.50 years (see note 7).</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17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Capacity</w:t>
            </w: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Purchase Date</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2"/>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4760" w:type="dxa"/>
            <w:vAlign w:val="bottom"/>
            <w:vMerge w:val="restart"/>
          </w:tcPr>
          <w:p>
            <w:pPr>
              <w:spacing w:after="0"/>
              <w:rPr>
                <w:sz w:val="12"/>
                <w:szCs w:val="12"/>
                <w:color w:val="auto"/>
              </w:rPr>
            </w:pPr>
          </w:p>
        </w:tc>
        <w:tc>
          <w:tcPr>
            <w:tcW w:w="8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in TEUs</w:t>
            </w:r>
          </w:p>
        </w:tc>
        <w:tc>
          <w:tcPr>
            <w:tcW w:w="5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Charterer</w:t>
            </w:r>
          </w:p>
        </w:tc>
        <w:tc>
          <w:tcPr>
            <w:tcW w:w="10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7"/>
              </w:rPr>
              <w:t>Duration</w:t>
            </w:r>
          </w:p>
        </w:tc>
        <w:tc>
          <w:tcPr>
            <w:tcW w:w="6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300" w:type="dxa"/>
            <w:vAlign w:val="bottom"/>
          </w:tcPr>
          <w:p>
            <w:pPr>
              <w:spacing w:after="0"/>
              <w:rPr>
                <w:sz w:val="15"/>
                <w:szCs w:val="15"/>
                <w:color w:val="auto"/>
              </w:rPr>
            </w:pPr>
          </w:p>
        </w:tc>
        <w:tc>
          <w:tcPr>
            <w:tcW w:w="5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Built</w:t>
            </w:r>
          </w:p>
        </w:tc>
        <w:tc>
          <w:tcPr>
            <w:tcW w:w="13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by GSL</w:t>
            </w:r>
          </w:p>
        </w:tc>
        <w:tc>
          <w:tcPr>
            <w:tcW w:w="1380" w:type="dxa"/>
            <w:vAlign w:val="bottom"/>
            <w:gridSpan w:val="2"/>
            <w:vMerge w:val="continue"/>
          </w:tcPr>
          <w:p>
            <w:pPr>
              <w:spacing w:after="0"/>
              <w:rPr>
                <w:sz w:val="15"/>
                <w:szCs w:val="15"/>
                <w:color w:val="auto"/>
              </w:rPr>
            </w:pPr>
          </w:p>
        </w:tc>
        <w:tc>
          <w:tcPr>
            <w:tcW w:w="10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12"/>
                <w:szCs w:val="12"/>
                <w:b w:val="1"/>
                <w:bCs w:val="1"/>
                <w:color w:val="auto"/>
                <w:w w:val="93"/>
              </w:rPr>
              <w:t>(2)</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5"/>
                <w:szCs w:val="15"/>
                <w:color w:val="auto"/>
              </w:rPr>
              <w:t>(3)</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December 2007</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Sea Consortium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Matisse </w:t>
            </w:r>
            <w:r>
              <w:rPr>
                <w:rFonts w:ascii="Arial" w:cs="Arial" w:eastAsia="Arial" w:hAnsi="Arial"/>
                <w:sz w:val="15"/>
                <w:szCs w:val="15"/>
                <w:color w:val="auto"/>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CMA CGM Utrillo </w:t>
            </w:r>
            <w:r>
              <w:rPr>
                <w:rFonts w:ascii="Arial" w:cs="Arial" w:eastAsia="Arial" w:hAnsi="Arial"/>
                <w:sz w:val="15"/>
                <w:szCs w:val="15"/>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Julie Delmas </w:t>
            </w:r>
            <w:r>
              <w:rPr>
                <w:rFonts w:ascii="Arial" w:cs="Arial" w:eastAsia="Arial" w:hAnsi="Arial"/>
                <w:sz w:val="15"/>
                <w:szCs w:val="15"/>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rPr>
              <w:t>2,207</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60" w:type="dxa"/>
            <w:vAlign w:val="bottom"/>
          </w:tcPr>
          <w:p>
            <w:pPr>
              <w:jc w:val="right"/>
              <w:spacing w:after="0"/>
              <w:rPr>
                <w:sz w:val="20"/>
                <w:szCs w:val="20"/>
                <w:color w:val="auto"/>
              </w:rPr>
            </w:pPr>
            <w:r>
              <w:rPr>
                <w:rFonts w:ascii="Arial" w:cs="Arial" w:eastAsia="Arial" w:hAnsi="Arial"/>
                <w:sz w:val="18"/>
                <w:szCs w:val="18"/>
                <w:color w:val="auto"/>
              </w:rPr>
              <w:t>2,207</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La Tour </w:t>
            </w:r>
            <w:r>
              <w:rPr>
                <w:rFonts w:ascii="Arial" w:cs="Arial" w:eastAsia="Arial" w:hAnsi="Arial"/>
                <w:sz w:val="15"/>
                <w:szCs w:val="15"/>
                <w:color w:val="auto"/>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CMA CGM Manet </w:t>
            </w:r>
            <w:r>
              <w:rPr>
                <w:rFonts w:ascii="Arial" w:cs="Arial" w:eastAsia="Arial" w:hAnsi="Arial"/>
                <w:sz w:val="15"/>
                <w:szCs w:val="15"/>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2,272</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2007</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January 2008</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560" w:type="dxa"/>
            <w:vAlign w:val="bottom"/>
          </w:tcPr>
          <w:p>
            <w:pPr>
              <w:jc w:val="right"/>
              <w:spacing w:after="0"/>
              <w:rPr>
                <w:sz w:val="20"/>
                <w:szCs w:val="20"/>
                <w:color w:val="auto"/>
              </w:rPr>
            </w:pPr>
            <w:r>
              <w:rPr>
                <w:rFonts w:ascii="Arial" w:cs="Arial" w:eastAsia="Arial" w:hAnsi="Arial"/>
                <w:sz w:val="18"/>
                <w:szCs w:val="18"/>
                <w:color w:val="auto"/>
              </w:rPr>
              <w:t>5,089</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January 2008</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2008</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60" w:type="dxa"/>
            <w:vAlign w:val="bottom"/>
          </w:tcPr>
          <w:p>
            <w:pPr>
              <w:jc w:val="right"/>
              <w:spacing w:after="0"/>
              <w:rPr>
                <w:sz w:val="20"/>
                <w:szCs w:val="20"/>
                <w:color w:val="auto"/>
              </w:rPr>
            </w:pPr>
            <w:r>
              <w:rPr>
                <w:rFonts w:ascii="Arial" w:cs="Arial" w:eastAsia="Arial" w:hAnsi="Arial"/>
                <w:sz w:val="18"/>
                <w:szCs w:val="18"/>
                <w:color w:val="auto"/>
              </w:rPr>
              <w:t>4,298</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2008</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December 2008</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60" w:type="dxa"/>
            <w:vAlign w:val="bottom"/>
          </w:tcPr>
          <w:p>
            <w:pPr>
              <w:jc w:val="right"/>
              <w:spacing w:after="0"/>
              <w:rPr>
                <w:sz w:val="20"/>
                <w:szCs w:val="20"/>
                <w:color w:val="auto"/>
              </w:rPr>
            </w:pPr>
            <w:r>
              <w:rPr>
                <w:rFonts w:ascii="Arial" w:cs="Arial" w:eastAsia="Arial" w:hAnsi="Arial"/>
                <w:sz w:val="18"/>
                <w:szCs w:val="18"/>
                <w:color w:val="auto"/>
              </w:rPr>
              <w:t>4,045</w:t>
            </w:r>
          </w:p>
        </w:tc>
        <w:tc>
          <w:tcPr>
            <w:tcW w:w="3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2008</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August 2009</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As at June 30, 2014. Plus or minus 90 days, other than Ville d’Aquarius which is plus or minus 30 days, all at charterer’s option.</w:t>
      </w:r>
    </w:p>
    <w:p>
      <w:pPr>
        <w:spacing w:after="0" w:line="9" w:lineRule="exact"/>
        <w:rPr>
          <w:rFonts w:ascii="Arial" w:cs="Arial" w:eastAsia="Arial" w:hAnsi="Arial"/>
          <w:sz w:val="18"/>
          <w:szCs w:val="18"/>
          <w:i w:val="1"/>
          <w:iCs w:val="1"/>
          <w:color w:val="auto"/>
        </w:rPr>
      </w:pPr>
    </w:p>
    <w:p>
      <w:pPr>
        <w:ind w:left="460" w:right="140" w:hanging="452"/>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On charter to Sea Consortium with effect from July 17, 2014 at $8,000 per day for a minimum of six months and maximum of 12 months at charterer’s option and 30 days’ notice.</w:t>
      </w:r>
    </w:p>
    <w:p>
      <w:pPr>
        <w:ind w:left="460" w:hanging="452"/>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charters on these four vessels were extended in February 2014 by three years with new expiry dates in December 2019 at an amended daily charter rate of $15.300 per day with effect from February 1, 2014.</w:t>
      </w:r>
    </w:p>
    <w:p>
      <w:pPr>
        <w:ind w:left="460" w:right="20" w:hanging="452"/>
        <w:spacing w:after="0" w:line="302" w:lineRule="auto"/>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One of the cranes on-board Julie Delmas was found to be damaged in January 2014 and has been out of service. The Company agreed with CMA CGM to reduce the daily charter rate pro-rata, from $18,465 to $10,000 per day from February 9, 2014, to reflect the diminished performance of the vessel, for as long as the crane was not operational. The crane was repaired with effect from July 14, 2014 when the daily charter rate reverted to $18,465.</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452" w:right="8960" w:hanging="6"/>
        <w:spacing w:after="0" w:line="425" w:lineRule="auto"/>
        <w:tabs>
          <w:tab w:leader="none" w:pos="88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Preparation Counterparty risk</w:t>
      </w:r>
    </w:p>
    <w:p>
      <w:pPr>
        <w:spacing w:after="0" w:line="1" w:lineRule="exact"/>
        <w:rPr>
          <w:sz w:val="20"/>
          <w:szCs w:val="20"/>
          <w:color w:val="auto"/>
        </w:rPr>
      </w:pPr>
    </w:p>
    <w:p>
      <w:pPr>
        <w:ind w:left="452" w:right="40"/>
        <w:spacing w:after="0" w:line="264" w:lineRule="auto"/>
        <w:rPr>
          <w:sz w:val="20"/>
          <w:szCs w:val="20"/>
          <w:color w:val="auto"/>
        </w:rPr>
      </w:pPr>
      <w:r>
        <w:rPr>
          <w:rFonts w:ascii="Arial" w:cs="Arial" w:eastAsia="Arial" w:hAnsi="Arial"/>
          <w:sz w:val="18"/>
          <w:szCs w:val="18"/>
          <w:color w:val="auto"/>
        </w:rPr>
        <w:t>Most of the Company’s revenues are derived from charters to CMA CGM. The Company is consequently highly dependent on the performance by CMA CGM of its obligations under these charters. The container shipping industry is volatile and has been experiencing a sustained cyclical downturn. Many container shipping companies have reported losses.</w:t>
      </w:r>
    </w:p>
    <w:p>
      <w:pPr>
        <w:spacing w:after="0" w:line="73" w:lineRule="exact"/>
        <w:rPr>
          <w:sz w:val="20"/>
          <w:szCs w:val="20"/>
          <w:color w:val="auto"/>
        </w:rPr>
      </w:pPr>
    </w:p>
    <w:p>
      <w:pPr>
        <w:ind w:left="452" w:right="20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52"/>
        <w:spacing w:after="0" w:line="257" w:lineRule="auto"/>
        <w:rPr>
          <w:sz w:val="20"/>
          <w:szCs w:val="20"/>
          <w:color w:val="auto"/>
        </w:rPr>
      </w:pPr>
      <w:r>
        <w:rPr>
          <w:rFonts w:ascii="Arial" w:cs="Arial" w:eastAsia="Arial" w:hAnsi="Arial"/>
          <w:sz w:val="18"/>
          <w:szCs w:val="18"/>
          <w:color w:val="auto"/>
        </w:rPr>
        <w:t>The Company has experienced delays in receiving charterhire from CMA CGM, where between one and two instalments have been outstanding. Under the charter contracts charterhire is due to be paid every 15 days in advance on the 1st and 16th of each month. As at June 30, 2014, one period of charterhire, due on June 16, 2014, was outstanding amounting to $5,465. This was received in July 2014. As at close of business on July 24, 2014, the latest practicable date prior to the issuance of these interim consolidated financial statements, one period of charterhire, due on July 16, 2014 amounting to $5,757 was outstanding.</w:t>
      </w:r>
    </w:p>
    <w:p>
      <w:pPr>
        <w:spacing w:after="0" w:line="80" w:lineRule="exact"/>
        <w:rPr>
          <w:sz w:val="20"/>
          <w:szCs w:val="20"/>
          <w:color w:val="auto"/>
        </w:rPr>
      </w:pPr>
    </w:p>
    <w:p>
      <w:pPr>
        <w:ind w:left="452" w:right="80"/>
        <w:spacing w:after="0" w:line="257"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 The results of operations for the six months ended June 30, 2014 may not be indicative of the results that may be expected for the entire year ending December 31, 2014.</w:t>
      </w:r>
    </w:p>
    <w:p>
      <w:pPr>
        <w:spacing w:after="0" w:line="333"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121" w:lineRule="exact"/>
        <w:rPr>
          <w:rFonts w:ascii="Arial" w:cs="Arial" w:eastAsia="Arial" w:hAnsi="Arial"/>
          <w:sz w:val="18"/>
          <w:szCs w:val="18"/>
          <w:b w:val="1"/>
          <w:bCs w:val="1"/>
          <w:color w:val="auto"/>
        </w:rPr>
      </w:pPr>
    </w:p>
    <w:p>
      <w:pPr>
        <w:ind w:left="452"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2013 filed with the Securities and Exchange Commission on April 22, 2014 in the Company’s Annual Report on Form 20-F.</w:t>
      </w:r>
    </w:p>
    <w:p>
      <w:pPr>
        <w:spacing w:after="0" w:line="26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117"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agreement on new charters of two of the Company’s vessels (see note 2(a)) was seen as an indicator of potential impairment of their carrying value. Accordingly, an impairment test, based on expected undiscounted cash flows by vessel, was performed for these two vessels as at June 30, 2014. Based on the assumptions made, the expected undiscounted future cash flows exceeded the vessels’ carrying amounts as at June 30, 2014 and accordingly no impairment was recognised.</w:t>
      </w:r>
    </w:p>
    <w:p>
      <w:pPr>
        <w:spacing w:after="0" w:line="78" w:lineRule="exact"/>
        <w:rPr>
          <w:rFonts w:ascii="Arial" w:cs="Arial" w:eastAsia="Arial" w:hAnsi="Arial"/>
          <w:sz w:val="18"/>
          <w:szCs w:val="18"/>
          <w:b w:val="1"/>
          <w:bCs w:val="1"/>
          <w:color w:val="auto"/>
        </w:rPr>
      </w:pPr>
    </w:p>
    <w:p>
      <w:pPr>
        <w:ind w:left="452" w:right="3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12"/>
          </w:cols>
          <w:pgMar w:left="248" w:top="270" w:right="239" w:bottom="1440" w:gutter="0" w:footer="0" w:header="0"/>
        </w:sectPr>
      </w:pPr>
    </w:p>
    <w:bookmarkStart w:id="22" w:name="page23"/>
    <w:bookmarkEnd w:id="2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right="7280" w:hanging="452"/>
        <w:spacing w:after="0" w:line="481" w:lineRule="auto"/>
        <w:tabs>
          <w:tab w:leader="none" w:pos="441"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Accounting Policies and Disclosure (continued) </w:t>
      </w:r>
      <w:r>
        <w:rPr>
          <w:rFonts w:ascii="Arial" w:cs="Arial" w:eastAsia="Arial" w:hAnsi="Arial"/>
          <w:sz w:val="15"/>
          <w:szCs w:val="15"/>
          <w:i w:val="1"/>
          <w:iCs w:val="1"/>
          <w:color w:val="auto"/>
        </w:rPr>
        <w:t>Recently issued accounting standards</w:t>
      </w:r>
    </w:p>
    <w:p>
      <w:pPr>
        <w:spacing w:after="0" w:line="1" w:lineRule="exact"/>
        <w:rPr>
          <w:rFonts w:ascii="Arial" w:cs="Arial" w:eastAsia="Arial" w:hAnsi="Arial"/>
          <w:sz w:val="15"/>
          <w:szCs w:val="15"/>
          <w:b w:val="1"/>
          <w:bCs w:val="1"/>
          <w:color w:val="auto"/>
        </w:rPr>
      </w:pPr>
    </w:p>
    <w:p>
      <w:pPr>
        <w:ind w:left="452" w:right="24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In May 2014, the Financial Accounting Standards Board (“FASB”) issued an accounting standards update in respect of revenue from contracts with customers (Topic 606). The update is effective for annual periods beginning after December 15, 2016 and early application is not permitted. The Company is currently assessing the impact of adopting this update on its financial statements.</w:t>
      </w:r>
    </w:p>
    <w:p>
      <w:pPr>
        <w:spacing w:after="0" w:line="73" w:lineRule="exact"/>
        <w:rPr>
          <w:rFonts w:ascii="Arial" w:cs="Arial" w:eastAsia="Arial" w:hAnsi="Arial"/>
          <w:sz w:val="15"/>
          <w:szCs w:val="15"/>
          <w:b w:val="1"/>
          <w:bCs w:val="1"/>
          <w:color w:val="auto"/>
        </w:rPr>
      </w:pPr>
    </w:p>
    <w:p>
      <w:pPr>
        <w:ind w:left="452" w:right="80"/>
        <w:spacing w:after="0" w:line="273" w:lineRule="auto"/>
        <w:rPr>
          <w:rFonts w:ascii="Arial" w:cs="Arial" w:eastAsia="Arial" w:hAnsi="Arial"/>
          <w:sz w:val="15"/>
          <w:szCs w:val="15"/>
          <w:b w:val="1"/>
          <w:bCs w:val="1"/>
          <w:color w:val="auto"/>
        </w:rPr>
      </w:pPr>
      <w:r>
        <w:rPr>
          <w:rFonts w:ascii="Arial" w:cs="Arial" w:eastAsia="Arial" w:hAnsi="Arial"/>
          <w:sz w:val="17"/>
          <w:szCs w:val="17"/>
          <w:color w:val="auto"/>
        </w:rPr>
        <w:t>In June 2014, FASB issued an update in respect of Stock Compensation (Topic 718). The amendment requires that a performance target that affects vesting and that could be achieved after the requisite service period be treated as a performance condition. The performance condition should not be reflected in estimating the grant-date fair value of the award and the compensation cost should be recognized in the period in which it becomes probable that the performance target will be achieved and should represent the compensation cost attributable to the periods for which the requisite service has already been rendered. The amendment is effective for annual periods beginning after December 15, 2015 and early adoption is permitted. The adoption of this amendment is not expected to lead to any changes to the Company’s financial statements.</w:t>
      </w:r>
    </w:p>
    <w:p>
      <w:pPr>
        <w:spacing w:after="0" w:line="70" w:lineRule="exact"/>
        <w:rPr>
          <w:rFonts w:ascii="Arial" w:cs="Arial" w:eastAsia="Arial" w:hAnsi="Arial"/>
          <w:sz w:val="15"/>
          <w:szCs w:val="15"/>
          <w:b w:val="1"/>
          <w:bCs w:val="1"/>
          <w:color w:val="auto"/>
        </w:rPr>
      </w:pPr>
    </w:p>
    <w:p>
      <w:pPr>
        <w:ind w:left="452" w:right="3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315" w:lineRule="exact"/>
        <w:rPr>
          <w:rFonts w:ascii="Arial" w:cs="Arial" w:eastAsia="Arial" w:hAnsi="Arial"/>
          <w:sz w:val="15"/>
          <w:szCs w:val="15"/>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4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1,014,473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(216,644)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Drydock –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798,142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Costs amounting to $4,800 incurred up to December 31, 2013 in connection with the Company’s refinancing were recorded within prepaid expenses as at that date. On March 19, 2014, the Company completed this refinancing by the issue of 10.0% First Priority Secured Notes due 2019 (“the 2019 Notes”) disclosed in note 6(b) and by agreeing the Revolving Credit Facility disclosed in note 6(c). On completion of the refinancing, these deferred financing costs were reclassified from prepaid expenses to deferred financing costs, together with additional costs incurred during the first quarter.</w:t>
      </w:r>
    </w:p>
    <w:p>
      <w:pPr>
        <w:spacing w:after="0" w:line="170"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Reclassification from prepaid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Expenditure in the period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Amortization included within interest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(4,162)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14,890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7"/>
          <w:szCs w:val="17"/>
          <w:color w:val="auto"/>
        </w:rPr>
        <w:t>The deferred finance costs are being amortised on an effective interest rate basis over the life of the financings for which they were incurred.</w:t>
      </w:r>
    </w:p>
    <w:p>
      <w:pPr>
        <w:spacing w:after="0" w:line="129" w:lineRule="exact"/>
        <w:rPr>
          <w:sz w:val="20"/>
          <w:szCs w:val="20"/>
          <w:color w:val="auto"/>
        </w:rPr>
      </w:pPr>
    </w:p>
    <w:p>
      <w:pPr>
        <w:ind w:left="452" w:right="40"/>
        <w:spacing w:after="0" w:line="277" w:lineRule="auto"/>
        <w:rPr>
          <w:sz w:val="20"/>
          <w:szCs w:val="20"/>
          <w:color w:val="auto"/>
        </w:rPr>
      </w:pPr>
      <w:r>
        <w:rPr>
          <w:rFonts w:ascii="Arial" w:cs="Arial" w:eastAsia="Arial" w:hAnsi="Arial"/>
          <w:sz w:val="18"/>
          <w:szCs w:val="18"/>
          <w:color w:val="auto"/>
        </w:rPr>
        <w:t>The remaining unamortized balance of deferred financing costs relating to the credit facility which was fully repaid and terminated on March 19, 2014 amounting to $2,986 was written off and recorded within interest expense within the Consolidated Statement of Income.</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32"/>
          </w:cols>
          <w:pgMar w:left="248" w:top="270" w:right="31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1"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452" w:right="140"/>
        <w:spacing w:after="0" w:line="277" w:lineRule="auto"/>
        <w:rPr>
          <w:sz w:val="20"/>
          <w:szCs w:val="20"/>
          <w:color w:val="auto"/>
        </w:rPr>
      </w:pPr>
      <w:r>
        <w:rPr>
          <w:rFonts w:ascii="Arial" w:cs="Arial" w:eastAsia="Arial" w:hAnsi="Arial"/>
          <w:sz w:val="18"/>
          <w:szCs w:val="18"/>
          <w:color w:val="auto"/>
        </w:rPr>
        <w:t>From December 2007 the Company was financed by a senior secured credit facility with a final maturity date of August 2016. This credit facility was fully repaid and terminated on March 19, 2014 using the proceeds of the issue of the 2019 Notes (see note 6(b)).</w:t>
      </w:r>
    </w:p>
    <w:p>
      <w:pPr>
        <w:spacing w:after="0" w:line="62" w:lineRule="exact"/>
        <w:rPr>
          <w:sz w:val="20"/>
          <w:szCs w:val="20"/>
          <w:color w:val="auto"/>
        </w:rPr>
      </w:pPr>
    </w:p>
    <w:p>
      <w:pPr>
        <w:ind w:left="452" w:right="80"/>
        <w:spacing w:after="0" w:line="308" w:lineRule="auto"/>
        <w:rPr>
          <w:sz w:val="20"/>
          <w:szCs w:val="20"/>
          <w:color w:val="auto"/>
        </w:rPr>
      </w:pPr>
      <w:r>
        <w:rPr>
          <w:rFonts w:ascii="Arial" w:cs="Arial" w:eastAsia="Arial" w:hAnsi="Arial"/>
          <w:sz w:val="17"/>
          <w:szCs w:val="17"/>
          <w:color w:val="auto"/>
        </w:rPr>
        <w:t>Amounts borrowed under the credit facility bore interest at USD LIBOR plus a margin of between 2.50% and 3.75% depending on the Leverage Ratio (being the ratio of the balance outstanding on the credit facility to the aggregate charter free market value of the secured vessels).</w:t>
      </w:r>
    </w:p>
    <w:p>
      <w:pPr>
        <w:spacing w:after="0" w:line="38" w:lineRule="exact"/>
        <w:rPr>
          <w:sz w:val="20"/>
          <w:szCs w:val="20"/>
          <w:color w:val="auto"/>
        </w:rPr>
      </w:pPr>
    </w:p>
    <w:p>
      <w:pPr>
        <w:ind w:left="452"/>
        <w:spacing w:after="0" w:line="257" w:lineRule="auto"/>
        <w:rPr>
          <w:sz w:val="20"/>
          <w:szCs w:val="20"/>
          <w:color w:val="auto"/>
        </w:rPr>
      </w:pPr>
      <w:r>
        <w:rPr>
          <w:rFonts w:ascii="Arial" w:cs="Arial" w:eastAsia="Arial" w:hAnsi="Arial"/>
          <w:sz w:val="18"/>
          <w:szCs w:val="18"/>
          <w:color w:val="auto"/>
        </w:rPr>
        <w:t>Due to the downturn after April 2011 in charter free market values of containerships, the Company obtained waivers from its lenders of the requirement to perform the Leverage Ratio test, the most recent of which had extended the waiver to April 30, 2015. Under the terms of the waivers, the Company paid a margin of 3.75% over USD LIBOR and made quarterly repayments of the credit facility in an amount equal to free cash in excess of $20,000 determined as at the previous month end, subject to a minimum of $40,000 repayment a year on a rolling 12 month trailing basis. Additionally the Company was unable to make dividend payments to common shareholders.</w:t>
      </w:r>
    </w:p>
    <w:p>
      <w:pPr>
        <w:spacing w:after="0" w:line="204"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40" w:type="dxa"/>
            <w:vAlign w:val="bottom"/>
            <w:gridSpan w:val="3"/>
          </w:tcPr>
          <w:p>
            <w:pPr>
              <w:ind w:left="1520"/>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4"/>
          </w:tcPr>
          <w:p>
            <w:pPr>
              <w:ind w:left="5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Secured credit facility, at USD LIBOR plus 3.75%</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current instalments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10.0% First Priority Secured Notes Due 2019</w:t>
      </w:r>
    </w:p>
    <w:p>
      <w:pPr>
        <w:spacing w:after="0" w:line="121" w:lineRule="exact"/>
        <w:rPr>
          <w:sz w:val="20"/>
          <w:szCs w:val="20"/>
          <w:color w:val="auto"/>
        </w:rPr>
      </w:pPr>
    </w:p>
    <w:p>
      <w:pPr>
        <w:ind w:left="452" w:right="80"/>
        <w:spacing w:after="0" w:line="277" w:lineRule="auto"/>
        <w:rPr>
          <w:sz w:val="20"/>
          <w:szCs w:val="20"/>
          <w:color w:val="auto"/>
        </w:rPr>
      </w:pPr>
      <w:r>
        <w:rPr>
          <w:rFonts w:ascii="Arial" w:cs="Arial" w:eastAsia="Arial" w:hAnsi="Arial"/>
          <w:sz w:val="18"/>
          <w:szCs w:val="18"/>
          <w:color w:val="auto"/>
        </w:rPr>
        <w:t>On March 19, 2014 the Company completed the sale of $420,000 of 10.0% First Priority Secured Notes which mature on April 1, 2019. Proceeds after the deduction of the original issue discount, but before expenses, amounted to $413,700.</w:t>
      </w:r>
    </w:p>
    <w:p>
      <w:pPr>
        <w:spacing w:after="0" w:line="62" w:lineRule="exact"/>
        <w:rPr>
          <w:sz w:val="20"/>
          <w:szCs w:val="20"/>
          <w:color w:val="auto"/>
        </w:rPr>
      </w:pPr>
    </w:p>
    <w:p>
      <w:pPr>
        <w:ind w:left="452" w:right="120"/>
        <w:spacing w:after="0" w:line="297" w:lineRule="auto"/>
        <w:rPr>
          <w:sz w:val="20"/>
          <w:szCs w:val="20"/>
          <w:color w:val="auto"/>
        </w:rPr>
      </w:pPr>
      <w:r>
        <w:rPr>
          <w:rFonts w:ascii="Arial" w:cs="Arial" w:eastAsia="Arial" w:hAnsi="Arial"/>
          <w:sz w:val="16"/>
          <w:szCs w:val="16"/>
          <w:color w:val="auto"/>
        </w:rPr>
        <w:t>Interest on the 2019 Notes is payable semi-annually on April 1 and October 1 of each year, commencing on October 1, 2014. As at June 30, 2014, interest of $11,900 has been accrued and is presented within accrued expenses in the consolidated balance sheets. The 2019 Notes are secured by first priority ship mortgages on each of the Company’s 17 vessels (the “Mortgaged Vessels”) and by assignments of earnings and insurances, a pledge over certain bank accounts, as well as share pledges over each subsidiary owning a Mortgaged Vessel. The 2019 Notes are fully and unconditionally guaranteed, jointly and severally, by the Company’s 17 vessel owning subsidiaries and Global Ship Lease Services Limited.</w:t>
      </w:r>
    </w:p>
    <w:p>
      <w:pPr>
        <w:spacing w:after="0" w:line="17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June 30,</w:t>
            </w:r>
          </w:p>
        </w:tc>
        <w:tc>
          <w:tcPr>
            <w:tcW w:w="1200" w:type="dxa"/>
            <w:vAlign w:val="bottom"/>
            <w:gridSpan w:val="4"/>
          </w:tcPr>
          <w:p>
            <w:pPr>
              <w:ind w:lef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10% First Priority Secured Notes Due 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$420,000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(6,300)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414,052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original issue discount is being amortised on an effective interest rate basis over the life of the 2019 Notes.</w:t>
      </w:r>
    </w:p>
    <w:p>
      <w:pPr>
        <w:spacing w:after="0" w:line="158"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0" w:right="259" w:bottom="1440" w:gutter="0" w:footer="0" w:header="0"/>
        </w:sectPr>
      </w:pPr>
    </w:p>
    <w:bookmarkStart w:id="24" w:name="page25"/>
    <w:bookmarkEnd w:id="2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158" w:lineRule="exact"/>
        <w:rPr>
          <w:sz w:val="20"/>
          <w:szCs w:val="20"/>
          <w:color w:val="auto"/>
        </w:rPr>
      </w:pPr>
    </w:p>
    <w:p>
      <w:pPr>
        <w:ind w:left="892" w:hanging="446"/>
        <w:spacing w:after="0"/>
        <w:tabs>
          <w:tab w:leader="none" w:pos="89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452"/>
        <w:spacing w:after="0" w:line="286" w:lineRule="auto"/>
        <w:rPr>
          <w:sz w:val="20"/>
          <w:szCs w:val="20"/>
          <w:color w:val="auto"/>
        </w:rPr>
      </w:pPr>
      <w:r>
        <w:rPr>
          <w:rFonts w:ascii="Arial" w:cs="Arial" w:eastAsia="Arial" w:hAnsi="Arial"/>
          <w:sz w:val="17"/>
          <w:szCs w:val="17"/>
          <w:color w:val="auto"/>
        </w:rPr>
        <w:t>On March 19, 2014, and in connection with the 2019 Notes, the Company entered into a new $40.0 million senior secured revolving credit facility with Citibank N.A. (the “Revolving Credit Facility”). This facility matures on October 1, 2018. The interest rate under the facility is USD LIBOR plus a margin of 3.25% and is payable at least quarterly. A commitment fee of 1.30% per annum is due quarterly on undrawn amounts.</w:t>
      </w:r>
    </w:p>
    <w:p>
      <w:pPr>
        <w:spacing w:after="0" w:line="57" w:lineRule="exact"/>
        <w:rPr>
          <w:sz w:val="20"/>
          <w:szCs w:val="20"/>
          <w:color w:val="auto"/>
        </w:rPr>
      </w:pPr>
    </w:p>
    <w:p>
      <w:pPr>
        <w:ind w:left="452"/>
        <w:spacing w:after="0" w:line="286" w:lineRule="auto"/>
        <w:rPr>
          <w:sz w:val="20"/>
          <w:szCs w:val="20"/>
          <w:color w:val="auto"/>
        </w:rPr>
      </w:pPr>
      <w:r>
        <w:rPr>
          <w:rFonts w:ascii="Arial" w:cs="Arial" w:eastAsia="Arial" w:hAnsi="Arial"/>
          <w:sz w:val="17"/>
          <w:szCs w:val="17"/>
          <w:color w:val="auto"/>
        </w:rPr>
        <w:t>The collateral provided to the 2019 Notes also secures on a first priority basis the Revolving Credit Facility. There is a Cash Balance financial covenant which is tested each six months, commencing June 30, 2014. Up to and including December 31, 2015, the Company must have a minimum cash balance of $15,000 on each test date. After this date, the minimum cash balance on each test date increases to $20,000.</w:t>
      </w:r>
    </w:p>
    <w:p>
      <w:pPr>
        <w:spacing w:after="0" w:line="57" w:lineRule="exact"/>
        <w:rPr>
          <w:sz w:val="20"/>
          <w:szCs w:val="20"/>
          <w:color w:val="auto"/>
        </w:rPr>
      </w:pPr>
    </w:p>
    <w:p>
      <w:pPr>
        <w:ind w:left="452" w:right="560"/>
        <w:spacing w:after="0" w:line="277" w:lineRule="auto"/>
        <w:rPr>
          <w:sz w:val="20"/>
          <w:szCs w:val="20"/>
          <w:color w:val="auto"/>
        </w:rPr>
      </w:pPr>
      <w:r>
        <w:rPr>
          <w:rFonts w:ascii="Arial" w:cs="Arial" w:eastAsia="Arial" w:hAnsi="Arial"/>
          <w:sz w:val="18"/>
          <w:szCs w:val="18"/>
          <w:color w:val="auto"/>
        </w:rPr>
        <w:t>Amounts outstanding under this facility can be prepaid without penalty, other than breakage costs in certain circumstances. At June 30, 2014 no amounts had been drawn down under the Revolving Credit Facility.</w:t>
      </w:r>
    </w:p>
    <w:p>
      <w:pPr>
        <w:spacing w:after="0" w:line="315"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5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CMA CGM is considered as a related party as it was, until the merger referred to in Note 1, the parent company of Global Ship Lease, Inc. and remains a significant shareholder. As at June 30, 2014, CMA CGM owned Class A and Class B common shares representing a 45% voting interest in the Company.</w:t>
      </w:r>
    </w:p>
    <w:p>
      <w:pPr>
        <w:spacing w:after="0" w:line="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23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4"/>
          </w:tcPr>
          <w:p>
            <w:pPr>
              <w:ind w:left="5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3,048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80" w:type="dxa"/>
            <w:vAlign w:val="bottom"/>
            <w:gridSpan w:val="2"/>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3"/>
              </w:rPr>
              <w:t>$ 6,711</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right="40"/>
        <w:spacing w:after="0" w:line="264" w:lineRule="auto"/>
        <w:rPr>
          <w:sz w:val="20"/>
          <w:szCs w:val="20"/>
          <w:color w:val="auto"/>
        </w:rPr>
      </w:pPr>
      <w:r>
        <w:rPr>
          <w:rFonts w:ascii="Arial" w:cs="Arial" w:eastAsia="Arial" w:hAnsi="Arial"/>
          <w:sz w:val="18"/>
          <w:szCs w:val="18"/>
          <w:color w:val="auto"/>
        </w:rPr>
        <w:t>The current account balances at June 30, 2014 and December 31, 2013 relate to amounts payable to or recoverable from CMA CGM group companies. The majority of the Company’s charter arrangements are with CMA CGM and one of its subsidiaries provides the Company with ship management services on all its vessels.</w:t>
      </w:r>
    </w:p>
    <w:p>
      <w:pPr>
        <w:spacing w:after="0" w:line="73" w:lineRule="exact"/>
        <w:rPr>
          <w:sz w:val="20"/>
          <w:szCs w:val="20"/>
          <w:color w:val="auto"/>
        </w:rPr>
      </w:pPr>
    </w:p>
    <w:p>
      <w:pPr>
        <w:ind w:left="452" w:right="460"/>
        <w:spacing w:after="0" w:line="342" w:lineRule="auto"/>
        <w:rPr>
          <w:sz w:val="20"/>
          <w:szCs w:val="20"/>
          <w:color w:val="auto"/>
        </w:rPr>
      </w:pPr>
      <w:r>
        <w:rPr>
          <w:rFonts w:ascii="Arial" w:cs="Arial" w:eastAsia="Arial" w:hAnsi="Arial"/>
          <w:sz w:val="16"/>
          <w:szCs w:val="16"/>
          <w:color w:val="auto"/>
        </w:rPr>
        <w:t>CMA CGM holds all of the Series A preferred shares of the Company (see note 9). During the three months and six months to June 30, 2014, the Company incurred costs in respect of dividends on these preferred shares of $254 (2013: $259) and $505 (2013: $518) respectively.</w:t>
      </w:r>
    </w:p>
    <w:p>
      <w:pPr>
        <w:spacing w:after="0" w:line="22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452"/>
        <w:spacing w:after="0" w:line="279" w:lineRule="auto"/>
        <w:rPr>
          <w:sz w:val="20"/>
          <w:szCs w:val="20"/>
          <w:color w:val="auto"/>
        </w:rPr>
      </w:pPr>
      <w:r>
        <w:rPr>
          <w:rFonts w:ascii="Arial" w:cs="Arial" w:eastAsia="Arial" w:hAnsi="Arial"/>
          <w:sz w:val="17"/>
          <w:szCs w:val="17"/>
          <w:color w:val="auto"/>
        </w:rPr>
        <w:t>The majority of the Company’s time charter arrangements are with CMA CGM. Under these time charters, hire is payable in advance and the daily rate is fixed for the duration of the charter. The charters are for remaining periods as at June 30, 2014 of between 3.50 and 11.50 years (see note 2(a)). Of the $899,664 maximum contracted future charter hire receivable for the fleet set out in note 8, $898,697 relates to the 15 vessels that were chartered to CMA CGM as at June 30, 2014. Revenues generated from charters to CMA CGM are summarized as follows:</w:t>
      </w:r>
    </w:p>
    <w:p>
      <w:pPr>
        <w:spacing w:after="0" w:line="17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580" w:type="dxa"/>
            <w:vAlign w:val="bottom"/>
          </w:tcPr>
          <w:p>
            <w:pPr>
              <w:jc w:val="right"/>
              <w:ind w:right="6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2013</w:t>
            </w:r>
          </w:p>
        </w:tc>
        <w:tc>
          <w:tcPr>
            <w:tcW w:w="380" w:type="dxa"/>
            <w:vAlign w:val="bottom"/>
          </w:tcPr>
          <w:p>
            <w:pPr>
              <w:spacing w:after="0"/>
              <w:rPr>
                <w:sz w:val="16"/>
                <w:szCs w:val="16"/>
                <w:color w:val="auto"/>
              </w:rPr>
            </w:pPr>
          </w:p>
        </w:tc>
        <w:tc>
          <w:tcPr>
            <w:tcW w:w="600" w:type="dxa"/>
            <w:vAlign w:val="bottom"/>
          </w:tcPr>
          <w:p>
            <w:pPr>
              <w:jc w:val="right"/>
              <w:ind w:right="8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 generated from charters to CMA CGM</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33,104</w:t>
            </w:r>
          </w:p>
        </w:tc>
        <w:tc>
          <w:tcPr>
            <w:tcW w:w="11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35,867</w:t>
            </w: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67,142</w:t>
            </w:r>
          </w:p>
        </w:tc>
        <w:tc>
          <w:tcPr>
            <w:tcW w:w="8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72"/>
          </w:cols>
          <w:pgMar w:left="248" w:top="270" w:right="27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52" w:right="7940" w:hanging="452"/>
        <w:spacing w:after="0" w:line="451" w:lineRule="auto"/>
        <w:tabs>
          <w:tab w:leader="none" w:pos="44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(continued) Ship Management Agreements</w:t>
      </w:r>
    </w:p>
    <w:p>
      <w:pPr>
        <w:spacing w:after="0" w:line="1" w:lineRule="exact"/>
        <w:rPr>
          <w:rFonts w:ascii="Arial" w:cs="Arial" w:eastAsia="Arial" w:hAnsi="Arial"/>
          <w:sz w:val="16"/>
          <w:szCs w:val="16"/>
          <w:b w:val="1"/>
          <w:bCs w:val="1"/>
          <w:color w:val="auto"/>
        </w:rPr>
      </w:pPr>
    </w:p>
    <w:p>
      <w:pPr>
        <w:ind w:left="452" w:right="2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The Company outsources day to day technical management of its 17 vessels to a ship manager, CMA Ships Limited, a wholly owned subsidiary of CMA CGM. The Company pays CMA Ships Limited an annual management fee of $123 per vessel (2013: $114) and reimburses costs incurred by CMA Ships on its behalf, mainly being for the provision of crew, lubricating oils and routine maintenance. Such reimbursement is subject to a cap of between $5.9 and $9.0 (2013: between $5.4 and $8.8) per day per vessel depending on the vessel. The impact of the cap is determined annually on a vessel by vessel basis for so long as the initial charters remain in place. Ship management fees expensed for the three months and six months ended June 30, 2014 amounted to $523 (2013: $484) and $1,046 (2013: $969) respectively.</w:t>
      </w:r>
    </w:p>
    <w:p>
      <w:pPr>
        <w:spacing w:after="0" w:line="70"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Except for transactions with CMA CGM companies, the Company did not enter into any related party transactions.</w:t>
      </w:r>
    </w:p>
    <w:p>
      <w:pPr>
        <w:spacing w:after="0" w:line="369" w:lineRule="exact"/>
        <w:rPr>
          <w:rFonts w:ascii="Arial" w:cs="Arial" w:eastAsia="Arial" w:hAnsi="Arial"/>
          <w:sz w:val="16"/>
          <w:szCs w:val="16"/>
          <w:b w:val="1"/>
          <w:bCs w:val="1"/>
          <w:color w:val="auto"/>
        </w:rPr>
      </w:pPr>
    </w:p>
    <w:p>
      <w:pPr>
        <w:ind w:left="452" w:right="8420" w:hanging="452"/>
        <w:spacing w:after="0" w:line="425" w:lineRule="auto"/>
        <w:tabs>
          <w:tab w:leader="none" w:pos="44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Charter Hire Receivable</w:t>
      </w:r>
    </w:p>
    <w:p>
      <w:pPr>
        <w:ind w:left="452" w:right="1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16 vessels subject to charters as at June 30, 2014 is as follows:</w:t>
      </w:r>
    </w:p>
    <w:p>
      <w:pPr>
        <w:spacing w:after="0" w:line="18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00"/>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3540" w:type="dxa"/>
            <w:vAlign w:val="bottom"/>
            <w:gridSpan w:val="2"/>
          </w:tcPr>
          <w:p>
            <w:pPr>
              <w:jc w:val="center"/>
              <w:ind w:left="275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2015</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131,690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2017</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116,780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Thereafter</w:t>
            </w:r>
          </w:p>
        </w:tc>
        <w:tc>
          <w:tcPr>
            <w:tcW w:w="2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899,664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jc w:val="both"/>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June 30, 2014 the Company had two classes of common shares outstanding.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6" w:lineRule="exact"/>
        <w:rPr>
          <w:rFonts w:ascii="Arial" w:cs="Arial" w:eastAsia="Arial" w:hAnsi="Arial"/>
          <w:sz w:val="18"/>
          <w:szCs w:val="18"/>
          <w:b w:val="1"/>
          <w:bCs w:val="1"/>
          <w:color w:val="auto"/>
        </w:rPr>
      </w:pPr>
    </w:p>
    <w:p>
      <w:pPr>
        <w:ind w:left="1452" w:hanging="547"/>
        <w:spacing w:after="0"/>
        <w:tabs>
          <w:tab w:leader="none" w:pos="14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1452" w:right="440" w:hanging="547"/>
        <w:spacing w:after="0" w:line="277" w:lineRule="auto"/>
        <w:tabs>
          <w:tab w:leader="none" w:pos="14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spacing w:after="0" w:line="75" w:lineRule="exact"/>
        <w:rPr>
          <w:rFonts w:ascii="Arial" w:cs="Arial" w:eastAsia="Arial" w:hAnsi="Arial"/>
          <w:sz w:val="18"/>
          <w:szCs w:val="18"/>
          <w:color w:val="auto"/>
        </w:rPr>
      </w:pPr>
    </w:p>
    <w:p>
      <w:pPr>
        <w:ind w:left="1452" w:hanging="547"/>
        <w:spacing w:after="0"/>
        <w:tabs>
          <w:tab w:leader="none" w:pos="14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1452" w:hanging="547"/>
        <w:spacing w:after="0"/>
        <w:tabs>
          <w:tab w:leader="none" w:pos="14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52" w:right="140"/>
        <w:spacing w:after="0" w:line="255" w:lineRule="auto"/>
        <w:rPr>
          <w:sz w:val="20"/>
          <w:szCs w:val="20"/>
          <w:color w:val="auto"/>
        </w:rPr>
      </w:pPr>
      <w:r>
        <w:rPr>
          <w:rFonts w:ascii="Arial" w:cs="Arial" w:eastAsia="Arial" w:hAnsi="Arial"/>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0" w:right="239" w:bottom="1440" w:gutter="0" w:footer="0" w:header="0"/>
        </w:sectPr>
      </w:pPr>
    </w:p>
    <w:bookmarkStart w:id="26" w:name="page27"/>
    <w:bookmarkEnd w:id="26"/>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(continued)</w:t>
      </w:r>
    </w:p>
    <w:p>
      <w:pPr>
        <w:spacing w:after="0" w:line="161"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have been granted periodically to the Directors and management, under the Company’s 2008 Equity Incentive Plan, as part of their compensation arrangements (see note 11).</w:t>
      </w:r>
    </w:p>
    <w:p>
      <w:pPr>
        <w:spacing w:after="0" w:line="62" w:lineRule="exact"/>
        <w:rPr>
          <w:rFonts w:ascii="Arial" w:cs="Arial" w:eastAsia="Arial" w:hAnsi="Arial"/>
          <w:sz w:val="18"/>
          <w:szCs w:val="18"/>
          <w:b w:val="1"/>
          <w:bCs w:val="1"/>
          <w:color w:val="auto"/>
        </w:rPr>
      </w:pPr>
    </w:p>
    <w:p>
      <w:pPr>
        <w:ind w:left="452"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121" w:lineRule="exact"/>
        <w:rPr>
          <w:rFonts w:ascii="Arial" w:cs="Arial" w:eastAsia="Arial" w:hAnsi="Arial"/>
          <w:sz w:val="18"/>
          <w:szCs w:val="18"/>
          <w:b w:val="1"/>
          <w:bCs w:val="1"/>
          <w:color w:val="auto"/>
        </w:rPr>
      </w:pPr>
    </w:p>
    <w:p>
      <w:pPr>
        <w:ind w:left="452"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issue of the 2019 Notes (see note 6(b)) the Company had been exposed to the impact of changes to interest rates on the floating rate debt drawn under the credit facility (see note 6(a)) which also required the Company to hedge at least 50% of any drawings. Accordingly, the Company entered into interest rate swap agreements to manage the exposure.</w:t>
      </w:r>
    </w:p>
    <w:p>
      <w:pPr>
        <w:spacing w:after="0" w:line="73" w:lineRule="exact"/>
        <w:rPr>
          <w:rFonts w:ascii="Arial" w:cs="Arial" w:eastAsia="Arial" w:hAnsi="Arial"/>
          <w:sz w:val="18"/>
          <w:szCs w:val="18"/>
          <w:b w:val="1"/>
          <w:bCs w:val="1"/>
          <w:color w:val="auto"/>
        </w:rPr>
      </w:pPr>
    </w:p>
    <w:p>
      <w:pPr>
        <w:ind w:left="452"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March 19, 2014 the secured credit facility was fully repaid and was replaced with the 2019 Notes, which have a fixed interest rate. The $277,000 nominal amount of outstanding interest rate swaps which had hedged the Company’s interest rate risk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63" w:lineRule="exact"/>
        <w:rPr>
          <w:rFonts w:ascii="Arial" w:cs="Arial" w:eastAsia="Arial" w:hAnsi="Arial"/>
          <w:sz w:val="18"/>
          <w:szCs w:val="18"/>
          <w:b w:val="1"/>
          <w:bCs w:val="1"/>
          <w:color w:val="auto"/>
        </w:rPr>
      </w:pPr>
    </w:p>
    <w:p>
      <w:pPr>
        <w:jc w:val="both"/>
        <w:ind w:left="452"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periods when the interest rate swaps were outstanding, they were “marked to market” at each reporting date end and recorded at their fair values. This generated unrealized gains and losses. The unrealized gain on interest rate derivatives for the three and six months ended June 30, 2014 was $ nil (2013: $4,988) and $1,944 (2013: $10,442) respectively.</w:t>
      </w:r>
    </w:p>
    <w:p>
      <w:pPr>
        <w:spacing w:after="0" w:line="73" w:lineRule="exact"/>
        <w:rPr>
          <w:rFonts w:ascii="Arial" w:cs="Arial" w:eastAsia="Arial" w:hAnsi="Arial"/>
          <w:sz w:val="18"/>
          <w:szCs w:val="18"/>
          <w:b w:val="1"/>
          <w:bCs w:val="1"/>
          <w:color w:val="auto"/>
        </w:rPr>
      </w:pPr>
    </w:p>
    <w:p>
      <w:pPr>
        <w:ind w:left="452"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None of the Company’s interest rate agreements qualified for hedge accounting and therefore the net changes in the fair value of the interest rate derivative assets and liabilities at each reporting period have been reflected in the current period operations as unrealized gains and losses on derivatives. Cash flows related to interest rate derivatives (initial payments for the derivatives, periodic cash settlements and termination payments) are included within cash flows from investing activities in the consolidated statements of cash flows.</w:t>
      </w:r>
    </w:p>
    <w:p>
      <w:pPr>
        <w:spacing w:after="0" w:line="63" w:lineRule="exact"/>
        <w:rPr>
          <w:rFonts w:ascii="Arial" w:cs="Arial" w:eastAsia="Arial" w:hAnsi="Arial"/>
          <w:sz w:val="18"/>
          <w:szCs w:val="18"/>
          <w:b w:val="1"/>
          <w:bCs w:val="1"/>
          <w:color w:val="auto"/>
        </w:rPr>
      </w:pPr>
    </w:p>
    <w:p>
      <w:pPr>
        <w:jc w:val="both"/>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derivative instruments were categorized as level 2 in the fair value hierarchy. Due to the termination of these instruments in the current year, the fair value at the reporting date was $nil (December 31, 2013: liability of $21,289). Within the consolidated balance sheets, there are no offsets of recognized assets or liabilities related to these derivatives.</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52"/>
          </w:cols>
          <w:pgMar w:left="248" w:top="270" w:right="29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44" w:lineRule="exact"/>
        <w:rPr>
          <w:sz w:val="20"/>
          <w:szCs w:val="20"/>
          <w:color w:val="auto"/>
        </w:rPr>
      </w:pPr>
    </w:p>
    <w:tbl>
      <w:tblPr>
        <w:tblLayout w:type="fixed"/>
        <w:tblInd w:w="7000" w:type="dxa"/>
        <w:tblCellMar>
          <w:top w:w="0" w:type="dxa"/>
          <w:left w:w="0" w:type="dxa"/>
          <w:bottom w:w="0" w:type="dxa"/>
          <w:right w:w="0" w:type="dxa"/>
        </w:tblCellMar>
      </w:tblPr>
      <w:tr>
        <w:trPr>
          <w:trHeight w:val="171"/>
        </w:trPr>
        <w:tc>
          <w:tcPr>
            <w:tcW w:w="10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Restricted Stock Units</w:t>
            </w:r>
          </w:p>
        </w:tc>
        <w:tc>
          <w:tcPr>
            <w:tcW w:w="740" w:type="dxa"/>
            <w:vAlign w:val="bottom"/>
            <w:tcBorders>
              <w:bottom w:val="single" w:sz="8" w:color="auto"/>
            </w:tcBorders>
          </w:tcPr>
          <w:p>
            <w:pPr>
              <w:spacing w:after="0"/>
              <w:rPr>
                <w:sz w:val="14"/>
                <w:szCs w:val="14"/>
                <w:color w:val="auto"/>
              </w:rPr>
            </w:pPr>
          </w:p>
        </w:tc>
      </w:tr>
      <w:tr>
        <w:trPr>
          <w:trHeight w:val="123"/>
        </w:trPr>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740" w:type="dxa"/>
            <w:vAlign w:val="bottom"/>
          </w:tcPr>
          <w:p>
            <w:pPr>
              <w:spacing w:after="0"/>
              <w:rPr>
                <w:sz w:val="10"/>
                <w:szCs w:val="10"/>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7"/>
              </w:rPr>
              <w:t>Actual</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1"/>
              </w:rPr>
              <w:t>Fair</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Value on</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0"/>
              </w:rPr>
              <w:t>Value on</w:t>
            </w:r>
          </w:p>
        </w:tc>
      </w:tr>
      <w:tr>
        <w:trPr>
          <w:trHeight w:val="149"/>
        </w:trPr>
        <w:tc>
          <w:tcPr>
            <w:tcW w:w="2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Number of Units</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89"/>
              </w:rPr>
              <w:t>Vesting</w:t>
            </w: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Management</w:t>
            </w:r>
          </w:p>
        </w:tc>
        <w:tc>
          <w:tcPr>
            <w:tcW w:w="1060" w:type="dxa"/>
            <w:vAlign w:val="bottom"/>
          </w:tcPr>
          <w:p>
            <w:pPr>
              <w:ind w:left="260"/>
              <w:spacing w:after="0"/>
              <w:rPr>
                <w:sz w:val="20"/>
                <w:szCs w:val="20"/>
                <w:color w:val="auto"/>
              </w:rPr>
            </w:pPr>
            <w:r>
              <w:rPr>
                <w:rFonts w:ascii="Arial" w:cs="Arial" w:eastAsia="Arial" w:hAnsi="Arial"/>
                <w:sz w:val="14"/>
                <w:szCs w:val="14"/>
                <w:color w:val="auto"/>
              </w:rPr>
              <w:t>Directors</w:t>
            </w: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87"/>
              </w:rPr>
              <w:t>date</w:t>
            </w:r>
          </w:p>
        </w:tc>
      </w:tr>
    </w:tbl>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225,000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Vested in January 2013</w:t>
            </w:r>
          </w:p>
        </w:tc>
        <w:tc>
          <w:tcPr>
            <w:tcW w:w="12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(32,070)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7, 2013</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2014</w:t>
            </w:r>
          </w:p>
        </w:tc>
        <w:tc>
          <w:tcPr>
            <w:tcW w:w="12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Unvested as at June 30, 2013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and six months ended June 30, 2014, the Company recognized a total of $51 (2013: $102) and $101 (2013: $185) share based compensation costs respectively. As at June 30, 2014, there was a total of $151 unrecognized compensation cost relating to the above share based awards (December 31, 2013: $252). The remaining cost is expected to be recognized over a period of 15 months.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restricted stock units granted to Directors on March 13, 2012 and March 7, 2013 vested in January 2013 and January 2014 respectively.</w:t>
      </w:r>
    </w:p>
    <w:p>
      <w:pPr>
        <w:spacing w:after="0" w:line="12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80"/>
          </w:cols>
          <w:pgMar w:left="240" w:top="270" w:right="279" w:bottom="1440" w:gutter="0" w:footer="0" w:header="0"/>
        </w:sectPr>
      </w:pPr>
    </w:p>
    <w:bookmarkStart w:id="28" w:name="page29"/>
    <w:bookmarkEnd w:id="2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4"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452"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rFonts w:ascii="Arial" w:cs="Arial" w:eastAsia="Arial" w:hAnsi="Arial"/>
          <w:sz w:val="18"/>
          <w:szCs w:val="18"/>
          <w:b w:val="1"/>
          <w:bCs w:val="1"/>
          <w:color w:val="auto"/>
        </w:rPr>
      </w:pPr>
    </w:p>
    <w:p>
      <w:pPr>
        <w:ind w:left="45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and six months ended June 30, 2014, no dividend was declared (2013: nil dividends). The Class B common shareholders’ dividend rights are subordinated to those of holders of Class A common shares (see note 9).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70" w:lineRule="exact"/>
        <w:rPr>
          <w:rFonts w:ascii="Arial" w:cs="Arial" w:eastAsia="Arial" w:hAnsi="Arial"/>
          <w:sz w:val="18"/>
          <w:szCs w:val="18"/>
          <w:b w:val="1"/>
          <w:bCs w:val="1"/>
          <w:color w:val="auto"/>
        </w:rPr>
      </w:pPr>
    </w:p>
    <w:p>
      <w:pPr>
        <w:jc w:val="both"/>
        <w:ind w:left="45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June 30, 2014, there were 300,000 restricted stock units granted and unvested as part of management’s stock based compensation. As of June 30, 2014 only Class A and B common shares are participating securities.</w:t>
      </w:r>
    </w:p>
    <w:p>
      <w:pPr>
        <w:spacing w:after="0" w:line="62" w:lineRule="exact"/>
        <w:rPr>
          <w:rFonts w:ascii="Arial" w:cs="Arial" w:eastAsia="Arial" w:hAnsi="Arial"/>
          <w:sz w:val="18"/>
          <w:szCs w:val="18"/>
          <w:b w:val="1"/>
          <w:bCs w:val="1"/>
          <w:color w:val="auto"/>
        </w:rPr>
      </w:pPr>
    </w:p>
    <w:p>
      <w:pPr>
        <w:ind w:left="452"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three and six months ended June 30, 2014, the diluted weighted average number of Class A common shares outstanding is the same as the basic weighted average number of shares outstanding. The diluted weighted average number of shares excludes the outstanding restricted stock units as these would have had an antidilutive effect. For the three months and six months ended June 30, 2013, the diluted weighted average number of shares includes the incremental effect of outstanding stock based incentive awards but excluded the effect of outstanding warrants as these were antidilutive.</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92"/>
          </w:cols>
          <w:pgMar w:left="248" w:top="270" w:right="259" w:bottom="1440" w:gutter="0" w:footer="0" w:header="0"/>
        </w:sectPr>
      </w:pPr>
    </w:p>
    <w:bookmarkStart w:id="29" w:name="page30"/>
    <w:bookmarkEnd w:id="2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604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80" w:type="dxa"/>
            <w:vAlign w:val="bottom"/>
          </w:tcPr>
          <w:p>
            <w:pPr>
              <w:spacing w:after="0"/>
              <w:rPr>
                <w:sz w:val="14"/>
                <w:szCs w:val="1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47,541,484</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47,513,934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47,541,332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47,513,757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RSUs without service conditions (note 12) (B)</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153,977</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109,212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47,691,484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47,742,911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47,691,332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47,697,969</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income available for Class B (C)</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Class A (A/B)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(C/D)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income available for Class B (G)</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Class A (E/F)</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(G/H)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July 17, 2014, the Company announced a new time charter for Ville d’Orion had commenced with Sea Consortium Pte Limited. The charter is at a gross charter rate of $8,000 per day and is for a period of between six and twelve months, at charterer’s option with 30 days notice.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14</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404"/>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Letter"/>
      <w:start w:val="2"/>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1."/>
      <w:numFmt w:val="decimal"/>
      <w:start w:val="5"/>
    </w:lvl>
  </w:abstractNum>
  <w:abstractNum w:abstractNumId="14">
    <w:nsid w:val="62BBD95A"/>
    <w:multiLevelType w:val="hybridMultilevel"/>
    <w:lvl w:ilvl="0">
      <w:lvlJc w:val="left"/>
      <w:lvlText w:val="%1."/>
      <w:numFmt w:val="decimal"/>
      <w:start w:val="6"/>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decimal"/>
      <w:start w:val="6"/>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decimal"/>
      <w:start w:val="7"/>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9"/>
    </w:lvl>
    <w:lvl w:ilvl="1">
      <w:lvlJc w:val="left"/>
      <w:lvlText w:val="•"/>
      <w:numFmt w:val="bullet"/>
      <w:start w:val="1"/>
    </w:lvl>
  </w:abstractNum>
  <w:abstractNum w:abstractNumId="22">
    <w:nsid w:val="75A2A8D4"/>
    <w:multiLevelType w:val="hybridMultilevel"/>
    <w:lvl w:ilvl="0">
      <w:lvlJc w:val="left"/>
      <w:lvlText w:val="%1."/>
      <w:numFmt w:val="decimal"/>
      <w:start w:val="9"/>
    </w:lvl>
  </w:abstractNum>
  <w:abstractNum w:abstractNumId="23">
    <w:nsid w:val="8EDBDAB"/>
    <w:multiLevelType w:val="hybridMultilevel"/>
    <w:lvl w:ilvl="0">
      <w:lvlJc w:val="left"/>
      <w:lvlText w:val="%1."/>
      <w:numFmt w:val="decimal"/>
      <w:start w:val="12"/>
    </w:lvl>
  </w:abstractNum>
  <w:abstractNum w:abstractNumId="24">
    <w:nsid w:val="79838CB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2019-12-07T18:40:31Z</dcterms:created>
  <dcterms:modified xsi:type="dcterms:W3CDTF">2019-12-07T18:40:31Z</dcterms:modified>
</cp:coreProperties>
</file>