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August 10, 2009</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spacing w:after="0" w:line="207" w:lineRule="exact"/>
        <w:tabs>
          <w:tab w:leader="none" w:pos="11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tabs>
          <w:tab w:leader="none" w:pos="8640" w:val="left"/>
        </w:tabs>
        <w:rPr>
          <w:sz w:val="20"/>
          <w:szCs w:val="20"/>
          <w:color w:val="auto"/>
        </w:rPr>
      </w:pPr>
      <w:r>
        <w:rPr>
          <w:rFonts w:ascii="Arial" w:cs="Arial" w:eastAsia="Arial" w:hAnsi="Arial"/>
          <w:sz w:val="16"/>
          <w:szCs w:val="16"/>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August 10, 2009 of Global Ship Lease, Inc. (the “Company”) reporting the Company’s financial results for the Second Quarter 2009. Attached hereto as Exhibit II are the Company’s interim unaudited combined financial statements for the three and six months ended June 30, 2009.</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6180" w:val="left"/>
          <w:tab w:leader="none" w:pos="690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10795</wp:posOffset>
            </wp:positionV>
            <wp:extent cx="3078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80"/>
          </w:cols>
          <w:pgMar w:left="240" w:top="274"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24333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Second Quarter of 2009</w:t>
      </w:r>
    </w:p>
    <w:p>
      <w:pPr>
        <w:spacing w:after="0" w:line="17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LONDON, ENGLAND - August 10, 2009 </w:t>
      </w:r>
      <w:r>
        <w:rPr>
          <w:rFonts w:ascii="Arial" w:cs="Arial" w:eastAsia="Arial" w:hAnsi="Arial"/>
          <w:sz w:val="18"/>
          <w:szCs w:val="18"/>
          <w:color w:val="auto"/>
        </w:rPr>
        <w:t>- Global Ship Lease, Inc. (NYSE:GSL, GSL.U and GSL.WS), a containership charter owner, announced today its</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 results for the three months ended June 30,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Year-to-Date 2009 Highlights</w:t>
      </w:r>
    </w:p>
    <w:p>
      <w:pPr>
        <w:spacing w:after="0" w:line="96"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$14.8 million of cash in the second quarter of 2009 and $30.1 million six months ended June 30, 2009</w:t>
      </w:r>
    </w:p>
    <w:p>
      <w:pPr>
        <w:spacing w:after="0" w:line="171" w:lineRule="exact"/>
        <w:rPr>
          <w:rFonts w:ascii="Arial" w:cs="Arial" w:eastAsia="Arial" w:hAnsi="Arial"/>
          <w:sz w:val="18"/>
          <w:szCs w:val="18"/>
          <w:color w:val="auto"/>
        </w:rPr>
      </w:pPr>
    </w:p>
    <w:p>
      <w:pPr>
        <w:ind w:right="280" w:firstLine="8"/>
        <w:spacing w:after="0" w:line="370" w:lineRule="auto"/>
        <w:tabs>
          <w:tab w:leader="none" w:pos="102"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Reported revenue of $36.2 million for the second quarter of 2009 up 58% on $22.9 million for the second quarter 2008 due to the purchase of four additional vessels in December 2008 and $71.2 million for the six months ended June 30, 2009 up 59% on $44.8 million for the six months ended June 30, 2008</w:t>
      </w:r>
    </w:p>
    <w:p>
      <w:pPr>
        <w:spacing w:after="0" w:line="62" w:lineRule="exact"/>
        <w:rPr>
          <w:rFonts w:ascii="Arial" w:cs="Arial" w:eastAsia="Arial" w:hAnsi="Arial"/>
          <w:sz w:val="15"/>
          <w:szCs w:val="15"/>
          <w:color w:val="auto"/>
        </w:rPr>
      </w:pPr>
    </w:p>
    <w:p>
      <w:pPr>
        <w:jc w:val="both"/>
        <w:ind w:right="80" w:firstLine="8"/>
        <w:spacing w:after="0" w:line="332"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normalized net earnings of $6.1 million, or $0.11 per share, for the second quarter of 2009, excluding a $16.7 million non-cash interest rate derivative mark-to-market gain. For the six months ended June 30, 2009 normalized net earnings were $13.0 million excluding $21.0 million non-cash mark-to-market gain</w:t>
      </w:r>
    </w:p>
    <w:p>
      <w:pPr>
        <w:spacing w:after="0" w:line="85" w:lineRule="exact"/>
        <w:rPr>
          <w:rFonts w:ascii="Arial" w:cs="Arial" w:eastAsia="Arial" w:hAnsi="Arial"/>
          <w:sz w:val="16"/>
          <w:szCs w:val="16"/>
          <w:color w:val="auto"/>
        </w:rPr>
      </w:pPr>
    </w:p>
    <w:p>
      <w:pPr>
        <w:ind w:right="2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the non-cash mark-to-market gain, reported net income of $22.8 million, or $0.42 per share, for the second quarter of 2009 and $33.9 million, or $0.63 per share, for the six months ended June 30, 2009</w:t>
      </w:r>
    </w:p>
    <w:p>
      <w:pPr>
        <w:spacing w:after="0" w:line="131" w:lineRule="exact"/>
        <w:rPr>
          <w:rFonts w:ascii="Arial" w:cs="Arial" w:eastAsia="Arial" w:hAnsi="Arial"/>
          <w:sz w:val="18"/>
          <w:szCs w:val="18"/>
          <w:color w:val="auto"/>
        </w:rPr>
      </w:pPr>
    </w:p>
    <w:p>
      <w:pPr>
        <w:ind w:right="22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Extended until August 31, 2009 the suspension of loan-to-value tests under the $800 million credit facility whilst a longer term amendment regarding loan-to-value covenants is finalized. No common dividends can be declared or paid during the waiver period</w:t>
      </w:r>
    </w:p>
    <w:p>
      <w:pPr>
        <w:spacing w:after="0" w:line="131" w:lineRule="exact"/>
        <w:rPr>
          <w:rFonts w:ascii="Arial" w:cs="Arial" w:eastAsia="Arial" w:hAnsi="Arial"/>
          <w:sz w:val="18"/>
          <w:szCs w:val="18"/>
          <w:color w:val="auto"/>
        </w:rPr>
      </w:pPr>
    </w:p>
    <w:p>
      <w:pPr>
        <w:ind w:right="2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a fourth quarter 2008 dividend of $0.23 per share on March 5, 2009 to Class A common shareholders and unit holders and Class B common shareholders of record as of February 20, 2009</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Ian Webber, Chief Executive Officer of Global Ship Lease, stated, “During a difficult time for the container shipping industry, Global Ship Lease’s long-term time charters continue to perform as expected. With our entire 16 vessel operating fleet on non cancelable time charters with an average remaining term of 10 years, the Company posted strong and consistent revenue and cash flow in the second quarter. We are also pleased to have once again maintained our ship operating costs under the capped amount for the fourth consecutive quarter. As previously disclosed, we continue to work closely with our lenders and expect to finalize an amendment to our $800 million credit facility during August.”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Three And Six Months Ended June 30, 2009</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Comparative financial information for the three and six months ended June 30, 2008 is prepared under predecessor accounting rules and includes the results of operations of two of the Company’s vessels for a part of January 2008 when they were owned by CMA CGM, a privately owned French container shipping company, and operated in CMA CGM’s business of earning revenue from carrying cargo. Global Ship Lease commenced its business of time chartering out vessels in December 2007 when it purchased 10 container vessels from CMA CGM. The Company purchased the two additional vessels from CMA CGM in January 2008. The predecessor and Global Ship Lease business models are not comparable.</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Further, there were significant changes to the Company’s legal and capital structure arising from the merger on August 14, 2008, which resulted in the Company being listed on the New York Stock Exchange. Accordingly, selected comparative information is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Three months ended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4"/>
              </w:rPr>
              <w:t>Three months ended</w:t>
            </w:r>
          </w:p>
        </w:tc>
        <w:tc>
          <w:tcPr>
            <w:tcW w:w="700" w:type="dxa"/>
            <w:vAlign w:val="bottom"/>
          </w:tcPr>
          <w:p>
            <w:pPr>
              <w:spacing w:after="0"/>
              <w:rPr>
                <w:sz w:val="14"/>
                <w:szCs w:val="14"/>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Six months ended</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Six months ended</w:t>
            </w:r>
          </w:p>
        </w:tc>
      </w:tr>
      <w:tr>
        <w:trPr>
          <w:trHeight w:val="161"/>
        </w:trPr>
        <w:tc>
          <w:tcPr>
            <w:tcW w:w="49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680" w:type="dxa"/>
            <w:vAlign w:val="bottom"/>
          </w:tcPr>
          <w:p>
            <w:pPr>
              <w:spacing w:after="0"/>
              <w:rPr>
                <w:sz w:val="14"/>
                <w:szCs w:val="14"/>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 2008</w:t>
            </w:r>
          </w:p>
        </w:tc>
        <w:tc>
          <w:tcPr>
            <w:tcW w:w="7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700" w:type="dxa"/>
            <w:vAlign w:val="bottom"/>
          </w:tcPr>
          <w:p>
            <w:pPr>
              <w:spacing w:after="0"/>
              <w:rPr>
                <w:sz w:val="14"/>
                <w:szCs w:val="1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June 30, 2008</w:t>
            </w:r>
          </w:p>
        </w:tc>
        <w:tc>
          <w:tcPr>
            <w:tcW w:w="20" w:type="dxa"/>
            <w:vAlign w:val="bottom"/>
          </w:tcPr>
          <w:p>
            <w:pPr>
              <w:spacing w:after="0"/>
              <w:rPr>
                <w:sz w:val="14"/>
                <w:szCs w:val="14"/>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 (1)</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36,193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71,201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44,761</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Operating Income (1)</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14,304</w:t>
            </w:r>
          </w:p>
        </w:tc>
        <w:tc>
          <w:tcPr>
            <w:tcW w:w="1180" w:type="dxa"/>
            <w:vAlign w:val="bottom"/>
          </w:tcPr>
          <w:p>
            <w:pPr>
              <w:jc w:val="right"/>
              <w:spacing w:after="0"/>
              <w:rPr>
                <w:sz w:val="20"/>
                <w:szCs w:val="20"/>
                <w:color w:val="auto"/>
              </w:rPr>
            </w:pPr>
            <w:r>
              <w:rPr>
                <w:rFonts w:ascii="Arial" w:cs="Arial" w:eastAsia="Arial" w:hAnsi="Arial"/>
                <w:sz w:val="18"/>
                <w:szCs w:val="18"/>
                <w:color w:val="auto"/>
              </w:rPr>
              <w:t>10,301</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27,723</w:t>
            </w:r>
          </w:p>
        </w:tc>
        <w:tc>
          <w:tcPr>
            <w:tcW w:w="1020" w:type="dxa"/>
            <w:vAlign w:val="bottom"/>
          </w:tcPr>
          <w:p>
            <w:pPr>
              <w:jc w:val="right"/>
              <w:spacing w:after="0"/>
              <w:rPr>
                <w:sz w:val="20"/>
                <w:szCs w:val="20"/>
                <w:color w:val="auto"/>
              </w:rPr>
            </w:pPr>
            <w:r>
              <w:rPr>
                <w:rFonts w:ascii="Arial" w:cs="Arial" w:eastAsia="Arial" w:hAnsi="Arial"/>
                <w:sz w:val="18"/>
                <w:szCs w:val="18"/>
                <w:color w:val="auto"/>
              </w:rPr>
              <w:t>19,534</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(1)</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22,762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33,918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Earnings per A and B share (2)</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0.42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0.63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earnings (2) (3)</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12,957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Normalised earnings per A and B share (2) (3)</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0.11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0.24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available for distribution (2) (3)</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14,796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30,101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Comparative data for the three and six months ended June 30, 2008 relates to the Company’s time charter business only and therefore excludes the results from containerized transportation undertaken by the predecessor group.</w:t>
      </w: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Comparative data is not presented due to the significant changes to the legal and capital structure arising from the merger on August 14, 2008 resulting in the Company being listed on the New York Stock Exchange.</w:t>
      </w:r>
    </w:p>
    <w:p>
      <w:pPr>
        <w:ind w:left="460" w:right="240" w:hanging="452"/>
        <w:spacing w:after="0" w:line="32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Normalized net earnings, normalized earnings per share, and cash available for distribution are non-U.S. Generally Accepted Accounting Principles (US GAAP) measures, as explained further in this press release, and reconciliation is provided to the interim unaudited financial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Global Ship Lease owned sixteen vessels throughout the first half of 2009. The fleet generated revenue from fixed rate long-term time charters of $36.2 million in the three months ended June 30, 2009, up 58% on revenue of $22.9 million for the comparative period in 2008 due to the purchase of four additional ships in December 2008. These four vessels have an average daily charter rate of $30,800 compared to an average daily charter rate of $22,685 for the previous fleet of 12 vessels. During the three months ended June 30, 2009 there were 1,456 ownership days, up 364 or 33% on 1,092 ownership days in the comparable period. There were four unplanned off-hire days in the three months ended June 30, 2009 giving utilization of 99.7%. In the comparable period of 2008, there were seven unplanned off-hire days, giving utilization of 99.4%.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4" w:name="page5"/>
    <w:bookmarkEnd w:id="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six months ended June 30, 2009 revenue was $71.2 million, an increase of 59% compared to time charter revenue of $44.8 million in the comparative period. Ownership days at 2,896 were up 737, or 34%, on 2,159 in the comparative period. Utilization in the six months ended June 30, 2009 was 98.7% and was the same in the comparative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expenses, which include costs of crew, lubricating oil, spares and insurance, were $10.5 million for the three months ended June 30, 2009.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average cost per ownership day was $7,217 up 2% from the average daily cost of $7,076 for the previous quarter, and up 15% from the average daily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$6,246 for the comparative period in 2008. The increase on prior year is primarily due to increased crew costs in the intervening period, the incremental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the four larger vessels that joined the fleet in December 2008, including, for example, additional lubricating oil consumption and $400,000 of spend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2009 on crane jib improvements and replacing radars and turbo charger grids.</w:t>
      </w:r>
    </w:p>
    <w:p>
      <w:pPr>
        <w:spacing w:after="0" w:line="16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Vessel operating expenses were $21.2 million for the six months ended June 30, 2009 equivalent to $7,331 per ownership day. This compares to $14.0 million vessel operating expenses associated with the time charter business in the comparative period or $6,477 per ownership day.</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Vessel operating expenses include regular ship operating costs under Global Ship Lease’s ship management agreements and are at less than the capped amounts included in these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was $9.0 million for the three months ended June 30, 2009, including the effect of the purchase during December 2008 of four additional vessels, compared to $4.8 million for the comparative period. In the six months to June 30, 2009 depreciation was $17.8 million, up from $9.6 million for the time charter business in the comparative period in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costs incurred were $2.4 million in the three months ended June 30, 2009 compared to $1.2 million for the time charter business in the comparable period in 2008 when the Company was a wholly-owned subsidiary of CMA CGM. In the six months ended June 30, 2009 general and administrative costs were $4.6 million compared to $1.8 million in the comparative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excluding the effect of interest rate derivatives which do not qualify for hedge accounting, for the three months ended June 30, 2009 was</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$5.4 million based on the Company’s borrowings under its credit facility of $542.1 million and $48.0 million preferred shares throughout the period. Net interest expense in the comparative period in 2008 was $6.3 million based on borrowings of $578.0 million, including a loan of $176.9 million from the then shareholder, throughout the quarter.</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six months ended June 30, 2009 net interest expense was $9.9 million based on total borrowings as above of $590.1 million compared to $14.2 million net interest expense for the comparative period in 2008 based on total borrowings of $578.0 million throughout the comparative period and which was adversely affected by substantially higher prevailing interest rates in the first quarter.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Fair Value of Financial Instruments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hedges the majority of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change in the fair value caused a $13.9 million gain in the three months ended June 30, 2009, reflecting movements in the forward curve for interest rates. Of this amount, a $2.8 million charge is for settlements of swaps in the period and $16.7 million gain is unrealized revaluation of the balance sheet position. This compares to a $5.2 million gain in the three months ended June 30, 2008 of which $0.1 million charge was realized and $5.3 million gain was unrealized. For the six months ended June 30, 2009 the reported gain was $16.1 million of which $4.8 million charge was realized and $21.0 million gain was unrealized. For the six months ended June 30, 2008 the reported gain was $5.2 million of which $0.1 million charge was realized and $5.3 million gain was unrealized. Mark-to-market adjustments have no impact on operating performance or cash generation and do not affect the Company’s ability to make distributions to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Normalized net earnings was $6.1 million, or $0.11 per Class A and B common share, for the three months ended June 30, 2009 excluding the $16.7 million non-cash interest rate derivative mark-to-market gain. Including the mark-to-market gain, net income was $22.8 million or $0.42 per Class A and B common share.</w:t>
      </w:r>
    </w:p>
    <w:p>
      <w:pPr>
        <w:spacing w:after="0" w:line="6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Normalized net earnings was $13.0 million, or $0.24 per Class A and B common share, for the six months ended June 30, 2009 excluding the $21.0 million non-cash interest rate derivative mark-to-market gain. Including the mark-to-market gain, net income was $33.9 million or $0.63 per Class A and B common share.</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Normalized net earnings and normalized earnings per share are non-US GAAP measures and are reconciled to the financial information included in this press release. We believe that they are useful measures with which to assess the Company’s financial performance as they adjust for non-cash and other items that do not affect the Company’s ability to make distributions on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April 29, 2009, due to current challenges in the ship valuation environment, Global Ship Lease agreed with its lenders under its $800 million credit agreement, to waive for two months the requirement under the credit facility to submit vessel valuations and undertake the consequent loan-to-value test. Valuations were otherwise due by April 30, 2009. In June, the waiver was extended to July 31, 2009 and recently was further extended to August 31, 2009 to allow the Company to finalize discussions with its lenders on an amendment to the credit facility to address loan to value. The facility bears an interest margin of 2.75% over LIBOR during this waiver period and no dividend to common shareholders may be declared or paid.</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Management expects that an agreement will be reached with the Company’s lenders and, accordingly, the interim unaudited combined financial information have been prepared on a going concern basis. In the event that the Company does not successfully amend the facility agreement by August 31, 2009 or obtain a further waiver of the need to perform loan to value tests, and its loan to value ratio is above 100%, the lenders may declare an event of default and accelerate some or all of the debt. Any amount of the long term debt which is declared to be immediately repayable will be reclassified as current.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60"/>
          </w:cols>
          <w:pgMar w:left="240" w:top="28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Global Ship Lease has agreed with its lenders that it will not declare or pay any dividend to common shareholders during the waiver period noted above. The board of directors will review the dividend policy once an amendment to the credit facility has been agreed upon with the bank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Available for Common Dividends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available for common dividends was $14.8 million for the three months ended June 30, 2009 and was $30.1 million for the six months ended June 30, 2008. Cash available for common dividends is a non-US GAAP measure and is reconciled to the financial information further in this press release. We believe that it is a useful measure with which to assess the Company’s operating performance as it adjusts for the effects of non-cash items that do not affect the Company’s ability to make distributions on common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Utilization</w:t>
      </w:r>
    </w:p>
    <w:p>
      <w:pPr>
        <w:spacing w:after="0" w:line="9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table below shows vessel utilization for the three and six months to June 30 2009 and 2008. Unplanned offhire in the six months ended June 30, 2009 includes 18 days in first quarter for drydock and associated repairs following a grounding and a seven day deviation to land a sick crew member.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Days</w:t>
            </w: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4"/>
              </w:rPr>
              <w:t>Six months ended</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3"/>
            <w:vMerge w:val="continue"/>
          </w:tcPr>
          <w:p>
            <w:pPr>
              <w:spacing w:after="0"/>
              <w:rPr>
                <w:sz w:val="12"/>
                <w:szCs w:val="12"/>
                <w:color w:val="auto"/>
              </w:rPr>
            </w:pPr>
          </w:p>
        </w:tc>
        <w:tc>
          <w:tcPr>
            <w:tcW w:w="104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w w:val="85"/>
              </w:rPr>
              <w:t>30-Jun-09</w:t>
            </w: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5"/>
              </w:rPr>
              <w:t>30-Jun-08</w:t>
            </w: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Increase</w:t>
            </w:r>
          </w:p>
        </w:tc>
        <w:tc>
          <w:tcPr>
            <w:tcW w:w="46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30-Jun-09</w:t>
            </w:r>
          </w:p>
        </w:tc>
        <w:tc>
          <w:tcPr>
            <w:tcW w:w="300" w:type="dxa"/>
            <w:vAlign w:val="bottom"/>
          </w:tcPr>
          <w:p>
            <w:pPr>
              <w:spacing w:after="0"/>
              <w:rPr>
                <w:sz w:val="12"/>
                <w:szCs w:val="12"/>
                <w:color w:val="auto"/>
              </w:rPr>
            </w:pP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5"/>
              </w:rPr>
              <w:t>30-Jun-08</w:t>
            </w:r>
          </w:p>
        </w:tc>
        <w:tc>
          <w:tcPr>
            <w:tcW w:w="480" w:type="dxa"/>
            <w:vAlign w:val="bottom"/>
          </w:tcPr>
          <w:p>
            <w:pPr>
              <w:spacing w:after="0" w:line="142" w:lineRule="exact"/>
              <w:rPr>
                <w:sz w:val="20"/>
                <w:szCs w:val="20"/>
                <w:color w:val="auto"/>
              </w:rPr>
            </w:pPr>
            <w:r>
              <w:rPr>
                <w:rFonts w:ascii="Arial" w:cs="Arial" w:eastAsia="Arial" w:hAnsi="Arial"/>
                <w:sz w:val="14"/>
                <w:szCs w:val="14"/>
                <w:b w:val="1"/>
                <w:bCs w:val="1"/>
                <w:color w:val="auto"/>
                <w:w w:val="80"/>
              </w:rPr>
              <w:t>Increase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1,456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 - other</w:t>
            </w:r>
          </w:p>
        </w:tc>
        <w:tc>
          <w:tcPr>
            <w:tcW w:w="10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34%</w:t>
            </w: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21"/>
        </w:trPr>
        <w:tc>
          <w:tcPr>
            <w:tcW w:w="5620" w:type="dxa"/>
            <w:vAlign w:val="bottom"/>
            <w:gridSpan w:val="3"/>
            <w:vMerge w:val="continue"/>
          </w:tcPr>
          <w:p>
            <w:pPr>
              <w:spacing w:after="0"/>
              <w:rPr>
                <w:sz w:val="19"/>
                <w:szCs w:val="19"/>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1,452</w:t>
            </w: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4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2,132</w:t>
            </w:r>
          </w:p>
        </w:tc>
        <w:tc>
          <w:tcPr>
            <w:tcW w:w="4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0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99.7%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16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Capacity</w:t>
            </w: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Year</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Purchase Date</w:t>
            </w:r>
          </w:p>
        </w:tc>
        <w:tc>
          <w:tcPr>
            <w:tcW w:w="2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Duration</w:t>
            </w:r>
          </w:p>
        </w:tc>
        <w:tc>
          <w:tcPr>
            <w:tcW w:w="22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6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Built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by GSL</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4,113</w:t>
            </w: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1997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3.5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4,113</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1996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2,262</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1999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7.5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2,262</w:t>
            </w:r>
          </w:p>
        </w:tc>
        <w:tc>
          <w:tcPr>
            <w:tcW w:w="2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1999</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7.5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2,207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2003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8.5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2,207</w:t>
            </w:r>
          </w:p>
        </w:tc>
        <w:tc>
          <w:tcPr>
            <w:tcW w:w="2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2002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8.5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2,207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2002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8.5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2,207</w:t>
            </w:r>
          </w:p>
        </w:tc>
        <w:tc>
          <w:tcPr>
            <w:tcW w:w="2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2002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8.5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2,272</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2001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7.5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2,272</w:t>
            </w:r>
          </w:p>
        </w:tc>
        <w:tc>
          <w:tcPr>
            <w:tcW w:w="2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2001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7.5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5,100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5"/>
              </w:rPr>
              <w:t>11.5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5,100</w:t>
            </w:r>
          </w:p>
        </w:tc>
        <w:tc>
          <w:tcPr>
            <w:tcW w:w="2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2007</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5"/>
              </w:rPr>
              <w:t>11.5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5"/>
              </w:rPr>
              <w:t>16.5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4,298</w:t>
            </w:r>
          </w:p>
        </w:tc>
        <w:tc>
          <w:tcPr>
            <w:tcW w:w="2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2006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5"/>
              </w:rPr>
              <w:t>13.5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4,045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2006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5"/>
              </w:rPr>
              <w:t>13.5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4,045</w:t>
            </w:r>
          </w:p>
        </w:tc>
        <w:tc>
          <w:tcPr>
            <w:tcW w:w="220" w:type="dxa"/>
            <w:vAlign w:val="bottom"/>
          </w:tcPr>
          <w:p>
            <w:pPr>
              <w:spacing w:after="0"/>
              <w:rPr>
                <w:sz w:val="19"/>
                <w:szCs w:val="1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2006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5"/>
              </w:rPr>
              <w:t>13.5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about the contracted fleet.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2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Capacity</w:t>
            </w:r>
          </w:p>
        </w:tc>
        <w:tc>
          <w:tcPr>
            <w:tcW w:w="2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Estimated Delivery</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Duration</w:t>
            </w:r>
          </w:p>
        </w:tc>
        <w:tc>
          <w:tcPr>
            <w:tcW w:w="22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 xml:space="preserve">in TEUs </w:t>
            </w:r>
            <w:r>
              <w:rPr>
                <w:rFonts w:ascii="Arial" w:cs="Arial" w:eastAsia="Arial" w:hAnsi="Arial"/>
                <w:sz w:val="20"/>
                <w:szCs w:val="20"/>
                <w:b w:val="1"/>
                <w:bCs w:val="1"/>
                <w:color w:val="auto"/>
                <w:w w:val="93"/>
                <w:vertAlign w:val="superscript"/>
              </w:rPr>
              <w:t>(1)</w:t>
            </w:r>
          </w:p>
        </w:tc>
        <w:tc>
          <w:tcPr>
            <w:tcW w:w="22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Built</w:t>
            </w: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Date to GSL</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color w:val="auto"/>
              </w:rPr>
              <w:t>(2)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6,627</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By Sept 30, 2009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CMA CGM</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12</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(3)</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4,250</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October 2010</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ZISS</w:t>
            </w:r>
          </w:p>
        </w:tc>
        <w:tc>
          <w:tcPr>
            <w:tcW w:w="740" w:type="dxa"/>
            <w:vAlign w:val="bottom"/>
            <w:gridSpan w:val="2"/>
          </w:tcPr>
          <w:p>
            <w:pPr>
              <w:jc w:val="center"/>
              <w:ind w:left="132"/>
              <w:spacing w:after="0" w:line="217" w:lineRule="exact"/>
              <w:rPr>
                <w:sz w:val="20"/>
                <w:szCs w:val="20"/>
                <w:color w:val="auto"/>
              </w:rPr>
            </w:pPr>
            <w:r>
              <w:rPr>
                <w:rFonts w:ascii="Arial" w:cs="Arial" w:eastAsia="Arial" w:hAnsi="Arial"/>
                <w:sz w:val="18"/>
                <w:szCs w:val="18"/>
                <w:color w:val="auto"/>
                <w:w w:val="81"/>
              </w:rPr>
              <w:t xml:space="preserve">7-8 </w:t>
            </w:r>
            <w:r>
              <w:rPr>
                <w:rFonts w:ascii="Arial" w:cs="Arial" w:eastAsia="Arial" w:hAnsi="Arial"/>
                <w:sz w:val="22"/>
                <w:szCs w:val="22"/>
                <w:color w:val="auto"/>
                <w:w w:val="81"/>
                <w:vertAlign w:val="superscript"/>
              </w:rPr>
              <w:t>(4)</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4,250</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ZISS</w:t>
            </w:r>
          </w:p>
        </w:tc>
        <w:tc>
          <w:tcPr>
            <w:tcW w:w="740" w:type="dxa"/>
            <w:vAlign w:val="bottom"/>
            <w:gridSpan w:val="2"/>
            <w:shd w:val="clear" w:color="auto" w:fill="CCEEFF"/>
          </w:tcPr>
          <w:p>
            <w:pPr>
              <w:jc w:val="center"/>
              <w:ind w:left="132"/>
              <w:spacing w:after="0" w:line="217" w:lineRule="exact"/>
              <w:rPr>
                <w:sz w:val="20"/>
                <w:szCs w:val="20"/>
                <w:color w:val="auto"/>
              </w:rPr>
            </w:pPr>
            <w:r>
              <w:rPr>
                <w:rFonts w:ascii="Arial" w:cs="Arial" w:eastAsia="Arial" w:hAnsi="Arial"/>
                <w:sz w:val="18"/>
                <w:szCs w:val="18"/>
                <w:color w:val="auto"/>
                <w:w w:val="81"/>
              </w:rPr>
              <w:t xml:space="preserve">7-8 </w:t>
            </w:r>
            <w:r>
              <w:rPr>
                <w:rFonts w:ascii="Arial" w:cs="Arial" w:eastAsia="Arial" w:hAnsi="Arial"/>
                <w:sz w:val="22"/>
                <w:szCs w:val="22"/>
                <w:color w:val="auto"/>
                <w:w w:val="81"/>
                <w:vertAlign w:val="superscript"/>
              </w:rPr>
              <w:t>(4)</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CMA CGM.</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Seven-year charter that could be extended to eight years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June 30, 2009 today, Monday, August 10, 2009 at 10:30 a.m. Eastern Time. There are two ways to access the conference call:</w:t>
      </w:r>
    </w:p>
    <w:p>
      <w:pPr>
        <w:spacing w:after="0" w:line="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Dial-in: (877) 741-4249 or (719) 325-4817; Passcode: 3471820</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Live Internet webcast and slide presentation: </w:t>
      </w:r>
      <w:r>
        <w:rPr>
          <w:rFonts w:ascii="Arial" w:cs="Arial" w:eastAsia="Arial" w:hAnsi="Arial"/>
          <w:sz w:val="18"/>
          <w:szCs w:val="18"/>
          <w:u w:val="single" w:color="auto"/>
          <w:color w:val="auto"/>
        </w:rPr>
        <w:t>http://www.globalshiplease.com</w:t>
      </w:r>
    </w:p>
    <w:p>
      <w:pPr>
        <w:spacing w:after="0" w:line="90" w:lineRule="exact"/>
        <w:rPr>
          <w:rFonts w:ascii="Arial" w:cs="Arial" w:eastAsia="Arial" w:hAnsi="Arial"/>
          <w:sz w:val="18"/>
          <w:szCs w:val="18"/>
          <w:color w:val="auto"/>
        </w:rPr>
      </w:pPr>
    </w:p>
    <w:p>
      <w:pPr>
        <w:ind w:left="460" w:right="240"/>
        <w:spacing w:after="0" w:line="332" w:lineRule="auto"/>
        <w:rPr>
          <w:rFonts w:ascii="Arial" w:cs="Arial" w:eastAsia="Arial" w:hAnsi="Arial"/>
          <w:sz w:val="18"/>
          <w:szCs w:val="18"/>
          <w:color w:val="auto"/>
        </w:rPr>
      </w:pPr>
      <w:r>
        <w:rPr>
          <w:rFonts w:ascii="Arial" w:cs="Arial" w:eastAsia="Arial" w:hAnsi="Arial"/>
          <w:sz w:val="16"/>
          <w:szCs w:val="16"/>
          <w:color w:val="auto"/>
        </w:rPr>
        <w:t xml:space="preserve">If you are unable to participate at this time, a replay of the call will be available through Monday, August 24, 2009 at (888) 203-1112 or (719) 457-0820. Enter the code 3471820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currently owns 16 vessels and has contracted to purchase an additional three vessels.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a contract in place to purchase by September 30, 2009 an additional vessel for $82 million from CMA CGM, contingent on financing. The Company also has contracts in place to purchase two newbuildings from German interests for approximately $77 million each which are scheduled to be delivered in the fourth quarter of 2010.</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Once all of the contracted vessels have been delivered by the end of 2010, Global Ship Lease will have a 19 vessel fleet with total capacity of 74,797 TEU and a weighted average age at that time of 6.1 years and an average remaining charter term of approximately eight years. All of the vessels including those contracted for future delivery are fixed on long-term charters.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Cash Available for Common Dividends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Cash available for common dividends is a non-US GAAP measure and is reconciled to the financial information below. It represents net earnings adjusted for non-cash items including depreciation, amortization of deferred financing charges, accretion of earnings for intangible liabilities, charge for equity based incentive awards and change in fair value of derivatives. We also deduct an allowance for the cost of future drydockings, which due to their substantial and periodic nature could otherwise distort quarterly cashflow available for common dividends. Cash available for common dividends is a non-US GAAP quantitative measure used to assist in the assessment of the Company’s ability to pay common dividends. Cash available for common dividends is not defined in accounting principles generally accepted in the United States and should not be considered to be an alternate to net earnings or any other financial metric required by such accounting principles. We believe that cash available for common dividends is a useful measure with which to assess the Company’s operating performance as it adjusts for the effects of non-cash items that do not affect the Company’s ability to make distributions on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AVAILABLE FOR COMMON DIVIDENDS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1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Three months ended</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92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22,762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Add: Depreciation</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8,986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 for equity incentive awards</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863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251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Change in value of derivatives</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(16,652)</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Allowance for future dry-docks</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(900)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accretion for intangible liabilities</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Deferred taxation</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(203)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operations available for common dividends</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14,796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Normalized net earnings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Normalized net earnings is a non-US GAAP measure and is reconciled to the financial information below. It represents net earnings adjusted for the change in fair value of derivatives. Normalized net earnings is a non-GAAP quantitative measure which we believe will assist investors and analysts who often adjust reported net earnings for non-operating items such as change in fair value of derivatives to eliminate the effect of non cash non-operating items that do not affect operating performance or cash for distribution as dividends. Normalized net earnings is not defined in accounting principles generally accepted in the United States and should not be considered to be an alternate to net earnings or any other financial metric required by such accounting principles. Normalized net earnings per share is calculated based on normalized net earnings and the weighted average number of shares in the relevant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EARNINGS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share and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Three months ended</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June 30, 2009</w:t>
            </w:r>
          </w:p>
        </w:tc>
        <w:tc>
          <w:tcPr>
            <w:tcW w:w="78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Adjust: Change in value of derivatives</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(16,652)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earnings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78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Class A and B common shares outstanding (1)</w:t>
            </w: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4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53,786,150</w:t>
            </w:r>
          </w:p>
        </w:tc>
        <w:tc>
          <w:tcPr>
            <w:tcW w:w="7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spacing w:after="0"/>
              <w:rPr>
                <w:sz w:val="20"/>
                <w:szCs w:val="20"/>
                <w:color w:val="auto"/>
              </w:rPr>
            </w:pPr>
            <w:r>
              <w:rPr>
                <w:rFonts w:ascii="Arial" w:cs="Arial" w:eastAsia="Arial" w:hAnsi="Arial"/>
                <w:sz w:val="18"/>
                <w:szCs w:val="18"/>
                <w:color w:val="auto"/>
              </w:rPr>
              <w:t>53,786,150</w:t>
            </w:r>
          </w:p>
        </w:tc>
        <w:tc>
          <w:tcPr>
            <w:tcW w:w="7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53,922,780</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on reported earnings</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Basic</w:t>
            </w: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7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303"/>
        </w:trPr>
        <w:tc>
          <w:tcPr>
            <w:tcW w:w="7400" w:type="dxa"/>
            <w:vAlign w:val="bottom"/>
            <w:gridSpan w:val="2"/>
          </w:tcPr>
          <w:p>
            <w:pPr>
              <w:spacing w:after="0"/>
              <w:rPr>
                <w:sz w:val="20"/>
                <w:szCs w:val="20"/>
                <w:color w:val="auto"/>
              </w:rPr>
            </w:pPr>
            <w:r>
              <w:rPr>
                <w:rFonts w:ascii="Arial" w:cs="Arial" w:eastAsia="Arial" w:hAnsi="Arial"/>
                <w:sz w:val="18"/>
                <w:szCs w:val="18"/>
                <w:color w:val="auto"/>
              </w:rPr>
              <w:t>Normalized net income per share</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7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7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weighted average number of shares (basic and diluted) for the three months ended June 30, 2009 excludes the effect of outstanding warrants and stock based incentive awards as these were anti dilutive. For the six months ended June 30, 2009 the diluted weighted average number of shares includes the effect of outstanding restricted stock units but excludes the effect of outstanding warrants as these were anti 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risks and uncertainties include, but are not limited to:</w:t>
      </w:r>
    </w:p>
    <w:p>
      <w:pPr>
        <w:spacing w:after="0" w:line="171"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71" w:lineRule="exact"/>
        <w:rPr>
          <w:rFonts w:ascii="Arial" w:cs="Arial" w:eastAsia="Arial" w:hAnsi="Arial"/>
          <w:sz w:val="18"/>
          <w:szCs w:val="18"/>
          <w:color w:val="auto"/>
        </w:rPr>
      </w:pPr>
    </w:p>
    <w:p>
      <w:pPr>
        <w:ind w:firstLine="8"/>
        <w:spacing w:after="0" w:line="268" w:lineRule="auto"/>
        <w:tabs>
          <w:tab w:leader="none" w:pos="102"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the strength of the future growth of the shipping industry, including the rate of annual demand growth in the international containership industry;</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repay its credit facility and grow using the available funds under its credit facility;</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the rate of growth of global and various regional economies;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incidental to vessel operation, including discharge of pollutants and vessel collisions;</w:t>
      </w:r>
    </w:p>
    <w:p>
      <w:pPr>
        <w:spacing w:after="0" w:line="171" w:lineRule="exact"/>
        <w:rPr>
          <w:rFonts w:ascii="Arial" w:cs="Arial" w:eastAsia="Arial" w:hAnsi="Arial"/>
          <w:sz w:val="18"/>
          <w:szCs w:val="18"/>
          <w:color w:val="auto"/>
        </w:rPr>
      </w:pPr>
    </w:p>
    <w:p>
      <w:pPr>
        <w:ind w:right="40" w:firstLine="8"/>
        <w:spacing w:after="0" w:line="268" w:lineRule="auto"/>
        <w:tabs>
          <w:tab w:leader="none" w:pos="102"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financing in the future to fund capital expenditures, acquisitions and other general corporate activities;</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Global Ship Lease’s expectations about the availability of ships to purchase, the time that it may take to construct new ships, or the useful lives of its ships;</w:t>
      </w:r>
    </w:p>
    <w:p>
      <w:pPr>
        <w:spacing w:after="0" w:line="194" w:lineRule="exact"/>
        <w:rPr>
          <w:rFonts w:ascii="Arial" w:cs="Arial" w:eastAsia="Arial" w:hAnsi="Arial"/>
          <w:sz w:val="16"/>
          <w:szCs w:val="16"/>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long-term, fixed-rate charters;</w:t>
      </w:r>
    </w:p>
    <w:p>
      <w:pPr>
        <w:spacing w:after="0" w:line="171" w:lineRule="exact"/>
        <w:rPr>
          <w:rFonts w:ascii="Arial" w:cs="Arial" w:eastAsia="Arial" w:hAnsi="Arial"/>
          <w:sz w:val="18"/>
          <w:szCs w:val="18"/>
          <w:color w:val="auto"/>
        </w:rPr>
      </w:pPr>
    </w:p>
    <w:p>
      <w:pPr>
        <w:ind w:right="320" w:firstLine="8"/>
        <w:spacing w:after="0" w:line="268" w:lineRule="auto"/>
        <w:tabs>
          <w:tab w:leader="none" w:pos="102"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60"/>
          </w:cols>
          <w:pgMar w:left="240" w:top="280" w:right="399" w:bottom="1440" w:gutter="0" w:footer="0" w:header="0"/>
        </w:sectPr>
      </w:pPr>
    </w:p>
    <w:bookmarkStart w:id="11" w:name="page12"/>
    <w:bookmarkEnd w:id="11"/>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unanticipated changes in laws and regulations; and</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with Marathon Acquisition Corp.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40,733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Accounts receivable</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receivables</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47,660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12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889,066</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fixed assets</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tax asset</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 non-current assets</w:t>
            </w:r>
          </w:p>
        </w:tc>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918,455</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933,725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966,115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5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2"/>
          </w:tcPr>
          <w:p>
            <w:pPr>
              <w:spacing w:after="0"/>
              <w:rPr>
                <w:sz w:val="20"/>
                <w:szCs w:val="20"/>
                <w:color w:val="auto"/>
              </w:rPr>
            </w:pPr>
            <w:r>
              <w:rPr>
                <w:rFonts w:ascii="Arial" w:cs="Arial" w:eastAsia="Arial" w:hAnsi="Arial"/>
                <w:sz w:val="18"/>
                <w:szCs w:val="18"/>
                <w:color w:val="auto"/>
              </w:rPr>
              <w:t>Intangible liability - charter agreements</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expenses</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21,738</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542,100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Preferred shares</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25,289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10,823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626,212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20" w:type="dxa"/>
            <w:vAlign w:val="bottom"/>
            <w:gridSpan w:val="2"/>
            <w:vMerge w:val="continue"/>
          </w:tcPr>
          <w:p>
            <w:pPr>
              <w:spacing w:after="0"/>
              <w:rPr>
                <w:sz w:val="24"/>
                <w:szCs w:val="24"/>
                <w:color w:val="auto"/>
              </w:rPr>
            </w:pPr>
          </w:p>
        </w:tc>
        <w:tc>
          <w:tcPr>
            <w:tcW w:w="5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647,950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671,569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580" w:type="dxa"/>
            <w:vAlign w:val="bottom"/>
            <w:gridSpan w:val="2"/>
          </w:tcPr>
          <w:p>
            <w:pPr>
              <w:jc w:val="right"/>
              <w:ind w:right="3632"/>
              <w:spacing w:after="0"/>
              <w:rPr>
                <w:sz w:val="20"/>
                <w:szCs w:val="20"/>
                <w:color w:val="auto"/>
              </w:rPr>
            </w:pPr>
            <w:r>
              <w:rPr>
                <w:rFonts w:ascii="Arial" w:cs="Arial" w:eastAsia="Arial" w:hAnsi="Arial"/>
                <w:sz w:val="18"/>
                <w:szCs w:val="18"/>
                <w:color w:val="auto"/>
              </w:rPr>
              <w:t>Page 11</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 (continued)</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with Marathon Acquisition Corp.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0" w:type="dxa"/>
            <w:vAlign w:val="bottom"/>
            <w:gridSpan w:val="2"/>
          </w:tcPr>
          <w:p>
            <w:pPr>
              <w:jc w:val="center"/>
              <w:ind w:left="256"/>
              <w:spacing w:after="0" w:line="149"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Successor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06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214,000,000 shares with a $.01 par value;</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46,380,194 shares issued and outstanding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20,000,000 shares with a $.01 par value;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7,405,956 shares issued and outstanding</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Class C Common stock - authorized</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15,000,000 shares with a $.01 par value;</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12,375,000 shares issued, converted to</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Class A common shares on January 1, 2009</w:t>
            </w:r>
          </w:p>
        </w:tc>
        <w:tc>
          <w:tcPr>
            <w:tcW w:w="3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(65,679)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33,918</w:t>
            </w: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349,388</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318,165</w:t>
            </w:r>
          </w:p>
        </w:tc>
        <w:tc>
          <w:tcPr>
            <w:tcW w:w="4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$ 966,115</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966,608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with Marathon Acquisition Corp.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left="295"/>
              <w:spacing w:after="0"/>
              <w:rPr>
                <w:sz w:val="20"/>
                <w:szCs w:val="20"/>
                <w:color w:val="auto"/>
              </w:rPr>
            </w:pPr>
            <w:r>
              <w:rPr>
                <w:rFonts w:ascii="Arial" w:cs="Arial" w:eastAsia="Arial" w:hAnsi="Arial"/>
                <w:sz w:val="14"/>
                <w:szCs w:val="14"/>
                <w:b w:val="1"/>
                <w:bCs w:val="1"/>
                <w:color w:val="auto"/>
                <w:w w:val="87"/>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left="355"/>
              <w:spacing w:after="0"/>
              <w:rPr>
                <w:sz w:val="20"/>
                <w:szCs w:val="20"/>
                <w:color w:val="auto"/>
              </w:rPr>
            </w:pPr>
            <w:r>
              <w:rPr>
                <w:rFonts w:ascii="Arial" w:cs="Arial" w:eastAsia="Arial" w:hAnsi="Arial"/>
                <w:sz w:val="14"/>
                <w:szCs w:val="14"/>
                <w:b w:val="1"/>
                <w:bCs w:val="1"/>
                <w:color w:val="auto"/>
                <w:w w:val="84"/>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w w:val="76"/>
              </w:rPr>
              <w:t>2008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Successor</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Successor</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Voyage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36,193</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22,939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71,201</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36,193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22,939</w:t>
            </w: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71,201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Voyage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8,986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17,772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14,078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8"/>
                <w:szCs w:val="18"/>
                <w:color w:val="auto"/>
              </w:rPr>
              <w:t>14,304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24"/>
                <w:szCs w:val="24"/>
                <w:color w:val="auto"/>
              </w:rPr>
            </w:pPr>
          </w:p>
        </w:tc>
        <w:tc>
          <w:tcPr>
            <w:tcW w:w="116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8"/>
                <w:szCs w:val="18"/>
                <w:color w:val="auto"/>
              </w:rPr>
              <w:t>27,723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8"/>
              </w:rPr>
              <w:t>17,443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(6,344)</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w:t>
            </w:r>
          </w:p>
        </w:tc>
        <w:tc>
          <w:tcPr>
            <w:tcW w:w="3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w:t>
            </w:r>
          </w:p>
        </w:tc>
        <w:tc>
          <w:tcPr>
            <w:tcW w:w="3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7,707</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318"/>
        </w:trPr>
        <w:tc>
          <w:tcPr>
            <w:tcW w:w="60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common shares outstanding 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5"/>
        </w:trPr>
        <w:tc>
          <w:tcPr>
            <w:tcW w:w="6000" w:type="dxa"/>
            <w:vAlign w:val="bottom"/>
            <w:gridSpan w:val="2"/>
          </w:tcPr>
          <w:p>
            <w:pPr>
              <w:spacing w:after="0"/>
              <w:rPr>
                <w:sz w:val="20"/>
                <w:szCs w:val="20"/>
                <w:color w:val="auto"/>
              </w:rPr>
            </w:pPr>
            <w:r>
              <w:rPr>
                <w:rFonts w:ascii="Arial" w:cs="Arial" w:eastAsia="Arial" w:hAnsi="Arial"/>
                <w:sz w:val="18"/>
                <w:szCs w:val="18"/>
                <w:color w:val="auto"/>
              </w:rPr>
              <w:t>Net income per share in $ per share basic and diluted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86"/>
              </w:rPr>
              <w:t>46,380,194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86"/>
              </w:rPr>
              <w:t>46,380,194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46,380,194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46,516,824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000" w:type="dxa"/>
            <w:vAlign w:val="bottom"/>
            <w:gridSpan w:val="2"/>
          </w:tcPr>
          <w:p>
            <w:pPr>
              <w:spacing w:after="0"/>
              <w:rPr>
                <w:sz w:val="20"/>
                <w:szCs w:val="20"/>
                <w:color w:val="auto"/>
              </w:rPr>
            </w:pPr>
            <w:r>
              <w:rPr>
                <w:rFonts w:ascii="Arial" w:cs="Arial" w:eastAsia="Arial" w:hAnsi="Arial"/>
                <w:sz w:val="18"/>
                <w:szCs w:val="18"/>
                <w:color w:val="auto"/>
              </w:rPr>
              <w:t>Net income in $ per share amount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7,405,956</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7,405,956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6000" w:type="dxa"/>
            <w:vAlign w:val="bottom"/>
            <w:gridSpan w:val="2"/>
          </w:tcPr>
          <w:p>
            <w:pPr>
              <w:spacing w:after="0"/>
              <w:rPr>
                <w:sz w:val="20"/>
                <w:szCs w:val="20"/>
                <w:color w:val="auto"/>
              </w:rPr>
            </w:pPr>
            <w:r>
              <w:rPr>
                <w:rFonts w:ascii="Arial" w:cs="Arial" w:eastAsia="Arial" w:hAnsi="Arial"/>
                <w:sz w:val="18"/>
                <w:szCs w:val="18"/>
                <w:color w:val="auto"/>
              </w:rPr>
              <w:t>Net income in $ per share amount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with Marathon Acquisition Corp.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Three months ended June 30,</w:t>
            </w:r>
          </w:p>
        </w:tc>
        <w:tc>
          <w:tcPr>
            <w:tcW w:w="1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Successor</w:t>
            </w:r>
          </w:p>
        </w:tc>
        <w:tc>
          <w:tcPr>
            <w:tcW w:w="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22,762</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7,700</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$ 33,918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4,814</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(16,652)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(20,961)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Intangible liability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accounts receivable and other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Increase /(decrease) in amounts payable and other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2,647</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Periodic costs relating to drydocks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18,285</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10,027</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302"/>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302"/>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costs of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(3,293)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(Decrease) in amount due to CMA CGM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(15,664)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5,156</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31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25,383</w:t>
            </w:r>
          </w:p>
        </w:tc>
        <w:tc>
          <w:tcPr>
            <w:tcW w:w="3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4,288</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26,363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40,733</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9,444</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$ 40,733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Segments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Segment information reported below has been prepared on the same basis that it is reported internally to the Company’s chief operating decision maker. The Company operated under two business models from which it derives its revenues reported within this summary financial information: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“Adjustment” columns in the table below includes (i) the elimination of the Containerized Transportation activity performed by the Predecessor up to June 30, 2008, and (ii) IPO and merger costs expensed by the Predecessor.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2009 and 2008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0"/>
              </w:rPr>
              <w:t>Three months ended June, 30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86"/>
              </w:rPr>
              <w:t>Six months ended June,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Predecessor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Time</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Time</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Charter</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Charter</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36,193</w:t>
            </w:r>
          </w:p>
        </w:tc>
        <w:tc>
          <w:tcPr>
            <w:tcW w:w="1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22,939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22,939</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$ 71,201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$ 44,761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46,833</w:t>
            </w:r>
          </w:p>
        </w:tc>
        <w:tc>
          <w:tcPr>
            <w:tcW w:w="0" w:type="dxa"/>
            <w:vAlign w:val="bottom"/>
          </w:tcPr>
          <w:p>
            <w:pPr>
              <w:spacing w:after="0"/>
              <w:rPr>
                <w:sz w:val="1"/>
                <w:szCs w:val="1"/>
                <w:color w:val="auto"/>
              </w:rPr>
            </w:pPr>
          </w:p>
        </w:tc>
      </w:tr>
      <w:tr>
        <w:trPr>
          <w:trHeight w:val="302"/>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7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10,508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6,821</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6,821</w:t>
            </w:r>
          </w:p>
        </w:tc>
        <w:tc>
          <w:tcPr>
            <w:tcW w:w="16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21,231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17,772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4,581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7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90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2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21,889</w:t>
            </w:r>
          </w:p>
        </w:tc>
        <w:tc>
          <w:tcPr>
            <w:tcW w:w="1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12,638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14,078</w:t>
            </w:r>
          </w:p>
        </w:tc>
        <w:tc>
          <w:tcPr>
            <w:tcW w:w="160" w:type="dxa"/>
            <w:vAlign w:val="bottom"/>
          </w:tcPr>
          <w:p>
            <w:pPr>
              <w:spacing w:after="0"/>
              <w:rPr>
                <w:sz w:val="24"/>
                <w:szCs w:val="24"/>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43,478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25,227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29,390</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10,301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17,443</w:t>
            </w:r>
          </w:p>
        </w:tc>
        <w:tc>
          <w:tcPr>
            <w:tcW w:w="0" w:type="dxa"/>
            <w:vAlign w:val="bottom"/>
          </w:tcPr>
          <w:p>
            <w:pPr>
              <w:spacing w:after="0"/>
              <w:rPr>
                <w:sz w:val="1"/>
                <w:szCs w:val="1"/>
                <w:color w:val="auto"/>
              </w:rPr>
            </w:pPr>
          </w:p>
        </w:tc>
      </w:tr>
      <w:tr>
        <w:trPr>
          <w:trHeight w:val="295"/>
        </w:trPr>
        <w:tc>
          <w:tcPr>
            <w:tcW w:w="42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(6,344)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(6,344)</w:t>
            </w:r>
          </w:p>
        </w:tc>
        <w:tc>
          <w:tcPr>
            <w:tcW w:w="90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(10,208)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Realized and unrealized gain on derivatives</w:t>
            </w:r>
          </w:p>
        </w:tc>
        <w:tc>
          <w:tcPr>
            <w:tcW w:w="580" w:type="dxa"/>
            <w:vAlign w:val="bottom"/>
          </w:tcPr>
          <w:p>
            <w:pPr>
              <w:jc w:val="right"/>
              <w:spacing w:after="0"/>
              <w:rPr>
                <w:sz w:val="20"/>
                <w:szCs w:val="20"/>
                <w:color w:val="auto"/>
              </w:rPr>
            </w:pPr>
            <w:r>
              <w:rPr>
                <w:rFonts w:ascii="Arial" w:cs="Arial" w:eastAsia="Arial" w:hAnsi="Arial"/>
                <w:sz w:val="18"/>
                <w:szCs w:val="18"/>
                <w:color w:val="auto"/>
              </w:rPr>
              <w:t>13,872</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16,146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before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33,966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310"/>
        </w:trPr>
        <w:tc>
          <w:tcPr>
            <w:tcW w:w="4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(48)</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22,762</w:t>
            </w:r>
          </w:p>
        </w:tc>
        <w:tc>
          <w:tcPr>
            <w:tcW w:w="1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$ 33,918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$ 10,426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INTERIM UNAUDITED COMBINED FINANCIAL STATEMENTS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AND SIX MONTHS PERIODS ENDED JUNE 30, 2009</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20"/>
          </w:cols>
          <w:pgMar w:left="14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40,733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Accounts receivable</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receivables</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47,660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9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6380" w:type="dxa"/>
            <w:vAlign w:val="bottom"/>
            <w:gridSpan w:val="2"/>
          </w:tcPr>
          <w:p>
            <w:pPr>
              <w:jc w:val="center"/>
              <w:ind w:left="6012"/>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889,066</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fixed assets</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0"/>
              </w:rPr>
              <w:t>Intangible assets - purchase agreement</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Deferred tax asset</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Total non-current assets</w:t>
            </w: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00" w:type="dxa"/>
            <w:vAlign w:val="bottom"/>
            <w:gridSpan w:val="2"/>
            <w:vMerge w:val="continue"/>
          </w:tcPr>
          <w:p>
            <w:pPr>
              <w:spacing w:after="0"/>
              <w:rPr>
                <w:sz w:val="19"/>
                <w:szCs w:val="19"/>
                <w:color w:val="auto"/>
              </w:rPr>
            </w:pPr>
          </w:p>
        </w:tc>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918,455</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933,725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966,115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Liabilities and Stockholders’ Equity</w:t>
            </w: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00" w:type="dxa"/>
            <w:vAlign w:val="bottom"/>
            <w:gridSpan w:val="2"/>
            <w:vMerge w:val="continue"/>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00" w:type="dxa"/>
            <w:vAlign w:val="bottom"/>
            <w:gridSpan w:val="2"/>
          </w:tcPr>
          <w:p>
            <w:pPr>
              <w:spacing w:after="0"/>
              <w:rPr>
                <w:sz w:val="20"/>
                <w:szCs w:val="20"/>
                <w:color w:val="auto"/>
              </w:rPr>
            </w:pPr>
            <w:r>
              <w:rPr>
                <w:rFonts w:ascii="Arial" w:cs="Arial" w:eastAsia="Arial" w:hAnsi="Arial"/>
                <w:sz w:val="18"/>
                <w:szCs w:val="18"/>
                <w:color w:val="auto"/>
                <w:w w:val="93"/>
              </w:rPr>
              <w:t>Intangible liability - charter agreements</w:t>
            </w: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Accrued expenses</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380" w:type="dxa"/>
            <w:vAlign w:val="bottom"/>
            <w:gridSpan w:val="2"/>
            <w:shd w:val="clear" w:color="auto" w:fill="CCEEFF"/>
          </w:tcPr>
          <w:p>
            <w:pPr>
              <w:jc w:val="center"/>
              <w:ind w:left="6012"/>
              <w:spacing w:after="0"/>
              <w:rPr>
                <w:sz w:val="20"/>
                <w:szCs w:val="20"/>
                <w:color w:val="auto"/>
              </w:rPr>
            </w:pPr>
            <w:r>
              <w:rPr>
                <w:rFonts w:ascii="Arial" w:cs="Arial" w:eastAsia="Arial" w:hAnsi="Arial"/>
                <w:sz w:val="18"/>
                <w:szCs w:val="18"/>
                <w:color w:val="auto"/>
                <w:w w:val="79"/>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00" w:type="dxa"/>
            <w:vAlign w:val="bottom"/>
            <w:gridSpan w:val="2"/>
            <w:vMerge w:val="continue"/>
          </w:tcPr>
          <w:p>
            <w:pPr>
              <w:spacing w:after="0"/>
              <w:rPr>
                <w:sz w:val="19"/>
                <w:szCs w:val="19"/>
                <w:color w:val="auto"/>
              </w:rPr>
            </w:pPr>
          </w:p>
        </w:tc>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21,738</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380" w:type="dxa"/>
            <w:vAlign w:val="bottom"/>
            <w:gridSpan w:val="2"/>
            <w:shd w:val="clear" w:color="auto" w:fill="CCEEFF"/>
          </w:tcPr>
          <w:p>
            <w:pPr>
              <w:jc w:val="center"/>
              <w:ind w:left="6012"/>
              <w:spacing w:after="0"/>
              <w:rPr>
                <w:sz w:val="20"/>
                <w:szCs w:val="20"/>
                <w:color w:val="auto"/>
              </w:rPr>
            </w:pPr>
            <w:r>
              <w:rPr>
                <w:rFonts w:ascii="Arial" w:cs="Arial" w:eastAsia="Arial" w:hAnsi="Arial"/>
                <w:sz w:val="18"/>
                <w:szCs w:val="18"/>
                <w:color w:val="auto"/>
                <w:w w:val="79"/>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542,100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Preferred shares</w:t>
            </w:r>
          </w:p>
        </w:tc>
        <w:tc>
          <w:tcPr>
            <w:tcW w:w="6380" w:type="dxa"/>
            <w:vAlign w:val="bottom"/>
            <w:gridSpan w:val="2"/>
          </w:tcPr>
          <w:p>
            <w:pPr>
              <w:jc w:val="center"/>
              <w:ind w:left="5992"/>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2"/>
              </w:rPr>
              <w:t>Intangible liability - charter agreements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25,289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380" w:type="dxa"/>
            <w:vAlign w:val="bottom"/>
            <w:gridSpan w:val="2"/>
          </w:tcPr>
          <w:p>
            <w:pPr>
              <w:jc w:val="center"/>
              <w:ind w:left="6012"/>
              <w:spacing w:after="0"/>
              <w:rPr>
                <w:sz w:val="20"/>
                <w:szCs w:val="20"/>
                <w:color w:val="auto"/>
              </w:rPr>
            </w:pPr>
            <w:r>
              <w:rPr>
                <w:rFonts w:ascii="Arial" w:cs="Arial" w:eastAsia="Arial" w:hAnsi="Arial"/>
                <w:sz w:val="18"/>
                <w:szCs w:val="18"/>
                <w:color w:val="auto"/>
                <w:w w:val="79"/>
              </w:rPr>
              <w:t>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10,823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626,212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00" w:type="dxa"/>
            <w:vAlign w:val="bottom"/>
            <w:gridSpan w:val="2"/>
            <w:vMerge w:val="continue"/>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647,950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671,569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380" w:type="dxa"/>
            <w:vAlign w:val="bottom"/>
            <w:gridSpan w:val="2"/>
            <w:shd w:val="clear" w:color="auto" w:fill="CCEEFF"/>
          </w:tcPr>
          <w:p>
            <w:pPr>
              <w:jc w:val="center"/>
              <w:ind w:left="6012"/>
              <w:spacing w:after="0"/>
              <w:rPr>
                <w:sz w:val="20"/>
                <w:szCs w:val="20"/>
                <w:color w:val="auto"/>
              </w:rPr>
            </w:pPr>
            <w:r>
              <w:rPr>
                <w:rFonts w:ascii="Arial" w:cs="Arial" w:eastAsia="Arial" w:hAnsi="Arial"/>
                <w:sz w:val="18"/>
                <w:szCs w:val="18"/>
                <w:color w:val="auto"/>
                <w:w w:val="79"/>
              </w:rPr>
              <w:t>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80" w:type="dxa"/>
            <w:vAlign w:val="bottom"/>
            <w:gridSpan w:val="2"/>
          </w:tcPr>
          <w:p>
            <w:pPr>
              <w:jc w:val="center"/>
              <w:ind w:right="692"/>
              <w:spacing w:after="0"/>
              <w:rPr>
                <w:sz w:val="20"/>
                <w:szCs w:val="20"/>
                <w:color w:val="auto"/>
              </w:rPr>
            </w:pPr>
            <w:r>
              <w:rPr>
                <w:rFonts w:ascii="Arial" w:cs="Arial" w:eastAsia="Arial" w:hAnsi="Arial"/>
                <w:sz w:val="18"/>
                <w:szCs w:val="18"/>
                <w:color w:val="auto"/>
                <w:w w:val="87"/>
              </w:rPr>
              <w:t>See accompanying notes to interim unaudited combined financial statements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80" w:type="dxa"/>
            <w:vAlign w:val="bottom"/>
            <w:gridSpan w:val="2"/>
          </w:tcPr>
          <w:p>
            <w:pPr>
              <w:jc w:val="center"/>
              <w:ind w:right="672"/>
              <w:spacing w:after="0"/>
              <w:rPr>
                <w:sz w:val="20"/>
                <w:szCs w:val="20"/>
                <w:color w:val="auto"/>
              </w:rPr>
            </w:pPr>
            <w:r>
              <w:rPr>
                <w:rFonts w:ascii="Arial" w:cs="Arial" w:eastAsia="Arial" w:hAnsi="Arial"/>
                <w:sz w:val="18"/>
                <w:szCs w:val="18"/>
                <w:color w:val="auto"/>
                <w:w w:val="84"/>
              </w:rPr>
              <w:t>Page 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 (continued)</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56"/>
              <w:spacing w:after="0" w:line="149" w:lineRule="exact"/>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44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3"/>
              </w:rPr>
              <w:t>Note</w:t>
            </w:r>
          </w:p>
        </w:tc>
        <w:tc>
          <w:tcPr>
            <w:tcW w:w="3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Successor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40" w:type="dxa"/>
            <w:vAlign w:val="bottom"/>
            <w:gridSpan w:val="2"/>
          </w:tcPr>
          <w:p>
            <w:pPr>
              <w:spacing w:after="0"/>
              <w:rPr>
                <w:sz w:val="20"/>
                <w:szCs w:val="20"/>
                <w:color w:val="auto"/>
              </w:rPr>
            </w:pPr>
            <w:r>
              <w:rPr>
                <w:rFonts w:ascii="Arial" w:cs="Arial" w:eastAsia="Arial" w:hAnsi="Arial"/>
                <w:sz w:val="18"/>
                <w:szCs w:val="18"/>
                <w:color w:val="auto"/>
                <w:w w:val="88"/>
              </w:rPr>
              <w:t>Class A Common stock - authorized 214,000,000 shares with a $.01 par value; 46,380,194 shares issued and outstanding</w:t>
            </w:r>
          </w:p>
        </w:tc>
        <w:tc>
          <w:tcPr>
            <w:tcW w:w="440" w:type="dxa"/>
            <w:vAlign w:val="bottom"/>
            <w:gridSpan w:val="2"/>
          </w:tcPr>
          <w:p>
            <w:pPr>
              <w:jc w:val="center"/>
              <w:ind w:left="97"/>
              <w:spacing w:after="0"/>
              <w:rPr>
                <w:sz w:val="20"/>
                <w:szCs w:val="20"/>
                <w:color w:val="auto"/>
              </w:rPr>
            </w:pPr>
            <w:r>
              <w:rPr>
                <w:rFonts w:ascii="Arial" w:cs="Arial" w:eastAsia="Arial" w:hAnsi="Arial"/>
                <w:sz w:val="18"/>
                <w:szCs w:val="18"/>
                <w:color w:val="auto"/>
                <w:w w:val="89"/>
              </w:rPr>
              <w:t>10</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464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B Common stock - authorized 20,000,000 shares with a $.01 par value; 7,405,956 shares issued and outstanding</w:t>
            </w:r>
          </w:p>
        </w:tc>
        <w:tc>
          <w:tcPr>
            <w:tcW w:w="44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89"/>
              </w:rPr>
              <w:t>10</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91"/>
              </w:rPr>
              <w:t>Class C Common stock - authorized 15,000,000 shares with a $.01 par value; 12,375,000 shares issued, converted to</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class A common shares on January 1, 2009</w:t>
            </w:r>
          </w:p>
        </w:tc>
        <w:tc>
          <w:tcPr>
            <w:tcW w:w="440" w:type="dxa"/>
            <w:vAlign w:val="bottom"/>
            <w:gridSpan w:val="2"/>
          </w:tcPr>
          <w:p>
            <w:pPr>
              <w:jc w:val="center"/>
              <w:ind w:left="97"/>
              <w:spacing w:after="0"/>
              <w:rPr>
                <w:sz w:val="20"/>
                <w:szCs w:val="20"/>
                <w:color w:val="auto"/>
              </w:rPr>
            </w:pPr>
            <w:r>
              <w:rPr>
                <w:rFonts w:ascii="Arial" w:cs="Arial" w:eastAsia="Arial" w:hAnsi="Arial"/>
                <w:sz w:val="18"/>
                <w:szCs w:val="18"/>
                <w:color w:val="auto"/>
                <w:w w:val="89"/>
              </w:rPr>
              <w:t>10</w:t>
            </w:r>
          </w:p>
        </w:tc>
        <w:tc>
          <w:tcPr>
            <w:tcW w:w="32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(65,679)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33,918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347,810</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318,165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2"/>
              </w:rPr>
              <w:t>$ 966,115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966,608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6"/>
              </w:rPr>
              <w:t>Three months ended June 30,</w:t>
            </w:r>
          </w:p>
        </w:tc>
        <w:tc>
          <w:tcPr>
            <w:tcW w:w="100" w:type="dxa"/>
            <w:vAlign w:val="bottom"/>
          </w:tcPr>
          <w:p>
            <w:pPr>
              <w:spacing w:after="0"/>
              <w:rPr>
                <w:sz w:val="14"/>
                <w:szCs w:val="14"/>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20" w:type="dxa"/>
            <w:vAlign w:val="bottom"/>
            <w:gridSpan w:val="2"/>
          </w:tcPr>
          <w:p>
            <w:pPr>
              <w:ind w:left="1360"/>
              <w:spacing w:after="0"/>
              <w:rPr>
                <w:sz w:val="20"/>
                <w:szCs w:val="20"/>
                <w:color w:val="auto"/>
              </w:rPr>
            </w:pPr>
            <w:r>
              <w:rPr>
                <w:rFonts w:ascii="Arial" w:cs="Arial" w:eastAsia="Arial" w:hAnsi="Arial"/>
                <w:sz w:val="14"/>
                <w:szCs w:val="14"/>
                <w:b w:val="1"/>
                <w:bCs w:val="1"/>
                <w:color w:val="auto"/>
                <w:w w:val="76"/>
              </w:rPr>
              <w:t>Note</w:t>
            </w:r>
          </w:p>
        </w:tc>
        <w:tc>
          <w:tcPr>
            <w:tcW w:w="2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1"/>
              </w:rPr>
              <w:t>Successor</w:t>
            </w:r>
          </w:p>
        </w:tc>
        <w:tc>
          <w:tcPr>
            <w:tcW w:w="18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5"/>
              </w:rPr>
              <w:t>Predecessor</w:t>
            </w:r>
          </w:p>
        </w:tc>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rPr>
              <w:t>Successor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Voyage revenue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36,193</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71,201</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0"/>
              </w:rPr>
              <w:t>36,193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22,939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71,201</w:t>
            </w:r>
          </w:p>
        </w:tc>
        <w:tc>
          <w:tcPr>
            <w:tcW w:w="3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Voyage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10,508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21,231</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8,986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17,772</w:t>
            </w:r>
          </w:p>
        </w:tc>
        <w:tc>
          <w:tcPr>
            <w:tcW w:w="3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21,889</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43,478</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0"/>
              </w:rPr>
              <w:t>14,304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8,861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27,723</w:t>
            </w: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(5,554)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(6,344)</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(10,208)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13,872</w:t>
            </w:r>
          </w:p>
        </w:tc>
        <w:tc>
          <w:tcPr>
            <w:tcW w:w="3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16,146</w:t>
            </w:r>
          </w:p>
        </w:tc>
        <w:tc>
          <w:tcPr>
            <w:tcW w:w="3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22,785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33,966</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310"/>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22,762</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33,918</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 (continued)</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9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800" w:type="dxa"/>
            <w:vAlign w:val="bottom"/>
            <w:tcBorders>
              <w:top w:val="single" w:sz="8" w:color="auto"/>
            </w:tcBorders>
          </w:tcPr>
          <w:p>
            <w:pPr>
              <w:jc w:val="right"/>
              <w:ind w:right="198"/>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gridSpan w:val="2"/>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3"/>
              </w:rPr>
              <w:t>Successor</w:t>
            </w:r>
          </w:p>
        </w:tc>
        <w:tc>
          <w:tcPr>
            <w:tcW w:w="460" w:type="dxa"/>
            <w:vAlign w:val="bottom"/>
            <w:gridSpan w:val="2"/>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Predecessor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per share in $ per share basic and diluted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06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6"/>
              </w:rPr>
              <w:t>46,380,194</w:t>
            </w:r>
          </w:p>
        </w:tc>
        <w:tc>
          <w:tcPr>
            <w:tcW w:w="2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46,380,194</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46,380,194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46,516,824</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in $ per share amount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0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share amount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6"/>
              </w:rPr>
              <w:t>Three months ended June 30,</w:t>
            </w:r>
          </w:p>
        </w:tc>
        <w:tc>
          <w:tcPr>
            <w:tcW w:w="1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60" w:type="dxa"/>
            <w:vAlign w:val="bottom"/>
            <w:gridSpan w:val="3"/>
          </w:tcPr>
          <w:p>
            <w:pPr>
              <w:ind w:left="200"/>
              <w:spacing w:after="0"/>
              <w:rPr>
                <w:sz w:val="20"/>
                <w:szCs w:val="20"/>
                <w:color w:val="auto"/>
              </w:rPr>
            </w:pPr>
            <w:r>
              <w:rPr>
                <w:rFonts w:ascii="Arial" w:cs="Arial" w:eastAsia="Arial" w:hAnsi="Arial"/>
                <w:sz w:val="14"/>
                <w:szCs w:val="14"/>
                <w:b w:val="1"/>
                <w:bCs w:val="1"/>
                <w:color w:val="auto"/>
              </w:rPr>
              <w:t>Note</w:t>
            </w: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Successor</w:t>
            </w:r>
          </w:p>
        </w:tc>
        <w:tc>
          <w:tcPr>
            <w:tcW w:w="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22,762</w:t>
            </w:r>
          </w:p>
        </w:tc>
        <w:tc>
          <w:tcPr>
            <w:tcW w:w="360" w:type="dxa"/>
            <w:vAlign w:val="bottom"/>
            <w:tcBorders>
              <w:right w:val="single" w:sz="8" w:color="auto"/>
            </w:tcBorders>
          </w:tcPr>
          <w:p>
            <w:pPr>
              <w:spacing w:after="0"/>
              <w:rPr>
                <w:sz w:val="19"/>
                <w:szCs w:val="19"/>
                <w:color w:val="auto"/>
              </w:rPr>
            </w:pPr>
          </w:p>
        </w:tc>
        <w:tc>
          <w:tcPr>
            <w:tcW w:w="3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7,700</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$ 33,918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4,814</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4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9"/>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(16,652)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(20,961)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Intangible liability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9"/>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60" w:type="dxa"/>
            <w:vAlign w:val="bottom"/>
            <w:gridSpan w:val="2"/>
          </w:tcPr>
          <w:p>
            <w:pPr>
              <w:jc w:val="center"/>
              <w:ind w:left="115"/>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863</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accounts receivable and other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Increase /(decrease) in amounts payable and other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2,647</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Periodic costs relating to drydocks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18,285</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10,027</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302"/>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9"/>
              </w:rPr>
              <w:t>11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302"/>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Issuance costs of debt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(3,293)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4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(Decrease) in amount due to CMA CGM</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(15,664)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15,350</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5,156</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14,370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25,383</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w:t>
            </w:r>
          </w:p>
        </w:tc>
        <w:tc>
          <w:tcPr>
            <w:tcW w:w="11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40,733</w:t>
            </w:r>
          </w:p>
        </w:tc>
        <w:tc>
          <w:tcPr>
            <w:tcW w:w="3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9,444</w:t>
            </w:r>
          </w:p>
        </w:tc>
        <w:tc>
          <w:tcPr>
            <w:tcW w:w="11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$ 40,733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 (continued)</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Note</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Successor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Predecessor</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Successor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7220" w:type="dxa"/>
            <w:vAlign w:val="bottom"/>
            <w:gridSpan w:val="3"/>
          </w:tcPr>
          <w:p>
            <w:pPr>
              <w:spacing w:after="0"/>
              <w:rPr>
                <w:sz w:val="20"/>
                <w:szCs w:val="20"/>
                <w:color w:val="auto"/>
              </w:rPr>
            </w:pPr>
            <w:r>
              <w:rPr>
                <w:rFonts w:ascii="Arial" w:cs="Arial" w:eastAsia="Arial" w:hAnsi="Arial"/>
                <w:sz w:val="18"/>
                <w:szCs w:val="18"/>
                <w:color w:val="auto"/>
              </w:rPr>
              <w:t>Non cash investing and financing activities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paid during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24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2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Tonnage tax paid during period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Stockholders’ Equity</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June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Stock at $0.01</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Earnings</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Due to</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 paid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Par value</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(Deficit)</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CMA CGM</w:t>
            </w:r>
          </w:p>
        </w:tc>
        <w:tc>
          <w:tcPr>
            <w:tcW w:w="1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in Capital</w:t>
            </w:r>
          </w:p>
        </w:tc>
        <w:tc>
          <w:tcPr>
            <w:tcW w:w="1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 2007</w:t>
            </w: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100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$ 16,776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162,885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Change in amount due from CMA CGM</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(188,716)</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income</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effect of the transfer of the two</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vessels in 2008</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4,088</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Balance at August 14, 2008</w:t>
            </w: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b w:val="1"/>
                <w:bCs w:val="1"/>
                <w:color w:val="auto"/>
              </w:rPr>
              <w:t>(Predecessor)</w:t>
            </w: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(94,329)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stockholders’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94,329</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Recognition of GSL Holdings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stockholders’ equity pre-merger</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26,685,209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6,286</w:t>
            </w:r>
          </w:p>
        </w:tc>
        <w:tc>
          <w:tcPr>
            <w:tcW w:w="260" w:type="dxa"/>
            <w:vAlign w:val="bottom"/>
          </w:tcPr>
          <w:p>
            <w:pPr>
              <w:spacing w:after="0"/>
              <w:rPr>
                <w:sz w:val="19"/>
                <w:szCs w:val="19"/>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and warrants in</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connection with the merger (note 1)</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Class A</w:t>
            </w:r>
          </w:p>
        </w:tc>
        <w:tc>
          <w:tcPr>
            <w:tcW w:w="840" w:type="dxa"/>
            <w:vAlign w:val="bottom"/>
          </w:tcPr>
          <w:p>
            <w:pPr>
              <w:jc w:val="right"/>
              <w:spacing w:after="0"/>
              <w:rPr>
                <w:sz w:val="20"/>
                <w:szCs w:val="20"/>
                <w:color w:val="auto"/>
              </w:rPr>
            </w:pPr>
            <w:r>
              <w:rPr>
                <w:rFonts w:ascii="Arial" w:cs="Arial" w:eastAsia="Arial" w:hAnsi="Arial"/>
                <w:sz w:val="18"/>
                <w:szCs w:val="18"/>
                <w:color w:val="auto"/>
              </w:rPr>
              <w:t>6,778,650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7,405,956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Class C</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12,375,000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Warrants exercised into Class A shares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(note 10)</w:t>
            </w:r>
          </w:p>
        </w:tc>
        <w:tc>
          <w:tcPr>
            <w:tcW w:w="840" w:type="dxa"/>
            <w:vAlign w:val="bottom"/>
          </w:tcPr>
          <w:p>
            <w:pPr>
              <w:jc w:val="right"/>
              <w:spacing w:after="0"/>
              <w:rPr>
                <w:sz w:val="20"/>
                <w:szCs w:val="20"/>
                <w:color w:val="auto"/>
              </w:rPr>
            </w:pPr>
            <w:r>
              <w:rPr>
                <w:rFonts w:ascii="Arial" w:cs="Arial" w:eastAsia="Arial" w:hAnsi="Arial"/>
                <w:sz w:val="18"/>
                <w:szCs w:val="18"/>
                <w:color w:val="auto"/>
              </w:rPr>
              <w:t>504,502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12)</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(15,624)</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2008</w:t>
            </w: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b w:val="1"/>
                <w:bCs w:val="1"/>
                <w:color w:val="auto"/>
              </w:rPr>
              <w:t>(Successor)</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53,749,317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(9,338)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347,810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(loss)</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(43,970)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Class C shares converted to Class A</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(12,375,000)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Class A</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12,375,000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12)</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Shares issued (note 10)</w:t>
            </w:r>
          </w:p>
        </w:tc>
        <w:tc>
          <w:tcPr>
            <w:tcW w:w="840" w:type="dxa"/>
            <w:vAlign w:val="bottom"/>
          </w:tcPr>
          <w:p>
            <w:pPr>
              <w:jc w:val="right"/>
              <w:spacing w:after="0"/>
              <w:rPr>
                <w:sz w:val="20"/>
                <w:szCs w:val="20"/>
                <w:color w:val="auto"/>
              </w:rPr>
            </w:pPr>
            <w:r>
              <w:rPr>
                <w:rFonts w:ascii="Arial" w:cs="Arial" w:eastAsia="Arial" w:hAnsi="Arial"/>
                <w:sz w:val="18"/>
                <w:szCs w:val="18"/>
                <w:color w:val="auto"/>
              </w:rPr>
              <w:t>36,833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Dividends declared (note 10)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(12,371)</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June 30, 2009 (Successor)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53,786,150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(65,679)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$ 33,918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60" w:right="20"/>
        <w:spacing w:after="0" w:line="332" w:lineRule="auto"/>
        <w:rPr>
          <w:rFonts w:ascii="Arial" w:cs="Arial" w:eastAsia="Arial" w:hAnsi="Arial"/>
          <w:sz w:val="18"/>
          <w:szCs w:val="18"/>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Following the merger, the Company became listed on the New York Stock Exchange on August 15, 2008.</w:t>
      </w:r>
    </w:p>
    <w:p>
      <w:pPr>
        <w:spacing w:after="0" w:line="4" w:lineRule="exact"/>
        <w:rPr>
          <w:rFonts w:ascii="Arial" w:cs="Arial" w:eastAsia="Arial" w:hAnsi="Arial"/>
          <w:sz w:val="18"/>
          <w:szCs w:val="18"/>
          <w:color w:val="auto"/>
        </w:rPr>
      </w:pPr>
    </w:p>
    <w:p>
      <w:pPr>
        <w:ind w:left="460" w:right="80"/>
        <w:spacing w:after="0" w:line="294" w:lineRule="auto"/>
        <w:rPr>
          <w:rFonts w:ascii="Arial" w:cs="Arial" w:eastAsia="Arial" w:hAnsi="Arial"/>
          <w:sz w:val="18"/>
          <w:szCs w:val="18"/>
          <w:color w:val="auto"/>
        </w:rPr>
      </w:pPr>
      <w:r>
        <w:rPr>
          <w:rFonts w:ascii="Arial" w:cs="Arial" w:eastAsia="Arial" w:hAnsi="Arial"/>
          <w:sz w:val="16"/>
          <w:szCs w:val="16"/>
          <w:color w:val="auto"/>
        </w:rPr>
        <w:t>The unaudited interim financial statements are for the three months and six months ended June 30, 2009 (titled “Successor” reflecting results of the combined operations following the merger) and the three months and six months ended June 30, 2008 (labeled “Predecessor”, reflecting the results of operations as historically reported of Global Ship Lease, Inc. prior to the merger). Under Predecessor accounting rules, the period for the six months ended June 30, 2008 includes for a few days of January 2008 the results of two vessels when they were owned and operated by CMA CGM (rather than Global Ship Lease, Inc.) in its business of carrying containerized cargo prior to their sale to the Company (see Note 9).</w:t>
      </w:r>
    </w:p>
    <w:p>
      <w:pPr>
        <w:spacing w:after="0" w:line="34" w:lineRule="exact"/>
        <w:rPr>
          <w:rFonts w:ascii="Arial" w:cs="Arial" w:eastAsia="Arial" w:hAnsi="Arial"/>
          <w:sz w:val="18"/>
          <w:szCs w:val="18"/>
          <w:color w:val="auto"/>
        </w:rPr>
      </w:pPr>
    </w:p>
    <w:p>
      <w:pPr>
        <w:ind w:left="460" w:right="40"/>
        <w:spacing w:after="0" w:line="332" w:lineRule="auto"/>
        <w:rPr>
          <w:rFonts w:ascii="Arial" w:cs="Arial" w:eastAsia="Arial" w:hAnsi="Arial"/>
          <w:sz w:val="18"/>
          <w:szCs w:val="18"/>
          <w:color w:val="auto"/>
        </w:rPr>
      </w:pPr>
      <w:r>
        <w:rPr>
          <w:rFonts w:ascii="Arial" w:cs="Arial" w:eastAsia="Arial" w:hAnsi="Arial"/>
          <w:sz w:val="16"/>
          <w:szCs w:val="16"/>
          <w:color w:val="auto"/>
        </w:rPr>
        <w:t>As the merger was consummated on August 14, 2008, the balance sheets as of June 30, 2009 and December 31, 2008 (both labeled “Successor”) reflect the acquisition under the purchase method of accounting of all the identified assets and assumed liabilities of Global Ship Lease, Inc..</w:t>
      </w:r>
    </w:p>
    <w:p>
      <w:pPr>
        <w:spacing w:after="0" w:line="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term “Company” refers to both Successor and Predecessor periods.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Basis of Preparation and Nature of Operations</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Basis of Preparation</w:t>
      </w:r>
    </w:p>
    <w:p>
      <w:pPr>
        <w:spacing w:after="0" w:line="90"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In accordance with the terms of the waivers the Company agreed on April 29, 2009, June 25, 2009 and July 30, 2009 with the lenders under its $800 million credit facility agreement (see Note 14), there will be no loan to value test performed during the period April 30, 2009 to August 31, 2009. Loan to value tests would otherwise have been required as at April 30, 2009. The Company is in active discussions with its lenders to amend the facility agreement in respect to loan to value in the light of recent significant falls in charter free market values of containerships. If the Company does not successfully amend the facility agreement by August 31, 2009 or agree a further waiver of the need to perform loan to value tests, and its loan to value ratio is above 100%, the lenders may declare an event of default and accelerate some or all of the debt or require the company to provide additional security which would raise substantial doubt about its ability to continue as a going concern. Management expects that agreement will be reached and that, in any event, the lenders will not call the debt due to the Company’s stable business model, which is unchanged since the Company commenced operations and which generates largely predictable cash flows supported by long-term charter and other contracts. Further, the Company is compliant with all of its financial covenants as at the date of issuance of these financial statements. As a result of management’s plan to address the situation, the relevant debt is classified as non-current in the interim unaudited combined balance sheet. The interim unaudited combined financial statements have been prepared assuming that the Company will continue as a going concern. Accordingly, the interim unaudited combined financial statements do not include any adjustments relating to the recoverability and classification of recorded asset amounts and classification of liabilities, or any other adjustments that might result should the Company be unable to continue as a going concern.</w:t>
      </w:r>
    </w:p>
    <w:p>
      <w:pPr>
        <w:spacing w:after="0" w:line="25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Nature of Operations</w:t>
      </w:r>
    </w:p>
    <w:p>
      <w:pPr>
        <w:spacing w:after="0" w:line="90"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subject to certain conditions, to acquire 17 containerships from CMA CGM. Of these, 10 were purchased by the Company during December 2007, two in January 2008 and four in December 2008. The remaining vessel is scheduled to be purchased by September 30, 2009. All vessels are, or will be, time chartered to CMA CGM for remaining terms ranging from 3.5 to 16.5 years. The Company has also entered into an agreement with German interests to acquire in the fourth quarter of 2010 two newbuildings for approximately $77 million per vessel. These vessels will be chartered to ZIM Integrated Shipping Services Limited (“ZISS”) for a period of seven years that could be extended to eight years at ZISS’s option.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right="6520" w:hanging="452"/>
        <w:spacing w:after="0" w:line="347" w:lineRule="auto"/>
        <w:tabs>
          <w:tab w:leader="none" w:pos="44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Basis of Preparation and Nature of Operations (continued) Fleet</w:t>
      </w:r>
    </w:p>
    <w:p>
      <w:pPr>
        <w:spacing w:after="0" w:line="1" w:lineRule="exact"/>
        <w:rPr>
          <w:rFonts w:ascii="Arial" w:cs="Arial" w:eastAsia="Arial" w:hAnsi="Arial"/>
          <w:sz w:val="18"/>
          <w:szCs w:val="18"/>
          <w:color w:val="auto"/>
        </w:rPr>
      </w:pPr>
    </w:p>
    <w:p>
      <w:pPr>
        <w:ind w:left="452" w:right="32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provides information about the 16 vessels in the fleet chartered to CMA CGM and reflected in these unaudited combined financial statements:</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4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4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Remaining</w:t>
            </w:r>
          </w:p>
        </w:tc>
        <w:tc>
          <w:tcPr>
            <w:tcW w:w="46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 xml:space="preserve">in TEUs </w:t>
            </w:r>
            <w:r>
              <w:rPr>
                <w:rFonts w:ascii="Arial" w:cs="Arial" w:eastAsia="Arial" w:hAnsi="Arial"/>
                <w:sz w:val="20"/>
                <w:szCs w:val="20"/>
                <w:b w:val="1"/>
                <w:bCs w:val="1"/>
                <w:color w:val="auto"/>
                <w:w w:val="93"/>
                <w:vertAlign w:val="superscript"/>
              </w:rPr>
              <w:t>(1)</w:t>
            </w:r>
          </w:p>
        </w:tc>
        <w:tc>
          <w:tcPr>
            <w:tcW w:w="4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Year Built</w:t>
            </w:r>
          </w:p>
        </w:tc>
        <w:tc>
          <w:tcPr>
            <w:tcW w:w="4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by GSL</w:t>
            </w:r>
            <w:r>
              <w:rPr>
                <w:rFonts w:ascii="Arial" w:cs="Arial" w:eastAsia="Arial" w:hAnsi="Arial"/>
                <w:sz w:val="20"/>
                <w:szCs w:val="20"/>
                <w:b w:val="1"/>
                <w:bCs w:val="1"/>
                <w:color w:val="auto"/>
                <w:w w:val="93"/>
                <w:vertAlign w:val="superscript"/>
              </w:rPr>
              <w:t>(2)</w:t>
            </w:r>
          </w:p>
        </w:tc>
        <w:tc>
          <w:tcPr>
            <w:tcW w:w="4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Duration (years)</w:t>
            </w:r>
          </w:p>
        </w:tc>
        <w:tc>
          <w:tcPr>
            <w:tcW w:w="46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4,113</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1997</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3.5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4,113</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1996</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3.5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2,262</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1999</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7.5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2,262</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1999</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7.5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2,207</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2003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8.5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2,207</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2002</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8.5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2,207</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2002</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8.5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2,207</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2002</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8.5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2,272</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2001</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7.5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2,272</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2001</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7.5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5,100</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2007</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14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5"/>
              </w:rPr>
              <w:t>11.5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5,100</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2007</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1420" w:type="dxa"/>
            <w:vAlign w:val="bottom"/>
            <w:gridSpan w:val="2"/>
          </w:tcPr>
          <w:p>
            <w:pPr>
              <w:jc w:val="center"/>
              <w:ind w:left="392"/>
              <w:spacing w:after="0"/>
              <w:rPr>
                <w:sz w:val="20"/>
                <w:szCs w:val="20"/>
                <w:color w:val="auto"/>
              </w:rPr>
            </w:pPr>
            <w:r>
              <w:rPr>
                <w:rFonts w:ascii="Arial" w:cs="Arial" w:eastAsia="Arial" w:hAnsi="Arial"/>
                <w:sz w:val="18"/>
                <w:szCs w:val="18"/>
                <w:color w:val="auto"/>
                <w:w w:val="85"/>
              </w:rPr>
              <w:t>11.5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10,960</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2008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1"/>
              </w:rPr>
              <w:t>16.5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4,298</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2006</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tcPr>
          <w:p>
            <w:pPr>
              <w:jc w:val="center"/>
              <w:ind w:left="372"/>
              <w:spacing w:after="0"/>
              <w:rPr>
                <w:sz w:val="20"/>
                <w:szCs w:val="20"/>
                <w:color w:val="auto"/>
              </w:rPr>
            </w:pPr>
            <w:r>
              <w:rPr>
                <w:rFonts w:ascii="Arial" w:cs="Arial" w:eastAsia="Arial" w:hAnsi="Arial"/>
                <w:sz w:val="18"/>
                <w:szCs w:val="18"/>
                <w:color w:val="auto"/>
                <w:w w:val="91"/>
              </w:rPr>
              <w:t>13.5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4,045</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4"/>
              </w:rPr>
              <w:t>2006</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1"/>
              </w:rPr>
              <w:t>13.5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4,045</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2006</w:t>
            </w:r>
          </w:p>
        </w:tc>
        <w:tc>
          <w:tcPr>
            <w:tcW w:w="4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tcPr>
          <w:p>
            <w:pPr>
              <w:jc w:val="center"/>
              <w:ind w:left="372"/>
              <w:spacing w:after="0"/>
              <w:rPr>
                <w:sz w:val="20"/>
                <w:szCs w:val="20"/>
                <w:color w:val="auto"/>
              </w:rPr>
            </w:pPr>
            <w:r>
              <w:rPr>
                <w:rFonts w:ascii="Arial" w:cs="Arial" w:eastAsia="Arial" w:hAnsi="Arial"/>
                <w:sz w:val="18"/>
                <w:szCs w:val="18"/>
                <w:color w:val="auto"/>
                <w:w w:val="91"/>
              </w:rPr>
              <w:t>13.5</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90170</wp:posOffset>
            </wp:positionV>
            <wp:extent cx="514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89" w:lineRule="exact"/>
        <w:rPr>
          <w:sz w:val="20"/>
          <w:szCs w:val="20"/>
          <w:color w:val="auto"/>
        </w:rPr>
      </w:pPr>
    </w:p>
    <w:p>
      <w:pPr>
        <w:ind w:left="892" w:hanging="446"/>
        <w:spacing w:after="0"/>
        <w:tabs>
          <w:tab w:leader="none" w:pos="89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892" w:right="680" w:hanging="446"/>
        <w:spacing w:after="0" w:line="261" w:lineRule="auto"/>
        <w:tabs>
          <w:tab w:leader="none" w:pos="89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 which occurred during both the Predecessor and Successor periods.</w:t>
      </w:r>
    </w:p>
    <w:p>
      <w:pPr>
        <w:spacing w:after="0" w:line="138"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following table provides information about the contracted fleet not reflected in these unaudited combined financial statements, other than deposits paid on Hull 789 and Hull 790:</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0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Delivery Date</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6"/>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5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TEUs </w:t>
            </w:r>
            <w:r>
              <w:rPr>
                <w:rFonts w:ascii="Arial" w:cs="Arial" w:eastAsia="Arial" w:hAnsi="Arial"/>
                <w:sz w:val="20"/>
                <w:szCs w:val="20"/>
                <w:b w:val="1"/>
                <w:bCs w:val="1"/>
                <w:color w:val="auto"/>
                <w:w w:val="94"/>
                <w:vertAlign w:val="superscript"/>
              </w:rPr>
              <w:t>(1)</w:t>
            </w:r>
          </w:p>
        </w:tc>
        <w:tc>
          <w:tcPr>
            <w:tcW w:w="2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Built</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to GSL</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color w:val="auto"/>
              </w:rPr>
              <w:t>(2)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6,627</w:t>
            </w:r>
          </w:p>
        </w:tc>
        <w:tc>
          <w:tcPr>
            <w:tcW w:w="6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By Sept 30, 2009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CMA CGM</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(3)</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4,250</w:t>
            </w:r>
          </w:p>
        </w:tc>
        <w:tc>
          <w:tcPr>
            <w:tcW w:w="6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October 2010</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ZISS</w:t>
            </w:r>
          </w:p>
        </w:tc>
        <w:tc>
          <w:tcPr>
            <w:tcW w:w="800" w:type="dxa"/>
            <w:vAlign w:val="bottom"/>
            <w:gridSpan w:val="2"/>
          </w:tcPr>
          <w:p>
            <w:pPr>
              <w:jc w:val="center"/>
              <w:ind w:left="112"/>
              <w:spacing w:after="0" w:line="217" w:lineRule="exact"/>
              <w:rPr>
                <w:sz w:val="20"/>
                <w:szCs w:val="20"/>
                <w:color w:val="auto"/>
              </w:rPr>
            </w:pPr>
            <w:r>
              <w:rPr>
                <w:rFonts w:ascii="Arial" w:cs="Arial" w:eastAsia="Arial" w:hAnsi="Arial"/>
                <w:sz w:val="18"/>
                <w:szCs w:val="18"/>
                <w:color w:val="auto"/>
                <w:w w:val="81"/>
              </w:rPr>
              <w:t xml:space="preserve">7-8 </w:t>
            </w:r>
            <w:r>
              <w:rPr>
                <w:rFonts w:ascii="Arial" w:cs="Arial" w:eastAsia="Arial" w:hAnsi="Arial"/>
                <w:sz w:val="22"/>
                <w:szCs w:val="22"/>
                <w:color w:val="auto"/>
                <w:w w:val="81"/>
                <w:vertAlign w:val="superscript"/>
              </w:rPr>
              <w:t>(4)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c>
          <w:tcPr>
            <w:tcW w:w="6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2010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ZISS</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 xml:space="preserve">7-8 </w:t>
            </w:r>
            <w:r>
              <w:rPr>
                <w:rFonts w:ascii="Arial" w:cs="Arial" w:eastAsia="Arial" w:hAnsi="Arial"/>
                <w:sz w:val="11"/>
                <w:szCs w:val="11"/>
                <w:color w:val="auto"/>
                <w:w w:val="89"/>
              </w:rPr>
              <w:t>(4)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92" w:hanging="446"/>
        <w:spacing w:after="0"/>
        <w:tabs>
          <w:tab w:leader="none" w:pos="8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892" w:hanging="446"/>
        <w:spacing w:after="0"/>
        <w:tabs>
          <w:tab w:leader="none" w:pos="8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CMA CGM (note 8).</w:t>
      </w:r>
    </w:p>
    <w:p>
      <w:pPr>
        <w:spacing w:after="0" w:line="9" w:lineRule="exact"/>
        <w:rPr>
          <w:rFonts w:ascii="Arial" w:cs="Arial" w:eastAsia="Arial" w:hAnsi="Arial"/>
          <w:sz w:val="18"/>
          <w:szCs w:val="18"/>
          <w:i w:val="1"/>
          <w:iCs w:val="1"/>
          <w:color w:val="auto"/>
        </w:rPr>
      </w:pPr>
    </w:p>
    <w:p>
      <w:pPr>
        <w:ind w:left="892" w:hanging="446"/>
        <w:spacing w:after="0"/>
        <w:tabs>
          <w:tab w:leader="none" w:pos="8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8).</w:t>
      </w:r>
    </w:p>
    <w:p>
      <w:pPr>
        <w:spacing w:after="0" w:line="9" w:lineRule="exact"/>
        <w:rPr>
          <w:rFonts w:ascii="Arial" w:cs="Arial" w:eastAsia="Arial" w:hAnsi="Arial"/>
          <w:sz w:val="18"/>
          <w:szCs w:val="18"/>
          <w:i w:val="1"/>
          <w:iCs w:val="1"/>
          <w:color w:val="auto"/>
        </w:rPr>
      </w:pPr>
    </w:p>
    <w:p>
      <w:pPr>
        <w:ind w:left="892" w:hanging="446"/>
        <w:spacing w:after="0"/>
        <w:tabs>
          <w:tab w:leader="none" w:pos="8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72"/>
          </w:cols>
          <w:pgMar w:left="248" w:top="274" w:right="27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Unaudited Supplemental Pro Forma Information under FAS 141</w:t>
      </w:r>
    </w:p>
    <w:p>
      <w:pPr>
        <w:spacing w:after="0" w:line="9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The following pro forma information for the period ended June 30, 2008 assumes that the merger of the Company with Marathon occurred at the beginning of the reporting period being presented.</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Three months ended</w:t>
            </w:r>
          </w:p>
        </w:tc>
        <w:tc>
          <w:tcPr>
            <w:tcW w:w="9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76"/>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24,688</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12,282</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17,576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 in $</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33,463,859</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33,463,859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44,245,923</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44,276,016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7,405,956</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7,405,956</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rFonts w:ascii="Arial" w:cs="Arial" w:eastAsia="Arial" w:hAnsi="Arial"/>
          <w:sz w:val="18"/>
          <w:szCs w:val="18"/>
          <w:color w:val="auto"/>
        </w:rPr>
      </w:pPr>
    </w:p>
    <w:p>
      <w:pPr>
        <w:ind w:left="452" w:right="40"/>
        <w:spacing w:after="0" w:line="294" w:lineRule="auto"/>
        <w:rPr>
          <w:rFonts w:ascii="Arial" w:cs="Arial" w:eastAsia="Arial" w:hAnsi="Arial"/>
          <w:sz w:val="18"/>
          <w:szCs w:val="18"/>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value presentation of results for the interim periods presented. They do not include all disclosures required under United States Generally Accepted Accounting Principles (“US GAAP”) for annual financial statements. These interim unaudited combined financial statements should be read in conjunction with the Company’s financial statements as of December 31, 2008 filed with the Securities and Exchange Commission in the Company’s Annual Report on Form 20-F.</w:t>
      </w:r>
    </w:p>
    <w:p>
      <w:pPr>
        <w:spacing w:after="0" w:line="1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rFonts w:ascii="Arial" w:cs="Arial" w:eastAsia="Arial" w:hAnsi="Arial"/>
          <w:sz w:val="18"/>
          <w:szCs w:val="18"/>
          <w:color w:val="auto"/>
        </w:rPr>
      </w:pPr>
    </w:p>
    <w:p>
      <w:pPr>
        <w:ind w:left="452" w:right="60"/>
        <w:spacing w:after="0" w:line="298" w:lineRule="auto"/>
        <w:rPr>
          <w:rFonts w:ascii="Arial" w:cs="Arial" w:eastAsia="Arial" w:hAnsi="Arial"/>
          <w:sz w:val="18"/>
          <w:szCs w:val="18"/>
          <w:color w:val="auto"/>
        </w:rPr>
      </w:pPr>
      <w:r>
        <w:rPr>
          <w:rFonts w:ascii="Arial" w:cs="Arial" w:eastAsia="Arial" w:hAnsi="Arial"/>
          <w:sz w:val="16"/>
          <w:szCs w:val="16"/>
          <w:color w:val="auto"/>
        </w:rPr>
        <w:t>On April 9, 2009, the Financial Accounting Standards Board (“FASB”) issued FASB Staff Position (FSP) No. 107-1 and APB 28-1 (FSP 107-1 and APB 28-1), “Interim Disclosures about Fair Value of Financial Instruments.” This FSP requires disclosures of fair value for any financial instruments not currently reflected at fair value on the balance sheet for all interim periods. This FSP is effective for interim and annual periods ending after June 15, 2009 and is applied prospectively. The adoption of this FSP did not have a material impact on the unaudited combined financial statements of the Company.</w:t>
      </w:r>
    </w:p>
    <w:p>
      <w:pPr>
        <w:spacing w:after="0" w:line="31"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On April 9, 2009 the FASB issued FSP No. 115-2 and Financial Accounting Standard (FAS) 124-2 (FSP No. 115-2 and FAS 124-2), “Recognition and Presentation of Other Than Temporary Impairments.” This FSP is intended to bring greater consistency to the timing of impairment recognition, and provide greater clarity to investors about the credit and noncredit components of impaired debt securities that are not expected to be sold. This FSP also requires increased and more timely disclosures regarding expected cash flows, credit losses, and an aging of securities with unrealized losses. This FSP is effective for interim and annual periods ending after June 15, 2009 and is applied prospectively. The adoption of this FSP did not have a material impact on the unaudited combined financial statements of the Company.</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72"/>
          </w:cols>
          <w:pgMar w:left="248" w:top="274" w:right="27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right="7400" w:hanging="452"/>
        <w:spacing w:after="0" w:line="417" w:lineRule="auto"/>
        <w:tabs>
          <w:tab w:leader="none" w:pos="449"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color w:val="auto"/>
        </w:rPr>
        <w:t>Recently issued accounting standards (continued)</w:t>
      </w:r>
    </w:p>
    <w:p>
      <w:pPr>
        <w:ind w:left="460" w:right="120"/>
        <w:spacing w:after="0" w:line="298" w:lineRule="auto"/>
        <w:rPr>
          <w:rFonts w:ascii="Arial" w:cs="Arial" w:eastAsia="Arial" w:hAnsi="Arial"/>
          <w:sz w:val="15"/>
          <w:szCs w:val="15"/>
          <w:color w:val="auto"/>
        </w:rPr>
      </w:pPr>
      <w:r>
        <w:rPr>
          <w:rFonts w:ascii="Arial" w:cs="Arial" w:eastAsia="Arial" w:hAnsi="Arial"/>
          <w:sz w:val="16"/>
          <w:szCs w:val="16"/>
          <w:color w:val="auto"/>
        </w:rPr>
        <w:t>In May 2009, the FASB issued SFAS 165, “Subsequent Events” (“FAS 165”), which establishes general standards of accounting for, and requires disclosure of, events that occur after the balance sheet date but before financial statements are issued or are available to be issued. The Company adopted the provisions of FAS 165 for the quarter ended June 30, 2009 and has evaluated for disclosure subsequent events that have occurred up to August 10, 2009, the date of issuance of the unaudited combined financial statements of the Company.</w:t>
      </w:r>
    </w:p>
    <w:p>
      <w:pPr>
        <w:spacing w:after="0" w:line="31" w:lineRule="exact"/>
        <w:rPr>
          <w:rFonts w:ascii="Arial" w:cs="Arial" w:eastAsia="Arial" w:hAnsi="Arial"/>
          <w:sz w:val="15"/>
          <w:szCs w:val="15"/>
          <w:color w:val="auto"/>
        </w:rPr>
      </w:pPr>
    </w:p>
    <w:p>
      <w:pPr>
        <w:ind w:left="460" w:right="60"/>
        <w:spacing w:after="0" w:line="290" w:lineRule="auto"/>
        <w:rPr>
          <w:rFonts w:ascii="Arial" w:cs="Arial" w:eastAsia="Arial" w:hAnsi="Arial"/>
          <w:sz w:val="15"/>
          <w:szCs w:val="15"/>
          <w:color w:val="auto"/>
        </w:rPr>
      </w:pPr>
      <w:r>
        <w:rPr>
          <w:rFonts w:ascii="Arial" w:cs="Arial" w:eastAsia="Arial" w:hAnsi="Arial"/>
          <w:sz w:val="16"/>
          <w:szCs w:val="16"/>
          <w:color w:val="auto"/>
        </w:rPr>
        <w:t>The FASB “Accounting Standards Codification” (the Codification) became effective on July 1, 2009 as FAS 168, officially becoming the single source of authoritative nongovernmental U.S. generally accepted accounting principles (GAAP), superseding existing FASB, American Institute of Certified Public Accountants (AICPA), Emerging Issues Task Force (EITF), and related accounting literature. Only one level of authoritative GAAP now exists. All other accounting literature is considered non-authoritative. The Codification reorganizes the thousands of GAAP pronouncements into roughly 90 accounting topics and displays them using a consistent structure. Also included in the Codification is relevant Securities and Exchange Commission (SEC) guidance organized using the same topical structure in separate sections within the Codification. This will have an impact to the Company’s financial statements since all future references to authoritative accounting literature will be references in accordance with the Codification.</w:t>
      </w:r>
    </w:p>
    <w:p>
      <w:pPr>
        <w:spacing w:after="0" w:line="37" w:lineRule="exact"/>
        <w:rPr>
          <w:rFonts w:ascii="Arial" w:cs="Arial" w:eastAsia="Arial" w:hAnsi="Arial"/>
          <w:sz w:val="15"/>
          <w:szCs w:val="15"/>
          <w:color w:val="auto"/>
        </w:rPr>
      </w:pPr>
    </w:p>
    <w:p>
      <w:pPr>
        <w:ind w:left="460" w:right="200"/>
        <w:spacing w:after="0" w:line="268" w:lineRule="auto"/>
        <w:rPr>
          <w:rFonts w:ascii="Arial" w:cs="Arial" w:eastAsia="Arial" w:hAnsi="Arial"/>
          <w:sz w:val="15"/>
          <w:szCs w:val="15"/>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unaudited combined financial statements of the Company.</w:t>
      </w:r>
    </w:p>
    <w:p>
      <w:pPr>
        <w:spacing w:after="0" w:line="247" w:lineRule="exact"/>
        <w:rPr>
          <w:rFonts w:ascii="Arial" w:cs="Arial" w:eastAsia="Arial" w:hAnsi="Arial"/>
          <w:sz w:val="15"/>
          <w:szCs w:val="15"/>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920" w:type="dxa"/>
            <w:vAlign w:val="bottom"/>
            <w:gridSpan w:val="3"/>
          </w:tcPr>
          <w:p>
            <w:pPr>
              <w:ind w:left="2460"/>
              <w:spacing w:after="0" w:line="14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Successor</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$915,562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915,627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(26,496)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889,066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906,896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6.</w:t>
            </w:r>
          </w:p>
        </w:tc>
        <w:tc>
          <w:tcPr>
            <w:tcW w:w="63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Long-Term Debt</w:t>
            </w: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vMerge w:val="continue"/>
          </w:tcPr>
          <w:p>
            <w:pPr>
              <w:spacing w:after="0"/>
              <w:rPr>
                <w:sz w:val="24"/>
                <w:szCs w:val="24"/>
                <w:color w:val="auto"/>
              </w:rPr>
            </w:pPr>
          </w:p>
        </w:tc>
        <w:tc>
          <w:tcPr>
            <w:tcW w:w="632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Long-term debt is summarized as follows: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12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+ 1.25% to 2.75% (below)</w:t>
            </w:r>
          </w:p>
        </w:tc>
        <w:tc>
          <w:tcPr>
            <w:tcW w:w="3440" w:type="dxa"/>
            <w:vAlign w:val="bottom"/>
            <w:gridSpan w:val="5"/>
            <w:shd w:val="clear" w:color="auto" w:fill="CCEEFF"/>
          </w:tcPr>
          <w:p>
            <w:pPr>
              <w:ind w:left="2460"/>
              <w:spacing w:after="0"/>
              <w:rPr>
                <w:sz w:val="20"/>
                <w:szCs w:val="20"/>
                <w:color w:val="auto"/>
              </w:rPr>
            </w:pPr>
            <w:r>
              <w:rPr>
                <w:rFonts w:ascii="Arial" w:cs="Arial" w:eastAsia="Arial" w:hAnsi="Arial"/>
                <w:sz w:val="18"/>
                <w:szCs w:val="18"/>
                <w:color w:val="auto"/>
              </w:rPr>
              <w:t>$542,100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current installments of long-term debt</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3440" w:type="dxa"/>
            <w:vAlign w:val="bottom"/>
            <w:gridSpan w:val="5"/>
            <w:shd w:val="clear" w:color="auto" w:fill="CCEEFF"/>
          </w:tcPr>
          <w:p>
            <w:pPr>
              <w:ind w:left="2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542,100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The Company has an $800,000 senior secured credit facility which was agreed with Fortis Bank, Citibank, HSH Nordbank, Sumitomo Mitsui, KFW and DnB Nor Bank in December 2007. Subsequently, Bank of Scotland joined the bank syndicate. On February 10, 2009, the Company announced it had amended the terms of the original agreement in response to significant decreases in market values of containerships. The following terms reflect the amended agreement. The margin applicable on interest payable under the credit facility varies from 1.25% to 2.75% over LIBOR depending on the leverage ratio, which is the ratio of the balance outstanding on the credit facility to the aggregate charter free market value of the secured vessels, determined in April and November each year. The Company also pays a commitment fee of 0.50% per annum based on the undrawn portion of the credit facility (0.25% per annum up to February 10, 2009). The commitment fee amounted to $578 for the six months ended June 30, 2009. The credit facility amount of $800,000 will reduce by 19 equal quarterly installments, based on the market value weighted average age of the secured vessels compared to 18 years, commencing in December 2011. The final maturity date of the credit facility is August 14, 2016 at which point any remaining outstanding balance must be prepaid.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40"/>
          </w:cols>
          <w:pgMar w:left="240" w:top="274" w:right="319" w:bottom="1440" w:gutter="0" w:footer="0" w:header="0"/>
        </w:sectPr>
      </w:pPr>
    </w:p>
    <w:bookmarkStart w:id="29" w:name="page30"/>
    <w:bookmarkEnd w:id="2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Long-Term Debt (continued)</w:t>
      </w:r>
    </w:p>
    <w:p>
      <w:pPr>
        <w:spacing w:after="0" w:line="96" w:lineRule="exact"/>
        <w:rPr>
          <w:rFonts w:ascii="Arial" w:cs="Arial" w:eastAsia="Arial" w:hAnsi="Arial"/>
          <w:sz w:val="18"/>
          <w:szCs w:val="18"/>
          <w:color w:val="auto"/>
        </w:rPr>
      </w:pPr>
    </w:p>
    <w:p>
      <w:pPr>
        <w:ind w:left="452" w:right="200"/>
        <w:spacing w:after="0" w:line="323" w:lineRule="auto"/>
        <w:rPr>
          <w:rFonts w:ascii="Arial" w:cs="Arial" w:eastAsia="Arial" w:hAnsi="Arial"/>
          <w:sz w:val="18"/>
          <w:szCs w:val="18"/>
          <w:color w:val="auto"/>
        </w:rPr>
      </w:pPr>
      <w:r>
        <w:rPr>
          <w:rFonts w:ascii="Arial" w:cs="Arial" w:eastAsia="Arial" w:hAnsi="Arial"/>
          <w:sz w:val="15"/>
          <w:szCs w:val="15"/>
          <w:color w:val="auto"/>
        </w:rPr>
        <w:t>This credit facility is secured by, inter alia, first priority mortgages on each of the vessels in the security package, a pledge of shares of the vessel owning subsidiaries as well as assignments of earnings and insurances. The financial covenants within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16" w:lineRule="exact"/>
        <w:rPr>
          <w:rFonts w:ascii="Arial" w:cs="Arial" w:eastAsia="Arial" w:hAnsi="Arial"/>
          <w:sz w:val="18"/>
          <w:szCs w:val="18"/>
          <w:color w:val="auto"/>
        </w:rPr>
      </w:pPr>
    </w:p>
    <w:p>
      <w:pPr>
        <w:ind w:left="452" w:right="80"/>
        <w:spacing w:after="0" w:line="318" w:lineRule="auto"/>
        <w:rPr>
          <w:rFonts w:ascii="Arial" w:cs="Arial" w:eastAsia="Arial" w:hAnsi="Arial"/>
          <w:sz w:val="18"/>
          <w:szCs w:val="18"/>
          <w:color w:val="auto"/>
        </w:rPr>
      </w:pPr>
      <w:r>
        <w:rPr>
          <w:rFonts w:ascii="Arial" w:cs="Arial" w:eastAsia="Arial" w:hAnsi="Arial"/>
          <w:sz w:val="15"/>
          <w:szCs w:val="15"/>
          <w:color w:val="auto"/>
        </w:rPr>
        <w:t>The amendment dated February 10, 2009 also increased temporarily the permitted maximum loan to value to 100% (previously 75%) applicable for test dates up to and including April 30, 2010. During this period, the Company will have no restrictions on its ability to distribute dividends unless the loan to value ratio exceeds 90%, at which point the Company will be required to place 50% of its quarterly cash available for distribution in a pledged account. The pledged account would be released back to the Company if loan to value falls back below 90% during a subsequent valuation period. If the loan to value ratio exceeds 100%, the Company may be required to prepay the loan or provide additional security to reduce the loan to value ratio to below 100%.</w:t>
      </w:r>
    </w:p>
    <w:p>
      <w:pPr>
        <w:spacing w:after="0" w:line="18" w:lineRule="exact"/>
        <w:rPr>
          <w:rFonts w:ascii="Arial" w:cs="Arial" w:eastAsia="Arial" w:hAnsi="Arial"/>
          <w:sz w:val="18"/>
          <w:szCs w:val="18"/>
          <w:color w:val="auto"/>
        </w:rPr>
      </w:pPr>
    </w:p>
    <w:p>
      <w:pPr>
        <w:ind w:left="452" w:right="80"/>
        <w:spacing w:after="0" w:line="298" w:lineRule="auto"/>
        <w:rPr>
          <w:rFonts w:ascii="Arial" w:cs="Arial" w:eastAsia="Arial" w:hAnsi="Arial"/>
          <w:sz w:val="18"/>
          <w:szCs w:val="18"/>
          <w:color w:val="auto"/>
        </w:rPr>
      </w:pPr>
      <w:r>
        <w:rPr>
          <w:rFonts w:ascii="Arial" w:cs="Arial" w:eastAsia="Arial" w:hAnsi="Arial"/>
          <w:sz w:val="16"/>
          <w:szCs w:val="16"/>
          <w:color w:val="auto"/>
        </w:rPr>
        <w:t>As the borrowing capacity was reduced by the amendment, in that amortization of the facility was brought forward by one year, an element of the unamortized deferred financing costs at the date of the amendment has been written off in proportion to the decrease in the borrowing capacity. This amounted to $176. The remaining unamortized deferred financing costs existing at the date of the amendment together with the $3,293 Global Ship Lease, Inc. paid in fees and related costs for the February 10, 2009 amendment are deferred and amortized over the term of the credit agreement.</w:t>
      </w:r>
    </w:p>
    <w:p>
      <w:pPr>
        <w:spacing w:after="0" w:line="31" w:lineRule="exact"/>
        <w:rPr>
          <w:rFonts w:ascii="Arial" w:cs="Arial" w:eastAsia="Arial" w:hAnsi="Arial"/>
          <w:sz w:val="18"/>
          <w:szCs w:val="18"/>
          <w:color w:val="auto"/>
        </w:rPr>
      </w:pPr>
    </w:p>
    <w:p>
      <w:pPr>
        <w:jc w:val="both"/>
        <w:ind w:left="452"/>
        <w:spacing w:after="0" w:line="306" w:lineRule="auto"/>
        <w:rPr>
          <w:rFonts w:ascii="Arial" w:cs="Arial" w:eastAsia="Arial" w:hAnsi="Arial"/>
          <w:sz w:val="18"/>
          <w:szCs w:val="18"/>
          <w:color w:val="auto"/>
        </w:rPr>
      </w:pPr>
      <w:r>
        <w:rPr>
          <w:rFonts w:ascii="Arial" w:cs="Arial" w:eastAsia="Arial" w:hAnsi="Arial"/>
          <w:sz w:val="16"/>
          <w:szCs w:val="16"/>
          <w:color w:val="auto"/>
        </w:rPr>
        <w:t>As reported in note 2(a) above, the Company has agreed that no loan to value tests will be performed until August 31, 2009 pending agreement of a further amendment to the credit facility in response to further deterioration in market values of containerships. The margin applicable during the standstill period is 2.75% and the Company has agreed that no dividends will be declared or paid on common shares.</w:t>
      </w:r>
    </w:p>
    <w:p>
      <w:pPr>
        <w:spacing w:after="0" w:line="222"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52" w:right="200"/>
        <w:spacing w:after="0" w:line="332" w:lineRule="auto"/>
        <w:rPr>
          <w:rFonts w:ascii="Arial" w:cs="Arial" w:eastAsia="Arial" w:hAnsi="Arial"/>
          <w:sz w:val="18"/>
          <w:szCs w:val="18"/>
          <w:color w:val="auto"/>
        </w:rPr>
      </w:pPr>
      <w:r>
        <w:rPr>
          <w:rFonts w:ascii="Arial" w:cs="Arial" w:eastAsia="Arial" w:hAnsi="Arial"/>
          <w:sz w:val="16"/>
          <w:szCs w:val="16"/>
          <w:color w:val="auto"/>
        </w:rPr>
        <w:t>CMA CGM is presented as a related party as it was, until the merger, the parent company of Global Ship Lease, Inc. and at June 30, 2009 is a significant shareholder of the Company, owning certain Class A and Class B common shares representing a 45% voting interest in the Company.</w:t>
      </w:r>
    </w:p>
    <w:p>
      <w:pPr>
        <w:spacing w:after="0" w:line="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49"/>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61"/>
        </w:trPr>
        <w:tc>
          <w:tcPr>
            <w:tcW w:w="85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Successor</w:t>
            </w: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1,005</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w:t>
            </w:r>
          </w:p>
        </w:tc>
        <w:tc>
          <w:tcPr>
            <w:tcW w:w="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680"/>
        <w:spacing w:after="0" w:line="357" w:lineRule="auto"/>
        <w:rPr>
          <w:sz w:val="20"/>
          <w:szCs w:val="20"/>
          <w:color w:val="auto"/>
        </w:rPr>
      </w:pPr>
      <w:r>
        <w:rPr>
          <w:rFonts w:ascii="Arial" w:cs="Arial" w:eastAsia="Arial" w:hAnsi="Arial"/>
          <w:sz w:val="15"/>
          <w:szCs w:val="15"/>
          <w:color w:val="auto"/>
        </w:rPr>
        <w:t>CMA CGM subsidiaries provide Global Ship Lease, Inc. and its subsidiaries with certain ship management services related to the operation of the Company’s fleet. The current account at June 30, 2009 and December 31, 2008 related to amounts payable by or recoverable from CMA CGM.</w:t>
      </w:r>
    </w:p>
    <w:p>
      <w:pPr>
        <w:ind w:left="452" w:right="12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six months to June 30, 2009, the Company paid CMA CGM a dividend of $1,662 (2008: $nil) of which $848 related to the year ended December 31, 2008.</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92"/>
          </w:cols>
          <w:pgMar w:left="248" w:top="274" w:right="259" w:bottom="1440" w:gutter="0" w:footer="0" w:header="0"/>
        </w:sectPr>
      </w:pPr>
    </w:p>
    <w:bookmarkStart w:id="30" w:name="page31"/>
    <w:bookmarkEnd w:id="3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right="8020" w:hanging="452"/>
        <w:spacing w:after="0" w:line="417" w:lineRule="auto"/>
        <w:tabs>
          <w:tab w:leader="none" w:pos="441"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Related Party Transactions (continued) Asset Purchase Agreement</w:t>
      </w:r>
    </w:p>
    <w:p>
      <w:pPr>
        <w:ind w:left="452" w:right="80"/>
        <w:spacing w:after="0" w:line="256" w:lineRule="auto"/>
        <w:rPr>
          <w:rFonts w:ascii="Arial" w:cs="Arial" w:eastAsia="Arial" w:hAnsi="Arial"/>
          <w:sz w:val="15"/>
          <w:szCs w:val="15"/>
          <w:color w:val="auto"/>
        </w:rPr>
      </w:pPr>
      <w:r>
        <w:rPr>
          <w:rFonts w:ascii="Arial" w:cs="Arial" w:eastAsia="Arial" w:hAnsi="Arial"/>
          <w:sz w:val="18"/>
          <w:szCs w:val="18"/>
          <w:color w:val="auto"/>
        </w:rPr>
        <w:t>As reported in note 2, the Company entered into an asset purchase agreement with CMA CGM on December 5, 2007. Under the asset purchase agreement, the Company is committed, subject to financing, to purchasing a further vessel from CMA CGM for a price of $82,000 by September 30, 2009. The Company is discussing with its lenders, as part of the amendment to the $800 million credit facility referred to in Note 2(a), financing to allow it to complete the purchase of this vessel.</w:t>
      </w:r>
    </w:p>
    <w:p>
      <w:pPr>
        <w:spacing w:after="0" w:line="218"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b w:val="1"/>
          <w:bCs w:val="1"/>
          <w:color w:val="auto"/>
        </w:rPr>
        <w:t>Time Charter Agreements</w:t>
      </w:r>
    </w:p>
    <w:p>
      <w:pPr>
        <w:spacing w:after="0" w:line="96" w:lineRule="exact"/>
        <w:rPr>
          <w:rFonts w:ascii="Arial" w:cs="Arial" w:eastAsia="Arial" w:hAnsi="Arial"/>
          <w:sz w:val="15"/>
          <w:szCs w:val="15"/>
          <w:color w:val="auto"/>
        </w:rPr>
      </w:pPr>
    </w:p>
    <w:p>
      <w:pPr>
        <w:ind w:left="452" w:right="40"/>
        <w:spacing w:after="0" w:line="256" w:lineRule="auto"/>
        <w:rPr>
          <w:rFonts w:ascii="Arial" w:cs="Arial" w:eastAsia="Arial" w:hAnsi="Arial"/>
          <w:sz w:val="15"/>
          <w:szCs w:val="15"/>
          <w:color w:val="auto"/>
        </w:rPr>
      </w:pPr>
      <w:r>
        <w:rPr>
          <w:rFonts w:ascii="Arial" w:cs="Arial" w:eastAsia="Arial" w:hAnsi="Arial"/>
          <w:sz w:val="18"/>
          <w:szCs w:val="18"/>
          <w:color w:val="auto"/>
        </w:rPr>
        <w:t>All 16 vessels owned during the period were time chartered to CMA CGM. Of the three vessels due to be delivered during 2009 to 2010, one is chartered to CMA CGM. Under each of the time charters, hire is paid in advance and the daily rate is fixed for the duration of the charter. The charters are for remaining periods of between 3.5 and 16.5 years. Of the $ 1,736,910 maximum future charter hire receivable for the total fleet set out in note 8, $1,593,718 relates to the 17 ships chartered or to be chartered to CMA CGM.</w:t>
      </w:r>
    </w:p>
    <w:p>
      <w:pPr>
        <w:spacing w:after="0" w:line="218"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b w:val="1"/>
          <w:bCs w:val="1"/>
          <w:color w:val="auto"/>
        </w:rPr>
        <w:t>Ship Management Agreement</w:t>
      </w:r>
    </w:p>
    <w:p>
      <w:pPr>
        <w:spacing w:after="0" w:line="96" w:lineRule="exact"/>
        <w:rPr>
          <w:rFonts w:ascii="Arial" w:cs="Arial" w:eastAsia="Arial" w:hAnsi="Arial"/>
          <w:sz w:val="15"/>
          <w:szCs w:val="15"/>
          <w:color w:val="auto"/>
        </w:rPr>
      </w:pPr>
    </w:p>
    <w:p>
      <w:pPr>
        <w:ind w:left="452" w:right="40"/>
        <w:spacing w:after="0" w:line="318" w:lineRule="auto"/>
        <w:rPr>
          <w:rFonts w:ascii="Arial" w:cs="Arial" w:eastAsia="Arial" w:hAnsi="Arial"/>
          <w:sz w:val="15"/>
          <w:szCs w:val="15"/>
          <w:color w:val="auto"/>
        </w:rPr>
      </w:pPr>
      <w:r>
        <w:rPr>
          <w:rFonts w:ascii="Arial" w:cs="Arial" w:eastAsia="Arial" w:hAnsi="Arial"/>
          <w:sz w:val="15"/>
          <w:szCs w:val="15"/>
          <w:color w:val="auto"/>
        </w:rPr>
        <w:t>The Company outsources day to day technical management of its vessels to a ship manager, CMA Ships Ltd, a wholly owned subsidiary of CMA CGM, which is closely supervised by the Company’s own staff. The Company pays CMA Ships Ltd an annual management fee of $114 per vessel and reimburses costs incurred on its behalf, mainly being for the provision of crew and lubricating oils and routine maintenance. Such reimbursement is subject to a cap of between $5.4 and $8.8 per day per vessel depending on the vessel. The impact of the cap is determined quarterly and for the fleet as a whole. Ship management fees expensed for the three and six months ended June 30, 2009 amounted to $456 (2008: $342) and $912 (2008: $677) respectively.</w:t>
      </w:r>
    </w:p>
    <w:p>
      <w:pPr>
        <w:spacing w:after="0" w:line="18"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color w:val="auto"/>
        </w:rPr>
        <w:t>Except for transactions with CMA CGM, the Company did not enter into any other related party transactions.</w:t>
      </w:r>
    </w:p>
    <w:p>
      <w:pPr>
        <w:spacing w:after="0" w:line="286" w:lineRule="exact"/>
        <w:rPr>
          <w:rFonts w:ascii="Arial" w:cs="Arial" w:eastAsia="Arial" w:hAnsi="Arial"/>
          <w:sz w:val="15"/>
          <w:szCs w:val="15"/>
          <w:color w:val="auto"/>
        </w:rPr>
      </w:pPr>
    </w:p>
    <w:p>
      <w:pPr>
        <w:ind w:left="452" w:right="8480" w:hanging="452"/>
        <w:spacing w:after="0" w:line="417" w:lineRule="auto"/>
        <w:tabs>
          <w:tab w:leader="none" w:pos="441"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Contracted Vessel Purchases</w:t>
      </w:r>
    </w:p>
    <w:p>
      <w:pPr>
        <w:ind w:left="452" w:right="80"/>
        <w:spacing w:after="0" w:line="259" w:lineRule="auto"/>
        <w:rPr>
          <w:rFonts w:ascii="Arial" w:cs="Arial" w:eastAsia="Arial" w:hAnsi="Arial"/>
          <w:sz w:val="15"/>
          <w:szCs w:val="15"/>
          <w:color w:val="auto"/>
        </w:rPr>
      </w:pPr>
      <w:r>
        <w:rPr>
          <w:rFonts w:ascii="Arial" w:cs="Arial" w:eastAsia="Arial" w:hAnsi="Arial"/>
          <w:sz w:val="18"/>
          <w:szCs w:val="18"/>
          <w:color w:val="auto"/>
        </w:rPr>
        <w:t>As reported in note 2 and note 7, the Company has contracted to purchase a further vessel from CMA CGM at a cost of $82,000. In addition, the Company is committed to purchasing two vessels from German interests in the fourth quarter of 2010 for approximately $77,000 each. A deposit of 10% has been paid for these two vessels.</w:t>
      </w:r>
    </w:p>
    <w:p>
      <w:pPr>
        <w:spacing w:after="0" w:line="215"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52"/>
        <w:spacing w:after="0" w:line="298" w:lineRule="auto"/>
        <w:rPr>
          <w:rFonts w:ascii="Arial" w:cs="Arial" w:eastAsia="Arial" w:hAnsi="Arial"/>
          <w:sz w:val="15"/>
          <w:szCs w:val="15"/>
          <w:color w:val="auto"/>
        </w:rPr>
      </w:pPr>
      <w:r>
        <w:rPr>
          <w:rFonts w:ascii="Arial" w:cs="Arial" w:eastAsia="Arial" w:hAnsi="Arial"/>
          <w:sz w:val="16"/>
          <w:szCs w:val="16"/>
          <w:color w:val="auto"/>
        </w:rPr>
        <w:t>The Company has entered into long term charters for its vessels owned at June 30, 2009. The charter hire (including that relating to vessels due for delivery in 2009 and 2010), is paid in advance and the daily rate is fixed for the duration of the charter. The charters are for periods of between five and 17 years and the maximum annual charter hire receivable for the fleet of 16 vessels as at June 30, 2009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Fleet operated as at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6"/>
              </w:rPr>
              <w:t>Total fleet to be</w:t>
            </w:r>
          </w:p>
        </w:tc>
        <w:tc>
          <w:tcPr>
            <w:tcW w:w="0" w:type="dxa"/>
            <w:vAlign w:val="bottom"/>
          </w:tcPr>
          <w:p>
            <w:pPr>
              <w:spacing w:after="0"/>
              <w:rPr>
                <w:sz w:val="1"/>
                <w:szCs w:val="1"/>
                <w:color w:val="auto"/>
              </w:rPr>
            </w:pPr>
          </w:p>
        </w:tc>
      </w:tr>
      <w:tr>
        <w:trPr>
          <w:trHeight w:val="16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June 30</w:t>
            </w: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720" w:type="dxa"/>
            <w:vAlign w:val="bottom"/>
            <w:gridSpan w:val="2"/>
            <w:shd w:val="clear" w:color="auto" w:fill="CCEEFF"/>
          </w:tcPr>
          <w:p>
            <w:pPr>
              <w:ind w:left="66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144,347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2011</w:t>
            </w: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144,347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144,742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2013</w:t>
            </w: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133,346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877,915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1,070,320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1,444,697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1,736,910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12"/>
          </w:cols>
          <w:pgMar w:left="248"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60" w:right="300"/>
        <w:spacing w:after="0" w:line="305" w:lineRule="auto"/>
        <w:rPr>
          <w:rFonts w:ascii="Arial" w:cs="Arial" w:eastAsia="Arial" w:hAnsi="Arial"/>
          <w:sz w:val="18"/>
          <w:szCs w:val="18"/>
          <w:color w:val="auto"/>
        </w:rPr>
      </w:pPr>
      <w:r>
        <w:rPr>
          <w:rFonts w:ascii="Arial" w:cs="Arial" w:eastAsia="Arial" w:hAnsi="Arial"/>
          <w:sz w:val="15"/>
          <w:szCs w:val="15"/>
          <w:color w:val="auto"/>
        </w:rPr>
        <w:t>Segment information reported below has been prepared on the same basis that it is reported internally to the Company’s chief operating decision maker. The Company operated under two business models from which it derives its revenues reported within these unaudited combined financial statements:</w:t>
      </w:r>
    </w:p>
    <w:p>
      <w:pPr>
        <w:ind w:left="460" w:right="180"/>
        <w:spacing w:after="0" w:line="254" w:lineRule="auto"/>
        <w:rPr>
          <w:rFonts w:ascii="Arial" w:cs="Arial" w:eastAsia="Arial" w:hAnsi="Arial"/>
          <w:sz w:val="18"/>
          <w:szCs w:val="18"/>
          <w:color w:val="auto"/>
        </w:rPr>
      </w:pPr>
      <w:r>
        <w:rPr>
          <w:rFonts w:ascii="Arial" w:cs="Arial" w:eastAsia="Arial" w:hAnsi="Arial"/>
          <w:sz w:val="18"/>
          <w:szCs w:val="18"/>
          <w:color w:val="auto"/>
        </w:rPr>
        <w:t>(i)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6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“Adjustment” columns in the table below includes (i) the elimination of the Containerized Transportation activity performed by the Predecessor up to June 30, 2008, and (ii) the IPO and merger costs expensed by the Predecessor.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and six months ended June 30, 2009 and 2008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88"/>
              </w:rPr>
              <w:t>Three months ended June, 30,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84"/>
              </w:rPr>
              <w:t>Six months ended June,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Predecessor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Time</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Time</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Charter</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Charter</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36,193</w:t>
            </w:r>
          </w:p>
        </w:tc>
        <w:tc>
          <w:tcPr>
            <w:tcW w:w="1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22,939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22,939</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$ 71,201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$ 44,761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46,833</w:t>
            </w:r>
          </w:p>
        </w:tc>
        <w:tc>
          <w:tcPr>
            <w:tcW w:w="0" w:type="dxa"/>
            <w:vAlign w:val="bottom"/>
          </w:tcPr>
          <w:p>
            <w:pPr>
              <w:spacing w:after="0"/>
              <w:rPr>
                <w:sz w:val="1"/>
                <w:szCs w:val="1"/>
                <w:color w:val="auto"/>
              </w:rPr>
            </w:pPr>
          </w:p>
        </w:tc>
      </w:tr>
      <w:tr>
        <w:trPr>
          <w:trHeight w:val="302"/>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7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10,508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6,821</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6,821</w:t>
            </w:r>
          </w:p>
        </w:tc>
        <w:tc>
          <w:tcPr>
            <w:tcW w:w="16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21,231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17,772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4,581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7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90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2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21,889</w:t>
            </w:r>
          </w:p>
        </w:tc>
        <w:tc>
          <w:tcPr>
            <w:tcW w:w="1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12,638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14,078</w:t>
            </w:r>
          </w:p>
        </w:tc>
        <w:tc>
          <w:tcPr>
            <w:tcW w:w="160" w:type="dxa"/>
            <w:vAlign w:val="bottom"/>
          </w:tcPr>
          <w:p>
            <w:pPr>
              <w:spacing w:after="0"/>
              <w:rPr>
                <w:sz w:val="24"/>
                <w:szCs w:val="24"/>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43,478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25,227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29,390</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10,301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17,443</w:t>
            </w:r>
          </w:p>
        </w:tc>
        <w:tc>
          <w:tcPr>
            <w:tcW w:w="0" w:type="dxa"/>
            <w:vAlign w:val="bottom"/>
          </w:tcPr>
          <w:p>
            <w:pPr>
              <w:spacing w:after="0"/>
              <w:rPr>
                <w:sz w:val="1"/>
                <w:szCs w:val="1"/>
                <w:color w:val="auto"/>
              </w:rPr>
            </w:pPr>
          </w:p>
        </w:tc>
      </w:tr>
      <w:tr>
        <w:trPr>
          <w:trHeight w:val="295"/>
        </w:trPr>
        <w:tc>
          <w:tcPr>
            <w:tcW w:w="42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9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(6,344)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(6,344)</w:t>
            </w:r>
          </w:p>
        </w:tc>
        <w:tc>
          <w:tcPr>
            <w:tcW w:w="90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(10,208)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Realized and unrealized gain on derivatives</w:t>
            </w:r>
          </w:p>
        </w:tc>
        <w:tc>
          <w:tcPr>
            <w:tcW w:w="580" w:type="dxa"/>
            <w:vAlign w:val="bottom"/>
          </w:tcPr>
          <w:p>
            <w:pPr>
              <w:jc w:val="right"/>
              <w:spacing w:after="0"/>
              <w:rPr>
                <w:sz w:val="20"/>
                <w:szCs w:val="20"/>
                <w:color w:val="auto"/>
              </w:rPr>
            </w:pPr>
            <w:r>
              <w:rPr>
                <w:rFonts w:ascii="Arial" w:cs="Arial" w:eastAsia="Arial" w:hAnsi="Arial"/>
                <w:sz w:val="18"/>
                <w:szCs w:val="18"/>
                <w:color w:val="auto"/>
              </w:rPr>
              <w:t>13,872</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16,146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before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c>
          <w:tcPr>
            <w:tcW w:w="120" w:type="dxa"/>
            <w:vAlign w:val="bottom"/>
            <w:tcBorders>
              <w:right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6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33,966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310"/>
        </w:trPr>
        <w:tc>
          <w:tcPr>
            <w:tcW w:w="4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(48)</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22,762</w:t>
            </w:r>
          </w:p>
        </w:tc>
        <w:tc>
          <w:tcPr>
            <w:tcW w:w="1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$ 33,918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$ 10,426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52" w:right="40"/>
        <w:spacing w:after="0" w:line="298" w:lineRule="auto"/>
        <w:rPr>
          <w:rFonts w:ascii="Arial" w:cs="Arial" w:eastAsia="Arial" w:hAnsi="Arial"/>
          <w:sz w:val="18"/>
          <w:szCs w:val="18"/>
          <w:color w:val="auto"/>
        </w:rPr>
      </w:pPr>
      <w:r>
        <w:rPr>
          <w:rFonts w:ascii="Arial" w:cs="Arial" w:eastAsia="Arial" w:hAnsi="Arial"/>
          <w:sz w:val="16"/>
          <w:szCs w:val="16"/>
          <w:color w:val="auto"/>
        </w:rPr>
        <w:t>At June 30, 2009 the Company has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Until January 1, 2009 the Company had three classes of common shares but on that date the 12,375,000 Class C common shares issued by the Company were converted into Class A common shares on a one-for-one basis.</w:t>
      </w:r>
    </w:p>
    <w:p>
      <w:pPr>
        <w:spacing w:after="0" w:line="31" w:lineRule="exact"/>
        <w:rPr>
          <w:rFonts w:ascii="Arial" w:cs="Arial" w:eastAsia="Arial" w:hAnsi="Arial"/>
          <w:sz w:val="18"/>
          <w:szCs w:val="18"/>
          <w:color w:val="auto"/>
        </w:rPr>
      </w:pPr>
    </w:p>
    <w:p>
      <w:pPr>
        <w:ind w:left="452" w:right="120"/>
        <w:spacing w:after="0" w:line="268" w:lineRule="auto"/>
        <w:rPr>
          <w:rFonts w:ascii="Arial" w:cs="Arial" w:eastAsia="Arial" w:hAnsi="Arial"/>
          <w:sz w:val="18"/>
          <w:szCs w:val="18"/>
          <w:color w:val="auto"/>
        </w:rPr>
      </w:pPr>
      <w:r>
        <w:rPr>
          <w:rFonts w:ascii="Arial" w:cs="Arial" w:eastAsia="Arial" w:hAnsi="Arial"/>
          <w:sz w:val="18"/>
          <w:szCs w:val="18"/>
          <w:color w:val="auto"/>
        </w:rPr>
        <w:t>The restricted stock units granted to the Directors in November 2008 as part of their compensation for service during 2008 vested on January 1, 2009, and subsequently 36,833 shares were issued to the Directors.</w:t>
      </w:r>
    </w:p>
    <w:p>
      <w:pPr>
        <w:spacing w:after="0" w:line="50" w:lineRule="exact"/>
        <w:rPr>
          <w:rFonts w:ascii="Arial" w:cs="Arial" w:eastAsia="Arial" w:hAnsi="Arial"/>
          <w:sz w:val="18"/>
          <w:szCs w:val="18"/>
          <w:color w:val="auto"/>
        </w:rPr>
      </w:pPr>
    </w:p>
    <w:p>
      <w:pPr>
        <w:ind w:left="452" w:right="6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on August 14, 2011 and are required to be redeemed earlier using the proceeds of the exercise of any Public Warrants. The shares are redeemed each time that proceeds from the exercise of warrants reach $5,000. As at June 30, 2009 total proceeds received from the exercise of warrants classified in the balance sheet as restricted cash were $3,026, and therefore none of the preferred shares have been redeemed. Series A preferred shares are classified as a liability. The dividend that preferred shares holders are entitled to receive quarterly is presented as part of interest expense.</w:t>
      </w:r>
    </w:p>
    <w:p>
      <w:pPr>
        <w:spacing w:after="0" w:line="34" w:lineRule="exact"/>
        <w:rPr>
          <w:rFonts w:ascii="Arial" w:cs="Arial" w:eastAsia="Arial" w:hAnsi="Arial"/>
          <w:sz w:val="18"/>
          <w:szCs w:val="18"/>
          <w:color w:val="auto"/>
        </w:rPr>
      </w:pPr>
    </w:p>
    <w:p>
      <w:pPr>
        <w:ind w:left="452" w:right="140"/>
        <w:spacing w:after="0" w:line="298" w:lineRule="auto"/>
        <w:rPr>
          <w:rFonts w:ascii="Arial" w:cs="Arial" w:eastAsia="Arial" w:hAnsi="Arial"/>
          <w:sz w:val="18"/>
          <w:szCs w:val="18"/>
          <w:color w:val="auto"/>
        </w:rPr>
      </w:pPr>
      <w:r>
        <w:rPr>
          <w:rFonts w:ascii="Arial" w:cs="Arial" w:eastAsia="Arial" w:hAnsi="Arial"/>
          <w:sz w:val="16"/>
          <w:szCs w:val="16"/>
          <w:color w:val="auto"/>
        </w:rPr>
        <w:t>In addition to the Class A, and B common shares and the Series A Preferred shares, there are 39,531 Public Warrants which have an expiry of August 14, 2010 and give the holder the right to purchase one Class A common share at a price of $6 per share and 5,500 Sponsor Warrants which have similar terms to the Public Warrants except that the exercise must be on a cashless basis. Further, there are 6,188 Class A Warrants which expire on September 1, 2011 and give the holders the right to purchase one Class A common share at a price of $9.25 per share.</w:t>
      </w:r>
    </w:p>
    <w:p>
      <w:pPr>
        <w:spacing w:after="0" w:line="31" w:lineRule="exact"/>
        <w:rPr>
          <w:rFonts w:ascii="Arial" w:cs="Arial" w:eastAsia="Arial" w:hAnsi="Arial"/>
          <w:sz w:val="18"/>
          <w:szCs w:val="18"/>
          <w:color w:val="auto"/>
        </w:rPr>
      </w:pPr>
    </w:p>
    <w:p>
      <w:pPr>
        <w:ind w:left="452" w:right="180"/>
        <w:spacing w:after="0" w:line="332" w:lineRule="auto"/>
        <w:rPr>
          <w:rFonts w:ascii="Arial" w:cs="Arial" w:eastAsia="Arial" w:hAnsi="Arial"/>
          <w:sz w:val="18"/>
          <w:szCs w:val="18"/>
          <w:color w:val="auto"/>
        </w:rPr>
      </w:pPr>
      <w:r>
        <w:rPr>
          <w:rFonts w:ascii="Arial" w:cs="Arial" w:eastAsia="Arial" w:hAnsi="Arial"/>
          <w:sz w:val="16"/>
          <w:szCs w:val="16"/>
          <w:color w:val="auto"/>
        </w:rPr>
        <w:t>On February 10, 2009, the Company announced a fourth quarter dividend of $0.23 per Class A common share, unit and Class B share which was paid on March 5, 2009 to Class A common shareholders and unit holders and Class B shareholders of record as of February 20, 2009.</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52" w:right="40"/>
        <w:spacing w:after="0" w:line="291" w:lineRule="auto"/>
        <w:rPr>
          <w:rFonts w:ascii="Arial" w:cs="Arial" w:eastAsia="Arial" w:hAnsi="Arial"/>
          <w:sz w:val="18"/>
          <w:szCs w:val="18"/>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June 30, 2009 a total of $580,000 of anticipated core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w:t>
      </w:r>
    </w:p>
    <w:p>
      <w:pPr>
        <w:spacing w:after="0" w:line="39" w:lineRule="exact"/>
        <w:rPr>
          <w:rFonts w:ascii="Arial" w:cs="Arial" w:eastAsia="Arial" w:hAnsi="Arial"/>
          <w:sz w:val="18"/>
          <w:szCs w:val="18"/>
          <w:color w:val="auto"/>
        </w:rPr>
      </w:pPr>
    </w:p>
    <w:p>
      <w:pPr>
        <w:ind w:left="452"/>
        <w:spacing w:after="0" w:line="306" w:lineRule="auto"/>
        <w:rPr>
          <w:rFonts w:ascii="Arial" w:cs="Arial" w:eastAsia="Arial" w:hAnsi="Arial"/>
          <w:sz w:val="18"/>
          <w:szCs w:val="18"/>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for the three and six months ended June 30, 2009 was $ 16,652 (2008: $5,341) and $20,961 (2008: $5,341) respectively.</w:t>
      </w:r>
    </w:p>
    <w:p>
      <w:pPr>
        <w:spacing w:after="0" w:line="25" w:lineRule="exact"/>
        <w:rPr>
          <w:rFonts w:ascii="Arial" w:cs="Arial" w:eastAsia="Arial" w:hAnsi="Arial"/>
          <w:sz w:val="18"/>
          <w:szCs w:val="18"/>
          <w:color w:val="auto"/>
        </w:rPr>
      </w:pPr>
    </w:p>
    <w:p>
      <w:pPr>
        <w:ind w:left="452" w:right="200"/>
        <w:spacing w:after="0" w:line="268" w:lineRule="auto"/>
        <w:rPr>
          <w:rFonts w:ascii="Arial" w:cs="Arial" w:eastAsia="Arial" w:hAnsi="Arial"/>
          <w:sz w:val="18"/>
          <w:szCs w:val="18"/>
          <w:color w:val="auto"/>
        </w:rPr>
      </w:pPr>
      <w:r>
        <w:rPr>
          <w:rFonts w:ascii="Arial" w:cs="Arial" w:eastAsia="Arial" w:hAnsi="Arial"/>
          <w:sz w:val="18"/>
          <w:szCs w:val="18"/>
          <w:color w:val="auto"/>
        </w:rPr>
        <w:t>Derivative instruments held by the Company are categorized as level 2 under SFAS No. 157, “Fair Value Measurements” hierarchy. As at June 30, 2009, these derivatives represented a liability of $ 26,079 (December 31, 2008: $47,041).</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92"/>
          </w:cols>
          <w:pgMar w:left="248" w:top="274" w:right="259" w:bottom="1440" w:gutter="0" w:footer="0" w:header="0"/>
        </w:sectPr>
      </w:pPr>
    </w:p>
    <w:bookmarkStart w:id="33" w:name="page34"/>
    <w:bookmarkEnd w:id="33"/>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560" w:type="dxa"/>
            <w:vAlign w:val="bottom"/>
            <w:gridSpan w:val="5"/>
          </w:tcPr>
          <w:p>
            <w:pPr>
              <w:ind w:left="62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7960" w:type="dxa"/>
            <w:vAlign w:val="bottom"/>
          </w:tcPr>
          <w:p>
            <w:pPr>
              <w:spacing w:after="0"/>
              <w:rPr>
                <w:sz w:val="11"/>
                <w:szCs w:val="11"/>
                <w:color w:val="auto"/>
              </w:rPr>
            </w:pPr>
          </w:p>
        </w:tc>
        <w:tc>
          <w:tcPr>
            <w:tcW w:w="148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1"/>
              </w:rPr>
              <w:t>Number of</w:t>
            </w: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r>
      <w:tr>
        <w:trPr>
          <w:trHeight w:val="161"/>
        </w:trPr>
        <w:tc>
          <w:tcPr>
            <w:tcW w:w="7960" w:type="dxa"/>
            <w:vAlign w:val="bottom"/>
          </w:tcPr>
          <w:p>
            <w:pPr>
              <w:spacing w:after="0"/>
              <w:rPr>
                <w:sz w:val="14"/>
                <w:szCs w:val="14"/>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Non-vested as at January 1, 2009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897,671</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150,273</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b w:val="1"/>
                <w:bCs w:val="1"/>
                <w:color w:val="auto"/>
              </w:rPr>
              <w:t>Non-Vested as at June 30, 2009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1,010,273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w:t>
            </w:r>
          </w:p>
        </w:tc>
        <w:tc>
          <w:tcPr>
            <w:tcW w:w="20" w:type="dxa"/>
            <w:vAlign w:val="bottom"/>
          </w:tcPr>
          <w:p>
            <w:pPr>
              <w:spacing w:after="0"/>
              <w:rPr>
                <w:sz w:val="19"/>
                <w:szCs w:val="19"/>
                <w:color w:val="auto"/>
              </w:rPr>
            </w:pPr>
          </w:p>
        </w:tc>
      </w:tr>
    </w:tbl>
    <w:p>
      <w:pPr>
        <w:spacing w:after="0" w:line="167" w:lineRule="exact"/>
        <w:rPr>
          <w:sz w:val="20"/>
          <w:szCs w:val="20"/>
          <w:color w:val="auto"/>
        </w:rPr>
      </w:pPr>
    </w:p>
    <w:p>
      <w:pPr>
        <w:ind w:left="452"/>
        <w:spacing w:after="0" w:line="323" w:lineRule="auto"/>
        <w:rPr>
          <w:sz w:val="20"/>
          <w:szCs w:val="20"/>
          <w:color w:val="auto"/>
        </w:rPr>
      </w:pPr>
      <w:r>
        <w:rPr>
          <w:rFonts w:ascii="Arial" w:cs="Arial" w:eastAsia="Arial" w:hAnsi="Arial"/>
          <w:sz w:val="15"/>
          <w:szCs w:val="15"/>
          <w:color w:val="auto"/>
        </w:rPr>
        <w:t>Using the graded vesting method of expensing the restricted stock unit grants, the weighted average fair value of the shares calculated is recognized as compensation costs in the income statement over the vesting period. During the three and six months ended June 30, 2009 the Company recognized a total of $863 (2008: $nil) and $1,579 (2008: $nil) share based compensation costs respectively. As at June 30, 2009, there was a total of $2,060 unrecognized compensation costs relating to the above share based awards (2008: $nil). The remaining costs are expected to be recognized over a period of 26 months.</w:t>
      </w:r>
    </w:p>
    <w:p>
      <w:pPr>
        <w:spacing w:after="0" w:line="17" w:lineRule="exact"/>
        <w:rPr>
          <w:sz w:val="20"/>
          <w:szCs w:val="20"/>
          <w:color w:val="auto"/>
        </w:rPr>
      </w:pPr>
    </w:p>
    <w:p>
      <w:pPr>
        <w:ind w:left="452" w:right="20"/>
        <w:spacing w:after="0" w:line="259" w:lineRule="auto"/>
        <w:rPr>
          <w:sz w:val="20"/>
          <w:szCs w:val="20"/>
          <w:color w:val="auto"/>
        </w:rPr>
      </w:pPr>
      <w:r>
        <w:rPr>
          <w:rFonts w:ascii="Arial" w:cs="Arial" w:eastAsia="Arial" w:hAnsi="Arial"/>
          <w:sz w:val="18"/>
          <w:szCs w:val="18"/>
          <w:color w:val="auto"/>
        </w:rPr>
        <w:t>150,273 restricted stock units were granted in May 2009 for Directors’ compensation for 2009 under the Company’s 2008 Equity Incentive Plan. These awards will vest in early 2010. The awards that vested in the period related to Directors’ compensation for 2008. There were no share based compensation schemes in place in the predecessor periods, and therefore no comparatives are provided.</w:t>
      </w:r>
    </w:p>
    <w:p>
      <w:pPr>
        <w:spacing w:after="0" w:line="256"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52" w:right="140"/>
        <w:spacing w:after="0" w:line="255" w:lineRule="auto"/>
        <w:rPr>
          <w:rFonts w:ascii="Arial" w:cs="Arial" w:eastAsia="Arial" w:hAnsi="Arial"/>
          <w:sz w:val="18"/>
          <w:szCs w:val="18"/>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 At June 30, 2009, there were 45,031,348 warrants to purchase Class A common shares outstanding, including 5,500,000 Sponsor Warrants (which must be exercised on a cashless basis), at an exercise price of $6, and there were 1,010,273 restricted stock units authorized as part of management’s equity incentive plan. As of June 30, 2009 only Class A and B common shares are participating securities.</w:t>
      </w:r>
    </w:p>
    <w:p>
      <w:pPr>
        <w:spacing w:after="0" w:line="61" w:lineRule="exact"/>
        <w:rPr>
          <w:rFonts w:ascii="Arial" w:cs="Arial" w:eastAsia="Arial" w:hAnsi="Arial"/>
          <w:sz w:val="18"/>
          <w:szCs w:val="18"/>
          <w:color w:val="auto"/>
        </w:rPr>
      </w:pPr>
    </w:p>
    <w:p>
      <w:pPr>
        <w:jc w:val="both"/>
        <w:ind w:left="452" w:right="60"/>
        <w:spacing w:after="0" w:line="256" w:lineRule="auto"/>
        <w:rPr>
          <w:rFonts w:ascii="Arial" w:cs="Arial" w:eastAsia="Arial" w:hAnsi="Arial"/>
          <w:sz w:val="18"/>
          <w:szCs w:val="18"/>
          <w:color w:val="auto"/>
        </w:rPr>
      </w:pPr>
      <w:r>
        <w:rPr>
          <w:rFonts w:ascii="Arial" w:cs="Arial" w:eastAsia="Arial" w:hAnsi="Arial"/>
          <w:sz w:val="18"/>
          <w:szCs w:val="18"/>
          <w:color w:val="auto"/>
        </w:rPr>
        <w:t>For the three months ended June 30, 2009, the diluted weighted average number of Class A common shares outstanding is the same as the basic weighted average number of shares. For the six months ended June 30, 2009, the diluted weighted average number of Class A common shares outstanding includes the incremental effect relating to outstanding restricted stock units, but excludes the outstanding warrants. The warrants are excluded because they would have an antidilutive effect.</w:t>
      </w:r>
    </w:p>
    <w:p>
      <w:pPr>
        <w:spacing w:after="0" w:line="6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Class B common shareholders are entitled to receive dividends but their dividend rights are subordinated to those of holders of Class A common shares.</w:t>
      </w:r>
    </w:p>
    <w:p>
      <w:pPr>
        <w:spacing w:after="0" w:line="309"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color w:val="auto"/>
        </w:rPr>
      </w:pPr>
    </w:p>
    <w:p>
      <w:pPr>
        <w:ind w:left="452"/>
        <w:spacing w:after="0" w:line="255" w:lineRule="auto"/>
        <w:rPr>
          <w:rFonts w:ascii="Arial" w:cs="Arial" w:eastAsia="Arial" w:hAnsi="Arial"/>
          <w:sz w:val="18"/>
          <w:szCs w:val="18"/>
          <w:color w:val="auto"/>
        </w:rPr>
      </w:pPr>
      <w:r>
        <w:rPr>
          <w:rFonts w:ascii="Arial" w:cs="Arial" w:eastAsia="Arial" w:hAnsi="Arial"/>
          <w:sz w:val="18"/>
          <w:szCs w:val="18"/>
          <w:color w:val="auto"/>
        </w:rPr>
        <w:t>On July 30, 2009, the Company announced an extension by one month to August 31, 2009 of the agreements reached on April 29, 2009 and June 25, 2009 with its lenders under the $800 million credit facility, to suspend the performance of loan to value tests pending agreement of an amendment to the credit facility in respect of loan to value due to recent significant falls in charter free market values of containerships. The Company, which is in active discussions with its lenders on an amendment, has agreed not to declare or pay any dividends to common shareholders during this period and that the facility will bear an interest margin of 2.75%.</w:t>
      </w:r>
    </w:p>
    <w:p>
      <w:pPr>
        <w:spacing w:after="0" w:line="12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17</w:t>
      </w:r>
    </w:p>
    <w:sectPr>
      <w:pgSz w:w="11900" w:h="16838" w:orient="portrait"/>
      <w:cols w:equalWidth="0" w:num="1">
        <w:col w:w="11312"/>
      </w:cols>
      <w:pgMar w:left="248"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2)"/>
      <w:numFmt w:val="lowerLetter"/>
      <w:start w:val="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4"/>
    </w:lvl>
  </w:abstractNum>
  <w:abstractNum w:abstractNumId="15">
    <w:nsid w:val="7C83E458"/>
    <w:multiLevelType w:val="hybridMultilevel"/>
    <w:lvl w:ilvl="0">
      <w:lvlJc w:val="left"/>
      <w:lvlText w:val="%1."/>
      <w:numFmt w:val="decimal"/>
      <w:start w:val="4"/>
    </w:lvl>
  </w:abstractNum>
  <w:abstractNum w:abstractNumId="16">
    <w:nsid w:val="257130A3"/>
    <w:multiLevelType w:val="hybridMultilevel"/>
    <w:lvl w:ilvl="0">
      <w:lvlJc w:val="left"/>
      <w:lvlText w:val="%1."/>
      <w:numFmt w:val="decimal"/>
      <w:start w:val="6"/>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9"/>
    </w:lvl>
  </w:abstractNum>
  <w:abstractNum w:abstractNumId="19">
    <w:nsid w:val="628C895D"/>
    <w:multiLevelType w:val="hybridMultilevel"/>
    <w:lvl w:ilvl="0">
      <w:lvlJc w:val="left"/>
      <w:lvlText w:val="%1."/>
      <w:numFmt w:val="decimal"/>
      <w:start w:val="10"/>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2019-12-11T06:00:08Z</dcterms:created>
  <dcterms:modified xsi:type="dcterms:W3CDTF">2019-12-11T06:00:08Z</dcterms:modified>
</cp:coreProperties>
</file>