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May 19, 2009</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 w:lineRule="exact"/>
        <w:rPr>
          <w:sz w:val="24"/>
          <w:szCs w:val="24"/>
          <w:color w:val="auto"/>
        </w:rPr>
      </w:pPr>
    </w:p>
    <w:p>
      <w:pPr>
        <w:ind w:left="460"/>
        <w:spacing w:after="0" w:line="207" w:lineRule="exact"/>
        <w:tabs>
          <w:tab w:leader="none" w:pos="1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5" w:lineRule="exact"/>
        <w:rPr>
          <w:sz w:val="24"/>
          <w:szCs w:val="24"/>
          <w:color w:val="auto"/>
        </w:rPr>
      </w:pPr>
    </w:p>
    <w:p>
      <w:pPr>
        <w:ind w:left="460"/>
        <w:spacing w:after="0" w:line="207" w:lineRule="exact"/>
        <w:tabs>
          <w:tab w:leader="none" w:pos="1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5" w:lineRule="exact"/>
        <w:rPr>
          <w:sz w:val="24"/>
          <w:szCs w:val="24"/>
          <w:color w:val="auto"/>
        </w:rPr>
      </w:pPr>
    </w:p>
    <w:p>
      <w:pPr>
        <w:ind w:left="460"/>
        <w:spacing w:after="0" w:line="207" w:lineRule="exact"/>
        <w:tabs>
          <w:tab w:leader="none" w:pos="1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ind w:left="460"/>
        <w:spacing w:after="0" w:line="207" w:lineRule="exact"/>
        <w:tabs>
          <w:tab w:leader="none" w:pos="1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tabs>
          <w:tab w:leader="none" w:pos="8460" w:val="left"/>
        </w:tabs>
        <w:rPr>
          <w:sz w:val="20"/>
          <w:szCs w:val="20"/>
          <w:color w:val="auto"/>
        </w:rPr>
      </w:pPr>
      <w:r>
        <w:rPr>
          <w:rFonts w:ascii="Arial" w:cs="Arial" w:eastAsia="Arial" w:hAnsi="Arial"/>
          <w:sz w:val="16"/>
          <w:szCs w:val="16"/>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Attached hereto as Exhibit I is a press release dated May 19, 2009 of Global Ship Lease, Inc. (the “Company”) reporting the Company’s financial results for the quarter ended March 31, 2009. Attached hereto as Exhibit II are the Company’s unaudited financial statements for the quarter ended March 31, 2009.</w:t>
      </w: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19, 2009</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274"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28651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65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 Tyler Wilson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First Quarter of 2009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Contracts Continue to Perform as Expected and Charter Hire Remains Current</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LONDON, ENGLAND—(Marketwire - May 19, 2009) - Global Ship Lease, Inc. (NYSE:GSL)(NYSE:GSL.U)(NYSE:GSL.WS), a containership charter owner, announced today its unaudited results for the three months ended March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and Year-to-Date 2009 Highlights</w:t>
      </w:r>
    </w:p>
    <w:p>
      <w:pPr>
        <w:spacing w:after="0" w:line="90" w:lineRule="exact"/>
        <w:rPr>
          <w:sz w:val="20"/>
          <w:szCs w:val="20"/>
          <w:color w:val="auto"/>
        </w:rPr>
      </w:pPr>
    </w:p>
    <w:p>
      <w:pPr>
        <w:ind w:left="460" w:right="78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Paid a fourth quarter 2008 dividend of $0.23 per share on March 5, 2009 to Class A common shareholders and unit holders and Class B common shareholders of record as of February 20,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$15.3 million of cash available for common dividends in the first quarter of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$35.0 million for the first quarter of 2009</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normalized net earnings of $6.8 million, or $0.13 per share, for the first quarter of 2009, excluding a $4.3 million non-cash interest rate derivative mark-to-market gain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non-cash charges, reported net income of $11.2 million, or $0.21 per share, for the first quarter of 2009</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Obtained in April 2009 a waiver from loan-to-value tests until June 30, 2009 under $800 million credit facility to improve financial flexibility; no common dividends can be declared or paid during the waiver period</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Ian Webber, Chief Executive Officer of Global Ship Lease, stated, “We are pleased to have achieved revenue and earnings growth in this challenging economic environment. During the quarter, Global Ship Lease once again performed as anticipated, generating strong revenues and predictable cash flows, further demonstrating the successful implementation of our established strategy of securing all of our vessels on long-term contracts. Notably, the four additional vessels we purchased in December of 2008 that expanded our modern fleet to 16 vessels and increased our contracted revenue stream to $1.6 billion, contributed $11.0 million of revenue in the first quarter. Our entire operating fleet is now secured on contracts that have an average remaining term of approximately 10 years, all of which continue to perform as expected with all charter payments up-to-date. In addition, we continue to work closely with our ship manager to prudently control costs and have now held operating expenses under the capped amount in our management agreement for three straight quarters.”</w:t>
      </w:r>
    </w:p>
    <w:p>
      <w:pPr>
        <w:sectPr>
          <w:pgSz w:w="11900" w:h="16838" w:orient="portrait"/>
          <w:cols w:equalWidth="0" w:num="1">
            <w:col w:w="11420"/>
          </w:cols>
          <w:pgMar w:left="240" w:top="274" w:right="239" w:bottom="1440" w:gutter="0" w:footer="0" w:header="0"/>
        </w:sectPr>
      </w:pPr>
    </w:p>
    <w:bookmarkStart w:id="3" w:name="page4"/>
    <w:bookmarkEnd w:id="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Webber continued, “During a time when many ship brokers have suspended issuing valuations due to limited market transparency and liquidity, we secured an agreement to waive for two months the requirement under the credit facility to submit vessel valuations on April 30, 2009. We are in active discussions with our lenders and remain committed to working with them to finalize an amendment to the credit facility by June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Results for Three Months Ended March 31, 2009</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Comparative financial information for the three months ended March 31, 2008 is prepared under predecessor accounting rules and includes the results of operations of some of the vessels when they were owned by CMA CGM, a privately owned French container shipping company, and operated in CMA CGM’s business of earning revenue from carrying cargo. Global Ship Lease commenced its business of time chartering out vessels in December 2007 when it purchased 10 container vessels from CMA CGM. The Company purchased two additional vessels from CMA CGM in January 2008. The predecessor and Global Ship Lease business models are not comparable.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there were significant changes to the Company’s legal and capital structure arising from the merger on August 14, 2008, which resulted in the Company being listed on the New York Stock Exchange. Accordingly, only selected comparative information is presented.</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for the three months ended March 31, 2009, as reported in our unaudited interim combined financial information, was $35.0 million compared to time charter revenue in the comparative period of $21.8 million. The significant increase is due primarily to the inclusion of four additional vessels from December 2008. Normalized net earnings were $6.8 million after adjusting for a non cash mark-to-market gain of $4.3 million on our interest rate derivatives. The reported net income was $11.2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 UNAUDITED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(thousands of U.S. dollars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4"/>
              </w:rPr>
              <w:t>Three months ended</w:t>
            </w:r>
          </w:p>
        </w:tc>
        <w:tc>
          <w:tcPr>
            <w:tcW w:w="9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8140" w:type="dxa"/>
            <w:vAlign w:val="bottom"/>
          </w:tcPr>
          <w:p>
            <w:pPr>
              <w:spacing w:after="0"/>
              <w:rPr>
                <w:sz w:val="14"/>
                <w:szCs w:val="1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 2009</w:t>
            </w:r>
          </w:p>
        </w:tc>
        <w:tc>
          <w:tcPr>
            <w:tcW w:w="920" w:type="dxa"/>
            <w:vAlign w:val="bottom"/>
          </w:tcPr>
          <w:p>
            <w:pPr>
              <w:spacing w:after="0"/>
              <w:rPr>
                <w:sz w:val="14"/>
                <w:szCs w:val="1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 2008</w:t>
            </w:r>
          </w:p>
        </w:tc>
        <w:tc>
          <w:tcPr>
            <w:tcW w:w="20" w:type="dxa"/>
            <w:vAlign w:val="bottom"/>
          </w:tcPr>
          <w:p>
            <w:pPr>
              <w:spacing w:after="0"/>
              <w:rPr>
                <w:sz w:val="14"/>
                <w:szCs w:val="14"/>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Revenue (1)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35,008</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21,822</w:t>
            </w:r>
          </w:p>
        </w:tc>
        <w:tc>
          <w:tcPr>
            <w:tcW w:w="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Operating Income (1)</w:t>
            </w:r>
          </w:p>
        </w:tc>
        <w:tc>
          <w:tcPr>
            <w:tcW w:w="1180" w:type="dxa"/>
            <w:vAlign w:val="bottom"/>
          </w:tcPr>
          <w:p>
            <w:pPr>
              <w:jc w:val="right"/>
              <w:spacing w:after="0"/>
              <w:rPr>
                <w:sz w:val="20"/>
                <w:szCs w:val="20"/>
                <w:color w:val="auto"/>
              </w:rPr>
            </w:pPr>
            <w:r>
              <w:rPr>
                <w:rFonts w:ascii="Arial" w:cs="Arial" w:eastAsia="Arial" w:hAnsi="Arial"/>
                <w:sz w:val="18"/>
                <w:szCs w:val="18"/>
                <w:color w:val="auto"/>
              </w:rPr>
              <w:t>13,416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Earnings per A and B share (2)</w:t>
            </w:r>
          </w:p>
        </w:tc>
        <w:tc>
          <w:tcPr>
            <w:tcW w:w="1180" w:type="dxa"/>
            <w:vAlign w:val="bottom"/>
          </w:tcPr>
          <w:p>
            <w:pPr>
              <w:jc w:val="right"/>
              <w:spacing w:after="0"/>
              <w:rPr>
                <w:sz w:val="20"/>
                <w:szCs w:val="20"/>
                <w:color w:val="auto"/>
              </w:rPr>
            </w:pPr>
            <w:r>
              <w:rPr>
                <w:rFonts w:ascii="Arial" w:cs="Arial" w:eastAsia="Arial" w:hAnsi="Arial"/>
                <w:sz w:val="18"/>
                <w:szCs w:val="18"/>
                <w:color w:val="auto"/>
              </w:rPr>
              <w:t>0.21</w:t>
            </w:r>
          </w:p>
        </w:tc>
        <w:tc>
          <w:tcPr>
            <w:tcW w:w="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earnings (2)(3)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Normalised earnings per A and B share (2)(3)</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9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available for distribution (2)(3)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for the three months ended March 31, 2008 relates to the time charter business of the Company only and excludes the results from the containerized transportation undertaken by the predecessor group.</w:t>
      </w: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Comparative data is not presented due to the significant changes to the legal and capital structure arising from the merger on August 14, 2008 resulting in the Company being listed on the New York Stock Exchange.</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Normalized net earnings, normalized earnings per share, and cash</w:t>
      </w:r>
    </w:p>
    <w:p>
      <w:pPr>
        <w:sectPr>
          <w:pgSz w:w="11900" w:h="16838" w:orient="portrait"/>
          <w:cols w:equalWidth="0" w:num="1">
            <w:col w:w="11420"/>
          </w:cols>
          <w:pgMar w:left="240" w:top="280" w:right="239" w:bottom="1440" w:gutter="0" w:footer="0" w:header="0"/>
        </w:sectPr>
      </w:pPr>
    </w:p>
    <w:bookmarkStart w:id="4" w:name="page5"/>
    <w:bookmarkEnd w:id="4"/>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for distribution are non-U.S. Generally Accepted Accounting Principles (US GAAP) measures, as explained further in this press release and a reconciliation is provided to the interim unaudited 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Revenue and Utilization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Global Ship Lease owned sixteen vessels throughout the first quarter of 2009. The fleet generated revenue from fixed rate long-term time charters of $35.0 million in the three months ended March 31, 2009, up significantly from time charter revenue of $21.8 million for the comparative period in 2008 due mainly to the purchase of four additional ships in December 2008. During the three months ended March 31, 2009 there were 34 unplanned off-hire days out of 1,440 ownership days, representing utilization of 98%. In the comparable period of 2008, there were 1,067 ownership days, with 15 planned off-hire days for a dry-docking and 4 unplanned days, representing utilization of 98%. There were 4,416 ownership days in the year ended December 31, 2008, with 15 planned off-hire days for a dry-docking and 30 unplanned days, representing utilization of 99%.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Vessel operating expenses, which include costs of crew, lubricating oil, spares and insurance, were $10.7 million for the three months ended March 31, 2009. Excluding $0.5 million nonrecurring insurance related charges in the period, the average cost per ownership day was $7,076, up 3% from the average daily cost of $6,873 for the previous quarter, and up 5% from the average daily cost of $6,714 for the comparative period in 2008. These increases were primarily due to higher crew costs in the intervening period and the incremental costs of the four larger vessels that joined the fleet in December 2008, including, for example, additional lubricating oil consumption. Vessel operating expenses include regular ship operating costs under Global Ship Lease’s ship management agreements and are at less than the capped amounts included in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Depreciation was $8.8 million for the three months ended March 31, 2009, including the effect of the purchase during December 2008 of four additional vessels.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$4.8 million for the time charter business in the comparative period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Costs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General and administrative costs incurred were $2.1 million in the first quarter of 2009 compared to $0.7 million in the comparable period in 2008 when the Company was a wholly-owned private subsidiary of CMA CGM.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interest expense, excluding the effect of interest rates derivatives, which do not qualify for hedge accounting, for the three months ended March 31, 2009 was $4.5 million based on the Company’s borrowings under its credit facility of $542.1 million and $48.0 million preferred shares throughout the quarter. Net interest expense in the comparative period in 2008 was $7.9 million based on borrowings of $578.0 million throughout the quarter at significantly higher prevailing interest rates.</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hedges the majority of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change in the fair value created a $2.3 million gain in the three months ended March 31, 2009, reflecting the increase in LIBOR and movements in the forward curve for interest rates. Of this amount, a $2.0 million charge represents settlements of swaps in the period, leaving a $4.3 million gain in the unrealized balance sheet position. Mark-to-market adjustments have no impact on operating performance or cash generation and do not affect the Company’s ability to make distributions to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Net Earnings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Normalized net earnings were $6.8 million, or $0.13 per Class A and B common share, for the quarter ended March 31, 2009 excluding the $4.3 million non-cash interest rate derivative mark-to-market gain.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Including non-cash charges, the Company reported net income of $11.2 million for the first quarter of 2009, or $0.21 per Class A and B common share.</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Normalized net earnings and normalized earnings per share are non-US GAAP measures and are reconciled to the interim unaudited financial information in this press release. We believe that they are useful measures with which to assess the Company’s financial performance as they adjust for non-cash non-operating items that do not affect the Company’s ability to make distributions on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April 29, 2009, due to current challenges in the ship valuation environment, Global Ship Lease agreed with its lenders under its amended $800.0 million credit agreement, to waive for two months the requirement under the credit facility to submit vessel valuations and undertake the consequent loan-to-value test. Valuations were otherwise due by April 30, 2009. The Company has commenced discussions with its lenders to finalize an amendment to the credit facility to address the situation. The facility will bear an interest margin of 2.75% over LIBOR during this waiver period.</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Management expects that an agreement will be reached with the Company’s lenders and, accordingly, the interim unaudited combined financial information have been prepared on a going concern basis. In the event that the Company does not successfully amend the facility agreement by June 30, 2009 or agree a further waiver of the need to perform loan to value tests, and its loan to value ratio is above 100%, the lenders may declare an event of default and accelerate some or all of the debt. Any amount of the long term debt which is declared to be immediately repayable will be reclassified as current.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Dividend</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Global Ship Lease has agreed with its lenders that it will not declare or pay any dividend to common shareholders during the waiver period noted above. The board of directors will review the dividend policy once an amendment to the credit facility has been agreed with the bank group.</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Available for Common Dividends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Cash available for common dividends was $15.3 million for the three months ended March 31, 2009. Cash available for common dividends is a non-US GAAP measure and is reconciled to the interim unaudited financial information further in this press release. We believe that it is a useful measure with which to assess the Company’s operating performance as it adjusts for the effect of non-cash items that do not affect the Company’s ability to make distributions on common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Fleet Utilization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table below shows vessel utilization for first quarter of 2009, the first quarter of 2008 and for the year ended December 31, 2008. Unplanned offhire for the first quarter of 2009 was 34 days, including 18 days for drydock and associated repair following a grounding and a seven day deviation to land a sick crew member.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1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Three months ended</w:t>
            </w: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Three months ended</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March 31, 2009</w:t>
            </w:r>
          </w:p>
        </w:tc>
        <w:tc>
          <w:tcPr>
            <w:tcW w:w="9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2008</w:t>
            </w:r>
          </w:p>
        </w:tc>
        <w:tc>
          <w:tcPr>
            <w:tcW w:w="9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Dec 31, 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1,440</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1,067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Planned offhire - scheduled drydock</w:t>
            </w:r>
          </w:p>
        </w:tc>
        <w:tc>
          <w:tcPr>
            <w:tcW w:w="21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Unplanned offhire - other</w:t>
            </w: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Operating days</w:t>
            </w: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920" w:type="dxa"/>
            <w:vAlign w:val="bottom"/>
          </w:tcPr>
          <w:p>
            <w:pPr>
              <w:spacing w:after="0"/>
              <w:rPr>
                <w:sz w:val="19"/>
                <w:szCs w:val="19"/>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1,047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97.6%</w:t>
            </w:r>
          </w:p>
        </w:tc>
        <w:tc>
          <w:tcPr>
            <w:tcW w:w="2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16 vessels all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Purchase Date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Capacity</w:t>
            </w:r>
          </w:p>
        </w:tc>
        <w:tc>
          <w:tcPr>
            <w:tcW w:w="3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Duration</w:t>
            </w:r>
          </w:p>
        </w:tc>
        <w:tc>
          <w:tcPr>
            <w:tcW w:w="16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5"/>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in TEUs (1)</w:t>
            </w:r>
          </w:p>
        </w:tc>
        <w:tc>
          <w:tcPr>
            <w:tcW w:w="32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Built</w:t>
            </w:r>
          </w:p>
        </w:tc>
        <w:tc>
          <w:tcPr>
            <w:tcW w:w="34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by GSL</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1997</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80" w:type="dxa"/>
            <w:vAlign w:val="bottom"/>
          </w:tcPr>
          <w:p>
            <w:pPr>
              <w:jc w:val="right"/>
              <w:spacing w:after="0"/>
              <w:rPr>
                <w:sz w:val="20"/>
                <w:szCs w:val="20"/>
                <w:color w:val="auto"/>
              </w:rPr>
            </w:pPr>
            <w:r>
              <w:rPr>
                <w:rFonts w:ascii="Arial" w:cs="Arial" w:eastAsia="Arial" w:hAnsi="Arial"/>
                <w:sz w:val="18"/>
                <w:szCs w:val="18"/>
                <w:color w:val="auto"/>
              </w:rPr>
              <w:t>4,113</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1996</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1999</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1999</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2003</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2002</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2002</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2002</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2001</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80" w:type="dxa"/>
            <w:vAlign w:val="bottom"/>
          </w:tcPr>
          <w:p>
            <w:pPr>
              <w:jc w:val="right"/>
              <w:spacing w:after="0"/>
              <w:rPr>
                <w:sz w:val="20"/>
                <w:szCs w:val="20"/>
                <w:color w:val="auto"/>
              </w:rPr>
            </w:pPr>
            <w:r>
              <w:rPr>
                <w:rFonts w:ascii="Arial" w:cs="Arial" w:eastAsia="Arial" w:hAnsi="Arial"/>
                <w:sz w:val="18"/>
                <w:szCs w:val="18"/>
                <w:color w:val="auto"/>
              </w:rPr>
              <w:t>2,272</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2001</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2007</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January 2008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CMA CGM Chateau d’lf</w:t>
            </w: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2007</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January 2008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2008</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2006</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6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2006</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December 2008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66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2006</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December 2008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Twenty-foot Equivalent Units.</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about the contracted fleet.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Estimated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Delivery</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Charter</w:t>
            </w:r>
          </w:p>
        </w:tc>
        <w:tc>
          <w:tcPr>
            <w:tcW w:w="18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Capacity</w:t>
            </w:r>
          </w:p>
        </w:tc>
        <w:tc>
          <w:tcPr>
            <w:tcW w:w="180" w:type="dxa"/>
            <w:vAlign w:val="bottom"/>
          </w:tcPr>
          <w:p>
            <w:pPr>
              <w:spacing w:after="0"/>
              <w:rPr>
                <w:sz w:val="12"/>
                <w:szCs w:val="12"/>
                <w:color w:val="auto"/>
              </w:rPr>
            </w:pPr>
          </w:p>
        </w:tc>
        <w:tc>
          <w:tcPr>
            <w:tcW w:w="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Date</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Duration</w:t>
            </w:r>
          </w:p>
        </w:tc>
        <w:tc>
          <w:tcPr>
            <w:tcW w:w="18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5"/>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in TEUs (1)</w:t>
            </w:r>
          </w:p>
        </w:tc>
        <w:tc>
          <w:tcPr>
            <w:tcW w:w="18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Built</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 GSL</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Charterer</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 (2)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6,627</w:t>
            </w:r>
          </w:p>
        </w:tc>
        <w:tc>
          <w:tcPr>
            <w:tcW w:w="8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4"/>
              </w:rPr>
              <w:t>2001</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July 2009</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CMA CGM</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Hull 789 (3)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4,250</w:t>
            </w: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84"/>
              </w:rPr>
              <w:t>2010</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October 2010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ZISS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 (4)</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790 (3)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4"/>
              </w:rPr>
              <w:t>2010</w:t>
            </w: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2010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ZISS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 (4)</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Twenty-foot Equivalent Units.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Contracted to be purchased from CMA CGM.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Contracted to be purchased from German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Seven-year charter that could be extended up to eight years at charterer’s option.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and Webcast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will hold a conference call to discuss the Company’s results for the quarter ended March 31, 2009 today Tuesday, May 19, 2009 at 11:00 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Eastern Time. There are two ways to access the conference call: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 Dial-in: (877) 719-9801 or (719) 325-4809; Passcode: 6904731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dial in at least 10 minutes prior to 11:00 a.m. Eastern Time to ensure a prompt start to the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If you are unable to participate at this time, a replay of the call will be available through Tuesday, June 2, 2009 at (888) 203-1112 or (719) 457-0820. Enter the code 6904731 to access the audio replay. The webcast will also be archived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About Global Ship Lease</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Global Ship Lease currently owns 16 vessels and has contracted to purchase an additional three vessels. The Company has a contract in place to purchase an additional vessel for $82 million from CMA CGM, which is expected to be delivered in July of 2009 and also has contracts in place to purchase two new buildings from German interests for approximately $77 million each which are scheduled to be delivered in the fourth quarter of 2010.</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Once all of the contracted vessels have been delivered by the end of 2010, Global Ship Lease will have a 19 vessel fleet with total capacity of 74,797 TEU and a weighted average age at that time of 6.1 years and an average remaining charter term of approximately eight years. All of the vessels including those contracted for future delivery are fixed on long-term charters.</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Reconciliation of Non-U.S. GAAP 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Cash Available for Common Dividends</w:t>
      </w:r>
    </w:p>
    <w:p>
      <w:pPr>
        <w:spacing w:after="0" w:line="9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Cash available for common dividends is a non-US GAAP measure and is reconciled to the interim unaudited financial information below. It represents net earnings adjusted for non-cash items including depreciation, amortization of deferred financing charges, accretion of earnings for intangible liabilities, charge for equity based incentive awards and change in fair value of derivatives. An allowance for the cost of future drydockings is also deducted, which due to their substantial and periodic nature could otherwise distort quarterly cashflow available for common dividends. Cash available for common dividends is a non-</w:t>
      </w:r>
    </w:p>
    <w:p>
      <w:pPr>
        <w:spacing w:after="0" w:line="3"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US GAAP quantitative measure used to assist in the assessment of the Company’s ability to pay common dividends. Cash available for common dividends is not defined in accounting principles generally accepted in the United States and should not be considered to be an alternate to net earnings or any other financial metric required by such accounting principles. We believe that cash available for common dividends is a useful measure with which to assess the Company’s operating performance as it adjusts for the effects of non-cash items that do not affect the Company’s ability to make distributions on common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AVAILABLE FOR COMMON DIVIDENDS -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Three months ended</w:t>
            </w:r>
          </w:p>
        </w:tc>
        <w:tc>
          <w:tcPr>
            <w:tcW w:w="0" w:type="dxa"/>
            <w:vAlign w:val="bottom"/>
          </w:tcPr>
          <w:p>
            <w:pPr>
              <w:spacing w:after="0"/>
              <w:rPr>
                <w:sz w:val="1"/>
                <w:szCs w:val="1"/>
                <w:color w:val="auto"/>
              </w:rPr>
            </w:pPr>
          </w:p>
        </w:tc>
      </w:tr>
      <w:tr>
        <w:trPr>
          <w:trHeight w:val="161"/>
        </w:trPr>
        <w:tc>
          <w:tcPr>
            <w:tcW w:w="10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142"/>
        </w:trPr>
        <w:tc>
          <w:tcPr>
            <w:tcW w:w="10160" w:type="dxa"/>
            <w:vAlign w:val="bottom"/>
            <w:gridSpan w:val="3"/>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w:t>
            </w:r>
          </w:p>
        </w:tc>
        <w:tc>
          <w:tcPr>
            <w:tcW w:w="9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Add:</w:t>
            </w:r>
          </w:p>
        </w:tc>
        <w:tc>
          <w:tcPr>
            <w:tcW w:w="9300" w:type="dxa"/>
            <w:vAlign w:val="bottom"/>
          </w:tcPr>
          <w:p>
            <w:pPr>
              <w:ind w:left="60"/>
              <w:spacing w:after="0"/>
              <w:rPr>
                <w:sz w:val="20"/>
                <w:szCs w:val="20"/>
                <w:color w:val="auto"/>
              </w:rPr>
            </w:pPr>
            <w:r>
              <w:rPr>
                <w:rFonts w:ascii="Arial" w:cs="Arial" w:eastAsia="Arial" w:hAnsi="Arial"/>
                <w:sz w:val="18"/>
                <w:szCs w:val="18"/>
                <w:color w:val="auto"/>
              </w:rPr>
              <w:t>Depreciation</w:t>
            </w:r>
          </w:p>
        </w:tc>
        <w:tc>
          <w:tcPr>
            <w:tcW w:w="1200" w:type="dxa"/>
            <w:vAlign w:val="bottom"/>
          </w:tcPr>
          <w:p>
            <w:pPr>
              <w:jc w:val="right"/>
              <w:spacing w:after="0"/>
              <w:rPr>
                <w:sz w:val="20"/>
                <w:szCs w:val="20"/>
                <w:color w:val="auto"/>
              </w:rPr>
            </w:pPr>
            <w:r>
              <w:rPr>
                <w:rFonts w:ascii="Arial" w:cs="Arial" w:eastAsia="Arial" w:hAnsi="Arial"/>
                <w:sz w:val="18"/>
                <w:szCs w:val="18"/>
                <w:color w:val="auto"/>
              </w:rPr>
              <w:t>8,786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Charge for equity incentive awards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00" w:type="dxa"/>
            <w:vAlign w:val="bottom"/>
          </w:tcPr>
          <w:p>
            <w:pPr>
              <w:ind w:left="60"/>
              <w:spacing w:after="0"/>
              <w:rPr>
                <w:sz w:val="20"/>
                <w:szCs w:val="20"/>
                <w:color w:val="auto"/>
              </w:rPr>
            </w:pPr>
            <w:r>
              <w:rPr>
                <w:rFonts w:ascii="Arial" w:cs="Arial" w:eastAsia="Arial" w:hAnsi="Arial"/>
                <w:sz w:val="18"/>
                <w:szCs w:val="18"/>
                <w:color w:val="auto"/>
              </w:rPr>
              <w:t>Amortization of deferred financing fees</w:t>
            </w: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9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in value of derivatives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00" w:type="dxa"/>
            <w:vAlign w:val="bottom"/>
          </w:tcPr>
          <w:p>
            <w:pPr>
              <w:ind w:left="60"/>
              <w:spacing w:after="0"/>
              <w:rPr>
                <w:sz w:val="20"/>
                <w:szCs w:val="20"/>
                <w:color w:val="auto"/>
              </w:rPr>
            </w:pPr>
            <w:r>
              <w:rPr>
                <w:rFonts w:ascii="Arial" w:cs="Arial" w:eastAsia="Arial" w:hAnsi="Arial"/>
                <w:sz w:val="18"/>
                <w:szCs w:val="18"/>
                <w:color w:val="auto"/>
              </w:rPr>
              <w:t>Allowance for future dry-docks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 accretion for intangible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00" w:type="dxa"/>
            <w:vAlign w:val="bottom"/>
          </w:tcPr>
          <w:p>
            <w:pPr>
              <w:ind w:left="60"/>
              <w:spacing w:after="0"/>
              <w:rPr>
                <w:sz w:val="20"/>
                <w:szCs w:val="20"/>
                <w:color w:val="auto"/>
              </w:rPr>
            </w:pPr>
            <w:r>
              <w:rPr>
                <w:rFonts w:ascii="Arial" w:cs="Arial" w:eastAsia="Arial" w:hAnsi="Arial"/>
                <w:sz w:val="18"/>
                <w:szCs w:val="18"/>
                <w:color w:val="auto"/>
              </w:rPr>
              <w:t>Deferred taxation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available for common dividends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earnings</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Normalized net earnings is a non-US GAAP measure and is reconciled to the interim unaudited financial information below. It represents net earnings adjusted for the change in fair value of derivatives. Normalized net earnings is a non-GAAP quantitative measure which we believe will assist investors and analysts who often adjust reported net earnings for non-operating items such as change in fair value of derivatives to eliminate the effect of non</w:t>
      </w:r>
    </w:p>
    <w:p>
      <w:pPr>
        <w:sectPr>
          <w:pgSz w:w="11900" w:h="16838" w:orient="portrait"/>
          <w:cols w:equalWidth="0" w:num="1">
            <w:col w:w="11420"/>
          </w:cols>
          <w:pgMar w:left="240" w:top="280" w:right="239" w:bottom="1440" w:gutter="0" w:footer="0" w:header="0"/>
        </w:sectPr>
      </w:pPr>
    </w:p>
    <w:bookmarkStart w:id="9" w:name="page10"/>
    <w:bookmarkEnd w:id="9"/>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non-operating items that do not affect operating performance or cash for distribution as dividends. Normalized net earnings is not defined in accounting principles generally accepted in the United States and should not be considered to be an alternate to net earnings or any other financial metric required by such accounting principles. Normalized net earnings per share is calculated based on normalized net earnings and the weighted average number of shares in the relevant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NORMALIZED NET EARNINGS -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Three months ended</w:t>
            </w:r>
          </w:p>
        </w:tc>
        <w:tc>
          <w:tcPr>
            <w:tcW w:w="0" w:type="dxa"/>
            <w:vAlign w:val="bottom"/>
          </w:tcPr>
          <w:p>
            <w:pPr>
              <w:spacing w:after="0"/>
              <w:rPr>
                <w:sz w:val="1"/>
                <w:szCs w:val="1"/>
                <w:color w:val="auto"/>
              </w:rPr>
            </w:pPr>
          </w:p>
        </w:tc>
      </w:t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 except share and per share data)</w:t>
            </w:r>
          </w:p>
        </w:tc>
        <w:tc>
          <w:tcPr>
            <w:tcW w:w="546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54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Adjust:</w:t>
            </w:r>
          </w:p>
        </w:tc>
        <w:tc>
          <w:tcPr>
            <w:tcW w:w="546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earnings</w:t>
            </w:r>
          </w:p>
        </w:tc>
        <w:tc>
          <w:tcPr>
            <w:tcW w:w="546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number of Class A and B common shares</w:t>
            </w:r>
          </w:p>
        </w:tc>
        <w:tc>
          <w:tcPr>
            <w:tcW w:w="5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00" w:type="dxa"/>
            <w:vAlign w:val="bottom"/>
            <w:gridSpan w:val="2"/>
            <w:vMerge w:val="continue"/>
          </w:tcPr>
          <w:p>
            <w:pPr>
              <w:spacing w:after="0"/>
              <w:rPr>
                <w:sz w:val="17"/>
                <w:szCs w:val="17"/>
                <w:color w:val="auto"/>
              </w:rPr>
            </w:pPr>
          </w:p>
        </w:tc>
        <w:tc>
          <w:tcPr>
            <w:tcW w:w="5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outstanding (1)</w:t>
            </w:r>
          </w:p>
        </w:tc>
        <w:tc>
          <w:tcPr>
            <w:tcW w:w="5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and diluted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53,786,150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 per share on reported earnings</w:t>
            </w:r>
          </w:p>
        </w:tc>
        <w:tc>
          <w:tcPr>
            <w:tcW w:w="5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and diluted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Normalized net income per share</w:t>
            </w:r>
          </w:p>
        </w:tc>
        <w:tc>
          <w:tcPr>
            <w:tcW w:w="5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and diluted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number of shares (basic and diluted) excludes the effect of outstanding warrants and stock based incentive awards as these were anti dilutive at March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460" w:right="8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the strength of the future growth of the shipping industry, including the rate of annual demand growth in the international containership industry;</w:t>
      </w:r>
    </w:p>
    <w:p>
      <w:pPr>
        <w:sectPr>
          <w:pgSz w:w="11900" w:h="16838" w:orient="portrait"/>
          <w:cols w:equalWidth="0" w:num="1">
            <w:col w:w="11420"/>
          </w:cols>
          <w:pgMar w:left="240" w:top="280" w:right="239" w:bottom="1440" w:gutter="0" w:footer="0" w:header="0"/>
        </w:sectPr>
      </w:pPr>
    </w:p>
    <w:bookmarkStart w:id="10" w:name="page11"/>
    <w:bookmarkEnd w:id="10"/>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future payments of dividends and the availability of cash for payment of dividends;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repay its credit facility and grow using the available funds under its credit facility;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the rate of growth of global and various regional economies;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incidental to vessel operation, including discharge of pollutants and vessel collisions;</w:t>
      </w:r>
    </w:p>
    <w:p>
      <w:pPr>
        <w:spacing w:after="0" w:line="9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financing in the future to fund capital expenditures, acquisitions and other general corporate activities;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Global Ship Lease’s expectations about the availability of ships to purchase, the time that it may take to construct new ships, or the useful lives of its ships;</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long-term, fixed-rate charters;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laws and regulations;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w:t>
      </w:r>
    </w:p>
    <w:p>
      <w:pPr>
        <w:sectPr>
          <w:pgSz w:w="11900" w:h="16838" w:orient="portrait"/>
          <w:cols w:equalWidth="0" w:num="1">
            <w:col w:w="11360"/>
          </w:cols>
          <w:pgMar w:left="240" w:top="280" w:right="299" w:bottom="1440" w:gutter="0" w:footer="0" w:header="0"/>
        </w:sectPr>
      </w:pPr>
    </w:p>
    <w:bookmarkStart w:id="11" w:name="page12"/>
    <w:bookmarkEnd w:id="1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 risks Global Ship Lease describes in the reports it will file from time to time with the SEC after the date of this communication.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Unaudited Combined Balance Sheets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interim unaudited combined financial information up to March 31, 2009 includes two distinct reporting periods (i) before August 15, 2008 (“Predecessor”) and (ii) from August 15, 2008 (“Successor”), which relate to the period preceding the merger with Marathon Acquisition Corp and the period succeeding the merger,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Accounts receivable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receivables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32,127</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898,048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Vessel deposits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Intangible assets - purchase agreement</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927,254</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933,608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959,381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Intangible liability - charter agreements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Accrued expenses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18,382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542,100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Preferred shares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25,782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30,580</w:t>
            </w:r>
          </w:p>
        </w:tc>
        <w:tc>
          <w:tcPr>
            <w:tcW w:w="680" w:type="dxa"/>
            <w:vAlign w:val="bottom"/>
          </w:tcPr>
          <w:p>
            <w:pPr>
              <w:jc w:val="right"/>
              <w:spacing w:after="0"/>
              <w:rPr>
                <w:sz w:val="20"/>
                <w:szCs w:val="20"/>
                <w:color w:val="auto"/>
              </w:rPr>
            </w:pPr>
            <w:r>
              <w:rPr>
                <w:rFonts w:ascii="Arial" w:cs="Arial" w:eastAsia="Arial" w:hAnsi="Arial"/>
                <w:sz w:val="18"/>
                <w:szCs w:val="18"/>
                <w:color w:val="auto"/>
              </w:rPr>
              <w:t>36,101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7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646,462</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664,844</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671,569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214,000,000 shares with a $.01 par value;</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46,380,194 shares issued and outstanding</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464</w:t>
            </w: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20,000,000 shares with a $.01 par value;</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7,405,956 shares issued and outstanding</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Class C Common stock - authorized</w:t>
            </w: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15,000,000 shares with a $.01 par value;</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12,375,000 shares issued, converted to class A common shares on January 1, 2009</w:t>
            </w:r>
          </w:p>
        </w:tc>
        <w:tc>
          <w:tcPr>
            <w:tcW w:w="17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2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(65,679)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11,153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348,525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294,537</w:t>
            </w:r>
          </w:p>
        </w:tc>
        <w:tc>
          <w:tcPr>
            <w:tcW w:w="680" w:type="dxa"/>
            <w:vAlign w:val="bottom"/>
          </w:tcPr>
          <w:p>
            <w:pPr>
              <w:jc w:val="right"/>
              <w:spacing w:after="0"/>
              <w:rPr>
                <w:sz w:val="20"/>
                <w:szCs w:val="20"/>
                <w:color w:val="auto"/>
              </w:rPr>
            </w:pPr>
            <w:r>
              <w:rPr>
                <w:rFonts w:ascii="Arial" w:cs="Arial" w:eastAsia="Arial" w:hAnsi="Arial"/>
                <w:sz w:val="18"/>
                <w:szCs w:val="18"/>
                <w:color w:val="auto"/>
              </w:rPr>
              <w:t>295,039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959,381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966,608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Unaudited Combined Statements of Income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interim unaudited combined financial information up to March 31, 2009 includes two distinct reporting periods (i) before August 15, 2008 (“Predecessor”) and (ii) from August 15, 2008 (“Successor”), which relate to the period preceding the merger with Marathon Acquisition Corp and the period succeeding the merger,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37"/>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4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Voyage revenue</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3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35,008</w:t>
            </w: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35,008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54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Voyage expenses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10,722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8,786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21,592</w:t>
            </w: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15,311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320" w:type="dxa"/>
            <w:vAlign w:val="bottom"/>
            <w:gridSpan w:val="2"/>
          </w:tcPr>
          <w:p>
            <w:pPr>
              <w:spacing w:after="0"/>
              <w:rPr>
                <w:sz w:val="20"/>
                <w:szCs w:val="20"/>
                <w:color w:val="auto"/>
              </w:rPr>
            </w:pPr>
            <w:r>
              <w:rPr>
                <w:rFonts w:ascii="Arial" w:cs="Arial" w:eastAsia="Arial" w:hAnsi="Arial"/>
                <w:sz w:val="18"/>
                <w:szCs w:val="18"/>
                <w:color w:val="auto"/>
              </w:rPr>
              <w:t>Non Operating Income (Expense)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(4,654)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4"/>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11,179</w:t>
            </w: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8"/>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11,153</w:t>
            </w: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 per share in $ per share basic and diluted</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46,380,194</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Unaudited Combined Statements of Cash Flows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interim unaudited combined financial information up to March 31, 2009 includes two distinct reporting periods (i) before August 15, 2008 (“Predecessor”) and (ii) from August 15, 2008 (“Successor”), which relate to the period preceding the merger with Marathon Acquisition Corp and the period succeeding the merger,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40"/>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Successor</w:t>
            </w:r>
          </w:p>
        </w:tc>
        <w:tc>
          <w:tcPr>
            <w:tcW w:w="3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  11,153</w:t>
            </w:r>
          </w:p>
        </w:tc>
        <w:tc>
          <w:tcPr>
            <w:tcW w:w="36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jc w:val="right"/>
              <w:spacing w:after="0"/>
              <w:rPr>
                <w:sz w:val="20"/>
                <w:szCs w:val="20"/>
                <w:color w:val="auto"/>
              </w:rPr>
            </w:pPr>
            <w:r>
              <w:rPr>
                <w:rFonts w:ascii="Arial" w:cs="Arial" w:eastAsia="Arial" w:hAnsi="Arial"/>
                <w:sz w:val="18"/>
                <w:szCs w:val="18"/>
                <w:color w:val="auto"/>
              </w:rPr>
              <w:t>8,786</w:t>
            </w: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Intangible liability amortization</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(Decrease) in amounts payable and other liabilities</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Periodic costs relating to drydocks</w:t>
            </w: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8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17,298</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paid for purchases of vessels and vessel prepayments</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8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4"/>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Borders>
              <w:top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Issuance costs of debt</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(12,371)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98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8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9"/>
              </w:rPr>
              <w:t>(15,664)</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98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Net(Decrease)/ Increase in Cash and Cash Equivalents</w:t>
            </w: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start of Period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26,363</w:t>
            </w:r>
          </w:p>
        </w:tc>
        <w:tc>
          <w:tcPr>
            <w:tcW w:w="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9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25,383</w:t>
            </w:r>
          </w:p>
        </w:tc>
        <w:tc>
          <w:tcPr>
            <w:tcW w:w="2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Global Ship Lease, Inc.</w:t>
            </w: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Segments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Segment information reported below has been prepared on the same basis that it is reported internally to the Company’s chief operating decision maker. The Company operated under two business models from which it derives its revenues reported within this summary financial information: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ectPr>
          <w:pgSz w:w="11900" w:h="16838" w:orient="portrait"/>
          <w:cols w:equalWidth="0" w:num="1">
            <w:col w:w="11420"/>
          </w:cols>
          <w:pgMar w:left="240" w:top="288" w:right="239" w:bottom="1440" w:gutter="0" w:footer="0" w:header="0"/>
        </w:sectPr>
      </w:pPr>
    </w:p>
    <w:bookmarkStart w:id="15" w:name="page16"/>
    <w:bookmarkEnd w:id="1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“Adjustment” column in the table below includes the elimination of the containerized transportation activity performed by the predecessor up to March 31,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2009 and 2008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3240" w:type="dxa"/>
            <w:vAlign w:val="bottom"/>
            <w:gridSpan w:val="12"/>
          </w:tcPr>
          <w:p>
            <w:pPr>
              <w:jc w:val="right"/>
              <w:ind w:right="420"/>
              <w:spacing w:after="0"/>
              <w:rPr>
                <w:sz w:val="20"/>
                <w:szCs w:val="20"/>
                <w:color w:val="auto"/>
              </w:rPr>
            </w:pPr>
            <w:r>
              <w:rPr>
                <w:rFonts w:ascii="Arial" w:cs="Arial" w:eastAsia="Arial" w:hAnsi="Arial"/>
                <w:sz w:val="14"/>
                <w:szCs w:val="14"/>
                <w:b w:val="1"/>
                <w:bCs w:val="1"/>
                <w:color w:val="auto"/>
                <w:w w:val="99"/>
              </w:rPr>
              <w:t>Three months ended March 31 (unaudited)</w:t>
            </w:r>
          </w:p>
        </w:tc>
        <w:tc>
          <w:tcPr>
            <w:tcW w:w="0" w:type="dxa"/>
            <w:vAlign w:val="bottom"/>
          </w:tcPr>
          <w:p>
            <w:pPr>
              <w:spacing w:after="0"/>
              <w:rPr>
                <w:sz w:val="1"/>
                <w:szCs w:val="1"/>
                <w:color w:val="auto"/>
              </w:rPr>
            </w:pPr>
          </w:p>
        </w:tc>
      </w:tr>
      <w:tr>
        <w:trPr>
          <w:trHeight w:val="142"/>
        </w:trPr>
        <w:tc>
          <w:tcPr>
            <w:tcW w:w="8180" w:type="dxa"/>
            <w:vAlign w:val="bottom"/>
            <w:gridSpan w:val="2"/>
            <w:vMerge w:val="continue"/>
          </w:tcPr>
          <w:p>
            <w:pPr>
              <w:spacing w:after="0"/>
              <w:rPr>
                <w:sz w:val="12"/>
                <w:szCs w:val="12"/>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Successor</w:t>
            </w:r>
          </w:p>
        </w:tc>
        <w:tc>
          <w:tcPr>
            <w:tcW w:w="8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Time</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Charter</w:t>
            </w:r>
          </w:p>
        </w:tc>
        <w:tc>
          <w:tcPr>
            <w:tcW w:w="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Adjustment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35,008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21,822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8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10,722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2,140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8180" w:type="dxa"/>
            <w:vAlign w:val="bottom"/>
            <w:gridSpan w:val="2"/>
          </w:tcPr>
          <w:p>
            <w:pPr>
              <w:spacing w:after="0"/>
              <w:rPr>
                <w:sz w:val="20"/>
                <w:szCs w:val="20"/>
                <w:color w:val="auto"/>
              </w:rPr>
            </w:pPr>
            <w:r>
              <w:rPr>
                <w:rFonts w:ascii="Arial" w:cs="Arial" w:eastAsia="Arial" w:hAnsi="Arial"/>
                <w:sz w:val="18"/>
                <w:szCs w:val="18"/>
                <w:color w:val="auto"/>
              </w:rPr>
              <w:t>Total operating expense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21,592</w:t>
            </w: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12,588</w:t>
            </w:r>
          </w:p>
        </w:tc>
        <w:tc>
          <w:tcPr>
            <w:tcW w:w="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15,311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Realized and unrealized gain on derivatives</w:t>
            </w:r>
          </w:p>
        </w:tc>
        <w:tc>
          <w:tcPr>
            <w:tcW w:w="580" w:type="dxa"/>
            <w:vAlign w:val="bottom"/>
          </w:tcPr>
          <w:p>
            <w:pPr>
              <w:jc w:val="right"/>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818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UNAUDITED COMBINED FINANCIAL STATEMENTS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 PERIOD ENDED MARCH 31, 2009</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20"/>
          </w:cols>
          <w:pgMar w:left="14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Note</w:t>
            </w:r>
          </w:p>
        </w:tc>
        <w:tc>
          <w:tcPr>
            <w:tcW w:w="34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Accounts receivable</w:t>
            </w: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receivables</w:t>
            </w: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32,127</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898,048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Vessel deposits</w:t>
            </w: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89"/>
              </w:rPr>
              <w:t>Intangible assets – purchase agreement</w:t>
            </w: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927,254</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933,608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959,381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Liabilities and Stockholders’ Equity</w:t>
            </w: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gridSpan w:val="2"/>
            <w:vMerge w:val="continue"/>
          </w:tcPr>
          <w:p>
            <w:pPr>
              <w:spacing w:after="0"/>
              <w:rPr>
                <w:sz w:val="18"/>
                <w:szCs w:val="18"/>
                <w:color w:val="auto"/>
              </w:rPr>
            </w:pP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20" w:type="dxa"/>
            <w:vAlign w:val="bottom"/>
            <w:gridSpan w:val="2"/>
          </w:tcPr>
          <w:p>
            <w:pPr>
              <w:spacing w:after="0"/>
              <w:rPr>
                <w:sz w:val="20"/>
                <w:szCs w:val="20"/>
                <w:color w:val="auto"/>
              </w:rPr>
            </w:pPr>
            <w:r>
              <w:rPr>
                <w:rFonts w:ascii="Arial" w:cs="Arial" w:eastAsia="Arial" w:hAnsi="Arial"/>
                <w:sz w:val="18"/>
                <w:szCs w:val="18"/>
                <w:color w:val="auto"/>
                <w:w w:val="92"/>
              </w:rPr>
              <w:t>Intangible liability – charter agreements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Accrued expenses</w:t>
            </w: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18,382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19,020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542,100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Preferred shares</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3"/>
              </w:rPr>
              <w:t>Intangible liability - charter agreements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30,580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646,462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20" w:type="dxa"/>
            <w:vAlign w:val="bottom"/>
            <w:gridSpan w:val="2"/>
            <w:vMerge w:val="continue"/>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664,844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671,569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360" w:type="dxa"/>
            <w:vAlign w:val="bottom"/>
            <w:gridSpan w:val="2"/>
          </w:tcPr>
          <w:p>
            <w:pPr>
              <w:jc w:val="right"/>
              <w:ind w:right="812"/>
              <w:spacing w:after="0"/>
              <w:rPr>
                <w:sz w:val="20"/>
                <w:szCs w:val="20"/>
                <w:color w:val="auto"/>
              </w:rPr>
            </w:pPr>
            <w:r>
              <w:rPr>
                <w:rFonts w:ascii="Arial" w:cs="Arial" w:eastAsia="Arial" w:hAnsi="Arial"/>
                <w:sz w:val="18"/>
                <w:szCs w:val="18"/>
                <w:color w:val="auto"/>
                <w:w w:val="89"/>
              </w:rPr>
              <w:t>See accompanying notes to interim unaudited combined financial statements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360" w:type="dxa"/>
            <w:vAlign w:val="bottom"/>
            <w:gridSpan w:val="2"/>
          </w:tcPr>
          <w:p>
            <w:pPr>
              <w:jc w:val="right"/>
              <w:ind w:right="3252"/>
              <w:spacing w:after="0"/>
              <w:rPr>
                <w:sz w:val="20"/>
                <w:szCs w:val="20"/>
                <w:color w:val="auto"/>
              </w:rPr>
            </w:pPr>
            <w:r>
              <w:rPr>
                <w:rFonts w:ascii="Arial" w:cs="Arial" w:eastAsia="Arial" w:hAnsi="Arial"/>
                <w:sz w:val="18"/>
                <w:szCs w:val="18"/>
                <w:color w:val="auto"/>
              </w:rPr>
              <w:t>Page 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Balance Sheets (continued)</w:t>
      </w:r>
    </w:p>
    <w:p>
      <w:pPr>
        <w:spacing w:after="0" w:line="15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left="75"/>
              <w:spacing w:after="0" w:line="149"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2"/>
                <w:szCs w:val="12"/>
                <w:color w:val="auto"/>
              </w:rPr>
            </w:pPr>
          </w:p>
        </w:tc>
        <w:tc>
          <w:tcPr>
            <w:tcW w:w="980" w:type="dxa"/>
            <w:vAlign w:val="bottom"/>
            <w:gridSpan w:val="2"/>
          </w:tcPr>
          <w:p>
            <w:pPr>
              <w:jc w:val="center"/>
              <w:ind w:left="75"/>
              <w:spacing w:after="0" w:line="149"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44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214,000,000 shares with a $.01 par value;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46,380,194 shares issued and outstanding</w:t>
            </w:r>
          </w:p>
        </w:tc>
        <w:tc>
          <w:tcPr>
            <w:tcW w:w="186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20,000,000 shares with a $.01 par value;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7,405,956 shares issued and outstanding</w:t>
            </w:r>
          </w:p>
        </w:tc>
        <w:tc>
          <w:tcPr>
            <w:tcW w:w="1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Class C Common stock - authorized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15,000,000 shares with a $.01 par value;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12,375,000 shares issued, converted to class A common shares on January 1, 2009</w:t>
            </w:r>
          </w:p>
        </w:tc>
        <w:tc>
          <w:tcPr>
            <w:tcW w:w="186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(65,679)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11,153</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294,537</w:t>
            </w: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295,039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959,381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966,608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2009</w:t>
            </w: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Note</w:t>
            </w: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Successor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Voyage revenue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35,008</w:t>
            </w: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35,008</w:t>
            </w:r>
          </w:p>
        </w:tc>
        <w:tc>
          <w:tcPr>
            <w:tcW w:w="4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Voyage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10,722</w:t>
            </w: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Depreciation</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8,786</w:t>
            </w: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21,592</w:t>
            </w: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13,416</w:t>
            </w:r>
          </w:p>
        </w:tc>
        <w:tc>
          <w:tcPr>
            <w:tcW w:w="4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2,275</w:t>
            </w: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11,179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8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11,153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jc w:val="center"/>
              <w:ind w:left="2892"/>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0" w:type="dxa"/>
            <w:vAlign w:val="bottom"/>
          </w:tcPr>
          <w:p>
            <w:pPr>
              <w:jc w:val="center"/>
              <w:ind w:left="2912"/>
              <w:spacing w:after="0"/>
              <w:rPr>
                <w:sz w:val="20"/>
                <w:szCs w:val="20"/>
                <w:color w:val="auto"/>
              </w:rPr>
            </w:pPr>
            <w:r>
              <w:rPr>
                <w:rFonts w:ascii="Arial" w:cs="Arial" w:eastAsia="Arial" w:hAnsi="Arial"/>
                <w:sz w:val="18"/>
                <w:szCs w:val="18"/>
                <w:color w:val="auto"/>
                <w:w w:val="84"/>
              </w:rPr>
              <w:t>Page 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Income (continued)</w:t>
      </w:r>
    </w:p>
    <w:p>
      <w:pPr>
        <w:spacing w:after="0" w:line="15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Successor</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6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 per share in $ per share basic and diluted</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 Basic and diluted</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46,380,194</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7"/>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 in $ per share amount Basic and diluted</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0.23</w:t>
            </w:r>
          </w:p>
        </w:tc>
        <w:tc>
          <w:tcPr>
            <w:tcW w:w="4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 Basic and diluted</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7,405,956</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9"/>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 in $ per share amount Basic and diluted</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640" w:type="dxa"/>
            <w:vAlign w:val="bottom"/>
            <w:gridSpan w:val="4"/>
          </w:tcPr>
          <w:p>
            <w:pPr>
              <w:jc w:val="center"/>
              <w:ind w:left="2652"/>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60" w:type="dxa"/>
            <w:vAlign w:val="bottom"/>
          </w:tcPr>
          <w:p>
            <w:pPr>
              <w:jc w:val="center"/>
              <w:ind w:left="4252"/>
              <w:spacing w:after="0"/>
              <w:rPr>
                <w:sz w:val="20"/>
                <w:szCs w:val="20"/>
                <w:color w:val="auto"/>
              </w:rPr>
            </w:pPr>
            <w:r>
              <w:rPr>
                <w:rFonts w:ascii="Arial" w:cs="Arial" w:eastAsia="Arial" w:hAnsi="Arial"/>
                <w:sz w:val="18"/>
                <w:szCs w:val="18"/>
                <w:color w:val="auto"/>
                <w:w w:val="84"/>
              </w:rPr>
              <w:t>Page 5</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6"/>
              </w:rPr>
              <w:t>Note</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Successor</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$ 11,153</w:t>
            </w:r>
          </w:p>
        </w:tc>
        <w:tc>
          <w:tcPr>
            <w:tcW w:w="360" w:type="dxa"/>
            <w:vAlign w:val="bottom"/>
            <w:tcBorders>
              <w:right w:val="single" w:sz="8" w:color="auto"/>
            </w:tcBorders>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8,786</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(4,309)</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amortization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8660" w:type="dxa"/>
            <w:vAlign w:val="bottom"/>
            <w:gridSpan w:val="2"/>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(Decrease) in amounts payable and other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Decrease in inventories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Periodic costs relating to drydocks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17,298</w:t>
            </w: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8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(2,034)</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and vessel prepayments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(2,614)</w:t>
            </w: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8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(3,293)</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Dividend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(12,371)</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(Decrease) in amount due to CMA CGM</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(15,664)</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26,363</w:t>
            </w:r>
          </w:p>
        </w:tc>
        <w:tc>
          <w:tcPr>
            <w:tcW w:w="3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25,383</w:t>
            </w: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5460"/>
              <w:spacing w:after="0"/>
              <w:rPr>
                <w:sz w:val="20"/>
                <w:szCs w:val="20"/>
                <w:color w:val="auto"/>
              </w:rPr>
            </w:pPr>
            <w:r>
              <w:rPr>
                <w:rFonts w:ascii="Arial" w:cs="Arial" w:eastAsia="Arial" w:hAnsi="Arial"/>
                <w:sz w:val="18"/>
                <w:szCs w:val="18"/>
                <w:color w:val="auto"/>
              </w:rPr>
              <w:t>Page 6</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Cash Flows (continued)</w:t>
      </w:r>
    </w:p>
    <w:p>
      <w:pPr>
        <w:spacing w:after="0" w:line="15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0"/>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Note</w:t>
            </w: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7"/>
              </w:rPr>
              <w:t>Successor</w:t>
            </w:r>
          </w:p>
        </w:tc>
        <w:tc>
          <w:tcPr>
            <w:tcW w:w="6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840" w:type="dxa"/>
            <w:vAlign w:val="bottom"/>
            <w:gridSpan w:val="3"/>
          </w:tcPr>
          <w:p>
            <w:pPr>
              <w:spacing w:after="0"/>
              <w:rPr>
                <w:sz w:val="20"/>
                <w:szCs w:val="20"/>
                <w:color w:val="auto"/>
              </w:rPr>
            </w:pPr>
            <w:r>
              <w:rPr>
                <w:rFonts w:ascii="Arial" w:cs="Arial" w:eastAsia="Arial" w:hAnsi="Arial"/>
                <w:sz w:val="18"/>
                <w:szCs w:val="18"/>
                <w:color w:val="auto"/>
              </w:rPr>
              <w:t>Non cash investing and financing activities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3,764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Tonnage tax paid during period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2"/>
            <w:vMerge w:val="restart"/>
          </w:tcPr>
          <w:p>
            <w:pPr>
              <w:jc w:val="center"/>
              <w:ind w:left="2472"/>
              <w:spacing w:after="0"/>
              <w:rPr>
                <w:sz w:val="20"/>
                <w:szCs w:val="20"/>
                <w:color w:val="auto"/>
              </w:rPr>
            </w:pPr>
            <w:r>
              <w:rPr>
                <w:rFonts w:ascii="Arial" w:cs="Arial" w:eastAsia="Arial" w:hAnsi="Arial"/>
                <w:sz w:val="18"/>
                <w:szCs w:val="18"/>
                <w:color w:val="auto"/>
                <w:w w:val="87"/>
              </w:rPr>
              <w:t>See accompanying notes to interim unaudited combined financial statements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20" w:type="dxa"/>
            <w:vAlign w:val="bottom"/>
            <w:gridSpan w:val="2"/>
          </w:tcPr>
          <w:p>
            <w:pPr>
              <w:jc w:val="center"/>
              <w:ind w:left="2492"/>
              <w:spacing w:after="0"/>
              <w:rPr>
                <w:sz w:val="20"/>
                <w:szCs w:val="20"/>
                <w:color w:val="auto"/>
              </w:rPr>
            </w:pPr>
            <w:r>
              <w:rPr>
                <w:rFonts w:ascii="Arial" w:cs="Arial" w:eastAsia="Arial" w:hAnsi="Arial"/>
                <w:sz w:val="18"/>
                <w:szCs w:val="18"/>
                <w:color w:val="auto"/>
                <w:w w:val="84"/>
              </w:rPr>
              <w:t>Page 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Combined Statements of Stockholders’ Equity</w:t>
      </w:r>
    </w:p>
    <w:p>
      <w:pPr>
        <w:spacing w:after="0" w:line="17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The interim unaudited combined financial statements up to March 31, 2009 include two distinct reporting periods (i) before August 15, 2008 (“Predecessor”) and (ii) from August 15, 2008 (“Successor”), which relate to the period preceding the merger referred to in note 1 and the period succeeding the merger,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Stock at</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$0.01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Due to</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paid in</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 value</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(Deficit)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CMA CGM</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at December 31, 2007 (Predecessor)</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162,885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2"/>
          </w:tcPr>
          <w:p>
            <w:pPr>
              <w:spacing w:after="0"/>
              <w:rPr>
                <w:sz w:val="20"/>
                <w:szCs w:val="20"/>
                <w:color w:val="auto"/>
              </w:rPr>
            </w:pPr>
            <w:r>
              <w:rPr>
                <w:rFonts w:ascii="Arial" w:cs="Arial" w:eastAsia="Arial" w:hAnsi="Arial"/>
                <w:sz w:val="18"/>
                <w:szCs w:val="18"/>
                <w:color w:val="auto"/>
              </w:rPr>
              <w:t>Change in amount due from CMA CGM</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(188,716)</w:t>
            </w: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income</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(16,776)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7"/>
              </w:rPr>
              <w:t>Other effect of the transfer of the two vessels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in 2008</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651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4,088</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Balance at August 14, 2008 (Predecessor)</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20" w:type="dxa"/>
            <w:vAlign w:val="bottom"/>
            <w:gridSpan w:val="2"/>
            <w:vMerge w:val="continue"/>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100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(94,329)</w:t>
            </w:r>
          </w:p>
        </w:tc>
        <w:tc>
          <w:tcPr>
            <w:tcW w:w="1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stockholders’ equity</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Recognition of GSL Holdings stockholders’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equity pre-merger</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26,685,209</w:t>
            </w: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175,375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shares and warrants in connection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the merger (note 1)</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Class A</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6,778,650</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7,405,956</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Class C</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12,375,000</w:t>
            </w: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89,348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6"/>
              </w:rPr>
              <w:t>Warrants exercised into Class A shares (note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10)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504,502</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(43,970)</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Balance at December 31, 2008 (Successor)</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20" w:type="dxa"/>
            <w:vAlign w:val="bottom"/>
            <w:gridSpan w:val="2"/>
            <w:vMerge w:val="continue"/>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53,749,317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(43,970)</w:t>
            </w: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347,810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295,039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income</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520" w:type="dxa"/>
            <w:vAlign w:val="bottom"/>
            <w:gridSpan w:val="2"/>
          </w:tcPr>
          <w:p>
            <w:pPr>
              <w:spacing w:after="0"/>
              <w:rPr>
                <w:sz w:val="20"/>
                <w:szCs w:val="20"/>
                <w:color w:val="auto"/>
              </w:rPr>
            </w:pPr>
            <w:r>
              <w:rPr>
                <w:rFonts w:ascii="Arial" w:cs="Arial" w:eastAsia="Arial" w:hAnsi="Arial"/>
                <w:sz w:val="18"/>
                <w:szCs w:val="18"/>
                <w:color w:val="auto"/>
              </w:rPr>
              <w:t>Class C shares converted to Class A</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Class A</w:t>
            </w: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12)</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2"/>
          </w:tcPr>
          <w:p>
            <w:pPr>
              <w:spacing w:after="0"/>
              <w:rPr>
                <w:sz w:val="20"/>
                <w:szCs w:val="20"/>
                <w:color w:val="auto"/>
              </w:rPr>
            </w:pPr>
            <w:r>
              <w:rPr>
                <w:rFonts w:ascii="Arial" w:cs="Arial" w:eastAsia="Arial" w:hAnsi="Arial"/>
                <w:sz w:val="18"/>
                <w:szCs w:val="18"/>
                <w:color w:val="auto"/>
              </w:rPr>
              <w:t>Shares issued (note 10)</w:t>
            </w: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w w:val="90"/>
              </w:rPr>
              <w:t>36,833</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20" w:type="dxa"/>
            <w:vAlign w:val="bottom"/>
            <w:gridSpan w:val="2"/>
          </w:tcPr>
          <w:p>
            <w:pPr>
              <w:spacing w:after="0"/>
              <w:rPr>
                <w:sz w:val="20"/>
                <w:szCs w:val="20"/>
                <w:color w:val="auto"/>
              </w:rPr>
            </w:pPr>
            <w:r>
              <w:rPr>
                <w:rFonts w:ascii="Arial" w:cs="Arial" w:eastAsia="Arial" w:hAnsi="Arial"/>
                <w:sz w:val="18"/>
                <w:szCs w:val="18"/>
                <w:color w:val="auto"/>
              </w:rPr>
              <w:t>Dividends declared (note 10)</w:t>
            </w: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2009 (Successor)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53,786,150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538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348,525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20" w:type="dxa"/>
            <w:vAlign w:val="bottom"/>
            <w:gridSpan w:val="17"/>
          </w:tcPr>
          <w:p>
            <w:pPr>
              <w:ind w:left="3000"/>
              <w:spacing w:after="0"/>
              <w:rPr>
                <w:sz w:val="20"/>
                <w:szCs w:val="20"/>
                <w:color w:val="auto"/>
              </w:rPr>
            </w:pPr>
            <w:r>
              <w:rPr>
                <w:rFonts w:ascii="Arial" w:cs="Arial" w:eastAsia="Arial" w:hAnsi="Arial"/>
                <w:sz w:val="18"/>
                <w:szCs w:val="18"/>
                <w:color w:val="auto"/>
                <w:w w:val="88"/>
              </w:rPr>
              <w:t>See accompanying notes to interim unaudited combined financial statements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ind w:left="100"/>
              <w:spacing w:after="0"/>
              <w:rPr>
                <w:sz w:val="20"/>
                <w:szCs w:val="20"/>
                <w:color w:val="auto"/>
              </w:rPr>
            </w:pPr>
            <w:r>
              <w:rPr>
                <w:rFonts w:ascii="Arial" w:cs="Arial" w:eastAsia="Arial" w:hAnsi="Arial"/>
                <w:sz w:val="18"/>
                <w:szCs w:val="18"/>
                <w:color w:val="auto"/>
              </w:rPr>
              <w:t>Page 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-4740275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-2459355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-727075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-504190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-487045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Following the merger, the Company became listed on the New York Stock Exchange on August 15, 2008.</w:t>
      </w:r>
    </w:p>
    <w:p>
      <w:pPr>
        <w:spacing w:after="0" w:line="4"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The unaudited interim financial statements are for the periods January 1, 2009 to March 31, 2009 (period titled “Successor” reflecting results of the combined operations following the merger) and January 1, 2008 to March 31, 2008 (period labeled “Predecessor”, reflecting the results of operations as historically reported of Global Ship Lease, Inc. prior to the merger). Under Predecessor accounting rules, the period January 1, 2008 to March 31, 2008 includes for a few days of January 2008 the results of the vessels when they were owned and operated by CMA CGM (rather than Global Ship Lease, Inc.) in its business of carrying containerized cargo prior to their sale to the Company (see Note 9).</w:t>
      </w:r>
    </w:p>
    <w:p>
      <w:pPr>
        <w:spacing w:after="0" w:line="34" w:lineRule="exact"/>
        <w:rPr>
          <w:rFonts w:ascii="Arial" w:cs="Arial" w:eastAsia="Arial" w:hAnsi="Arial"/>
          <w:sz w:val="18"/>
          <w:szCs w:val="18"/>
          <w:color w:val="auto"/>
        </w:rPr>
      </w:pPr>
    </w:p>
    <w:p>
      <w:pPr>
        <w:ind w:left="452" w:right="140"/>
        <w:spacing w:after="0" w:line="332" w:lineRule="auto"/>
        <w:rPr>
          <w:rFonts w:ascii="Arial" w:cs="Arial" w:eastAsia="Arial" w:hAnsi="Arial"/>
          <w:sz w:val="18"/>
          <w:szCs w:val="18"/>
          <w:color w:val="auto"/>
        </w:rPr>
      </w:pPr>
      <w:r>
        <w:rPr>
          <w:rFonts w:ascii="Arial" w:cs="Arial" w:eastAsia="Arial" w:hAnsi="Arial"/>
          <w:sz w:val="16"/>
          <w:szCs w:val="16"/>
          <w:color w:val="auto"/>
        </w:rPr>
        <w:t>As the merger was consummated on August 14, 2008, the balance sheet as of March 31, 2009 and December 31, 2008 (both labeled “Successor”) reflects the acquisition under the purchase method of accounting of all the identified assets and assumed liabilities of Global Ship Lease, Inc.</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term “Company” refers to both Successor and Predecessor periods.</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w:t>
      </w:r>
    </w:p>
    <w:p>
      <w:pPr>
        <w:spacing w:after="0" w:line="96" w:lineRule="exact"/>
        <w:rPr>
          <w:rFonts w:ascii="Arial" w:cs="Arial" w:eastAsia="Arial" w:hAnsi="Arial"/>
          <w:sz w:val="18"/>
          <w:szCs w:val="18"/>
          <w:color w:val="auto"/>
        </w:rPr>
      </w:pPr>
    </w:p>
    <w:p>
      <w:pPr>
        <w:ind w:left="452" w:right="20"/>
        <w:spacing w:after="0" w:line="291" w:lineRule="auto"/>
        <w:rPr>
          <w:rFonts w:ascii="Arial" w:cs="Arial" w:eastAsia="Arial" w:hAnsi="Arial"/>
          <w:sz w:val="18"/>
          <w:szCs w:val="18"/>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10 were purchased by the Company during December 2007, two in January 2008 and four in December 2008. The remaining vessel is scheduled to be purchased in July 2009. All vessels are, or will be, time chartered to CMA CGM for remaining terms ranging from four to seventeen years. The Company has also entered into an agreement with German interests to acquire in the fourth quarter of 2010 two newbuildings for approximately $77 million per vessel. These vessels will be chartered to ZIM Integrated Shipping Services Limited (“ZISS”) for a period of seven years that could be extended to eight years at ZISS’s option.</w:t>
      </w:r>
    </w:p>
    <w:p>
      <w:pPr>
        <w:spacing w:after="0" w:line="11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Fleet</w:t>
      </w:r>
    </w:p>
    <w:p>
      <w:pPr>
        <w:spacing w:after="0" w:line="96" w:lineRule="exact"/>
        <w:rPr>
          <w:rFonts w:ascii="Arial" w:cs="Arial" w:eastAsia="Arial" w:hAnsi="Arial"/>
          <w:sz w:val="18"/>
          <w:szCs w:val="18"/>
          <w:color w:val="auto"/>
        </w:rPr>
      </w:pPr>
    </w:p>
    <w:p>
      <w:pPr>
        <w:ind w:left="452" w:right="36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provides information about the 16 vessels in the fleet chartered to CMA CGM and reflected in these unaudited combined financial statements: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Capacity</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Purchase Date</w:t>
            </w: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Duration</w:t>
            </w:r>
          </w:p>
        </w:tc>
        <w:tc>
          <w:tcPr>
            <w:tcW w:w="40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536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1040" w:type="dxa"/>
            <w:vAlign w:val="bottom"/>
            <w:gridSpan w:val="2"/>
          </w:tcPr>
          <w:p>
            <w:pPr>
              <w:jc w:val="right"/>
              <w:ind w:right="40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Year Built</w:t>
            </w:r>
          </w:p>
        </w:tc>
        <w:tc>
          <w:tcPr>
            <w:tcW w:w="4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by GSL</w:t>
            </w:r>
            <w:r>
              <w:rPr>
                <w:rFonts w:ascii="Arial" w:cs="Arial" w:eastAsia="Arial" w:hAnsi="Arial"/>
                <w:sz w:val="20"/>
                <w:szCs w:val="20"/>
                <w:b w:val="1"/>
                <w:bCs w:val="1"/>
                <w:color w:val="auto"/>
                <w:w w:val="93"/>
                <w:vertAlign w:val="superscript"/>
              </w:rPr>
              <w:t>(2)</w:t>
            </w:r>
          </w:p>
        </w:tc>
        <w:tc>
          <w:tcPr>
            <w:tcW w:w="4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2"/>
              </w:rPr>
              <w:t>(years)</w:t>
            </w:r>
          </w:p>
        </w:tc>
        <w:tc>
          <w:tcPr>
            <w:tcW w:w="40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Ville d’Orion</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1997</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Ville d’Aquarius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1996</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1999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CMA CGM Utrillo</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1999</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Delmas Keta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Julie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Kumasi</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Marie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CMA CGM Manet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CMA CGM Château d’lf</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5,100</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10,960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CMA CGM Jamaica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CMA CGM America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58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430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92" w:hanging="446"/>
        <w:spacing w:after="0"/>
        <w:tabs>
          <w:tab w:leader="none" w:pos="89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7" w:lineRule="exact"/>
        <w:rPr>
          <w:rFonts w:ascii="Arial" w:cs="Arial" w:eastAsia="Arial" w:hAnsi="Arial"/>
          <w:sz w:val="18"/>
          <w:szCs w:val="18"/>
          <w:i w:val="1"/>
          <w:iCs w:val="1"/>
          <w:color w:val="auto"/>
        </w:rPr>
      </w:pPr>
    </w:p>
    <w:p>
      <w:pPr>
        <w:ind w:left="892" w:right="700" w:hanging="446"/>
        <w:spacing w:after="0" w:line="261" w:lineRule="auto"/>
        <w:tabs>
          <w:tab w:leader="none" w:pos="89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 which occurred during both the Predecessor and Successor period.</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92"/>
          </w:cols>
          <w:pgMar w:left="248" w:top="274" w:right="259" w:bottom="1440" w:gutter="0" w:footer="0" w:header="0"/>
        </w:sectPr>
      </w:pPr>
    </w:p>
    <w:bookmarkStart w:id="25" w:name="page26"/>
    <w:bookmarkEnd w:id="2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provides information about the contracted fleet not reflected in these unaudited combined financial statements, other than deposits paid on Hull 789 and Hull 790:</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6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Charter</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Delivery Date</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Duration</w:t>
            </w: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6"/>
              </w:rPr>
              <w:t>Built</w:t>
            </w: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to GSL</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(years)</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 xml:space="preserve">CMA CGM Berlioz </w:t>
            </w:r>
            <w:r>
              <w:rPr>
                <w:rFonts w:ascii="Arial" w:cs="Arial" w:eastAsia="Arial" w:hAnsi="Arial"/>
                <w:sz w:val="22"/>
                <w:szCs w:val="22"/>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5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CMA CGM</w:t>
            </w:r>
          </w:p>
        </w:tc>
        <w:tc>
          <w:tcPr>
            <w:tcW w:w="7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Hull 789 </w:t>
            </w:r>
            <w:r>
              <w:rPr>
                <w:rFonts w:ascii="Arial" w:cs="Arial" w:eastAsia="Arial" w:hAnsi="Arial"/>
                <w:sz w:val="22"/>
                <w:szCs w:val="22"/>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4,250</w:t>
            </w:r>
          </w:p>
        </w:tc>
        <w:tc>
          <w:tcPr>
            <w:tcW w:w="58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October 2010</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ZISS</w:t>
            </w:r>
          </w:p>
        </w:tc>
        <w:tc>
          <w:tcPr>
            <w:tcW w:w="1100" w:type="dxa"/>
            <w:vAlign w:val="bottom"/>
            <w:gridSpan w:val="3"/>
          </w:tcPr>
          <w:p>
            <w:pPr>
              <w:jc w:val="center"/>
              <w:ind w:left="172"/>
              <w:spacing w:after="0"/>
              <w:rPr>
                <w:sz w:val="20"/>
                <w:szCs w:val="20"/>
                <w:color w:val="auto"/>
              </w:rPr>
            </w:pPr>
            <w:r>
              <w:rPr>
                <w:rFonts w:ascii="Arial" w:cs="Arial" w:eastAsia="Arial" w:hAnsi="Arial"/>
                <w:sz w:val="18"/>
                <w:szCs w:val="18"/>
                <w:color w:val="auto"/>
                <w:w w:val="89"/>
              </w:rPr>
              <w:t xml:space="preserve">7-8 </w:t>
            </w:r>
            <w:r>
              <w:rPr>
                <w:rFonts w:ascii="Arial" w:cs="Arial" w:eastAsia="Arial" w:hAnsi="Arial"/>
                <w:sz w:val="11"/>
                <w:szCs w:val="11"/>
                <w:color w:val="auto"/>
                <w:w w:val="89"/>
              </w:rPr>
              <w:t>(4)</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Hull 790 </w:t>
            </w:r>
            <w:r>
              <w:rPr>
                <w:rFonts w:ascii="Arial" w:cs="Arial" w:eastAsia="Arial" w:hAnsi="Arial"/>
                <w:sz w:val="22"/>
                <w:szCs w:val="22"/>
                <w:color w:val="auto"/>
                <w:vertAlign w:val="superscript"/>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5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ZISS</w:t>
            </w:r>
          </w:p>
        </w:tc>
        <w:tc>
          <w:tcPr>
            <w:tcW w:w="110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9"/>
              </w:rPr>
              <w:t xml:space="preserve">7-8 </w:t>
            </w:r>
            <w:r>
              <w:rPr>
                <w:rFonts w:ascii="Arial" w:cs="Arial" w:eastAsia="Arial" w:hAnsi="Arial"/>
                <w:sz w:val="11"/>
                <w:szCs w:val="11"/>
                <w:color w:val="auto"/>
                <w:w w:val="89"/>
              </w:rPr>
              <w:t>(4)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68580</wp:posOffset>
            </wp:positionV>
            <wp:extent cx="668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20"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892" w:hanging="446"/>
        <w:spacing w:after="0"/>
        <w:tabs>
          <w:tab w:leader="none" w:pos="89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CMA CGM (note 8).</w:t>
      </w:r>
    </w:p>
    <w:p>
      <w:pPr>
        <w:spacing w:after="0" w:line="9" w:lineRule="exact"/>
        <w:rPr>
          <w:rFonts w:ascii="Arial" w:cs="Arial" w:eastAsia="Arial" w:hAnsi="Arial"/>
          <w:sz w:val="18"/>
          <w:szCs w:val="18"/>
          <w:i w:val="1"/>
          <w:iCs w:val="1"/>
          <w:color w:val="auto"/>
        </w:rPr>
      </w:pPr>
    </w:p>
    <w:p>
      <w:pPr>
        <w:ind w:left="892" w:hanging="446"/>
        <w:spacing w:after="0"/>
        <w:tabs>
          <w:tab w:leader="none" w:pos="89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8).</w:t>
      </w:r>
    </w:p>
    <w:p>
      <w:pPr>
        <w:spacing w:after="0" w:line="9" w:lineRule="exact"/>
        <w:rPr>
          <w:rFonts w:ascii="Arial" w:cs="Arial" w:eastAsia="Arial" w:hAnsi="Arial"/>
          <w:sz w:val="18"/>
          <w:szCs w:val="18"/>
          <w:i w:val="1"/>
          <w:iCs w:val="1"/>
          <w:color w:val="auto"/>
        </w:rPr>
      </w:pPr>
    </w:p>
    <w:p>
      <w:pPr>
        <w:ind w:left="892" w:hanging="446"/>
        <w:spacing w:after="0"/>
        <w:tabs>
          <w:tab w:leader="none" w:pos="89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84" w:lineRule="exact"/>
        <w:rPr>
          <w:sz w:val="20"/>
          <w:szCs w:val="20"/>
          <w:color w:val="auto"/>
        </w:rPr>
      </w:pPr>
    </w:p>
    <w:p>
      <w:pPr>
        <w:ind w:left="452" w:right="120"/>
        <w:spacing w:after="0" w:line="287" w:lineRule="auto"/>
        <w:rPr>
          <w:sz w:val="20"/>
          <w:szCs w:val="20"/>
          <w:color w:val="auto"/>
        </w:rPr>
      </w:pPr>
      <w:r>
        <w:rPr>
          <w:rFonts w:ascii="Arial" w:cs="Arial" w:eastAsia="Arial" w:hAnsi="Arial"/>
          <w:sz w:val="16"/>
          <w:szCs w:val="16"/>
          <w:color w:val="auto"/>
        </w:rPr>
        <w:t>In accordance with the terms of the waiver the Company agreed on April 29, 2009 with the lenders under its $800 million credit facility agreement (see Note 14), there will be no loan to value test performed during the period April 30, 2009 to June 30, 2009. Loan to value tests would otherwise have been required as at April 30, 2009. The Company is in active discussions with its lenders to amend the facility agreement in respect to loan to value. If the Company does not successfully amend the facility agreement by June 30, 2009 or agree a further waiver of the need to perform loan to value tests, and its loan to value ratio is above 100%, the lenders may declare an event of default and accelerate some or all of the debt. Any amount of the long term debt which is declared to be immediately repayable will be reclassified as current. Management expects that agreement will be reached and that, in any event, the lenders will not call the debt due to the Company’s stable business model, which is unchanged since the Company commenced operations and which generates largely predictable cash flows supported by long-term charter and other contracts. Further, the Company is compliant with all of its other financial covenants. As a result of management’s plan to address the situation, the relevant debt is classified as non-current in the interim balance sheet. The interim unaudited combined financial statements have been prepared assuming that the Company will continue as a going concern.</w:t>
      </w:r>
    </w:p>
    <w:p>
      <w:pPr>
        <w:spacing w:after="0" w:line="238"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Unaudited Supplemental Pro Forma Information under FAS 141</w:t>
      </w:r>
    </w:p>
    <w:p>
      <w:pPr>
        <w:spacing w:after="0" w:line="96" w:lineRule="exact"/>
        <w:rPr>
          <w:rFonts w:ascii="Arial" w:cs="Arial" w:eastAsia="Arial" w:hAnsi="Arial"/>
          <w:sz w:val="18"/>
          <w:szCs w:val="18"/>
          <w:color w:val="auto"/>
        </w:rPr>
      </w:pPr>
    </w:p>
    <w:p>
      <w:pPr>
        <w:ind w:left="452" w:right="600"/>
        <w:spacing w:after="0" w:line="268" w:lineRule="auto"/>
        <w:rPr>
          <w:rFonts w:ascii="Arial" w:cs="Arial" w:eastAsia="Arial" w:hAnsi="Arial"/>
          <w:sz w:val="18"/>
          <w:szCs w:val="18"/>
          <w:color w:val="auto"/>
        </w:rPr>
      </w:pPr>
      <w:r>
        <w:rPr>
          <w:rFonts w:ascii="Arial" w:cs="Arial" w:eastAsia="Arial" w:hAnsi="Arial"/>
          <w:sz w:val="18"/>
          <w:szCs w:val="18"/>
          <w:color w:val="auto"/>
        </w:rPr>
        <w:t>The following pro forma information for the period ended March 31, 2008 assumes that the merger of the Company with Marathon occurred at the beginning of the reporting period being presented.</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 in $</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4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 (a)</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33,463,859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Diluted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44,212,446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Basic</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4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 (a)</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Diluted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Basic</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The accompanying financial information is unaudited and reflects all adjustments, consisting solely of normal recurring adjustments, which, in the opinion of management, are necessary for a fair value presentation of results for the interim periods presented. The accounting policies used to prepare the accompanying financial information are consistent with those used to prepare the annual audited financial statements, which will be filed in due course, and are shown in full below.</w:t>
      </w:r>
    </w:p>
    <w:p>
      <w:pPr>
        <w:spacing w:after="0" w:line="6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Basis of combination</w:t>
      </w:r>
    </w:p>
    <w:p>
      <w:pPr>
        <w:spacing w:after="0" w:line="90"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The accompanying unaudited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accounts have been eliminated on consolidation. For the Successor period, the Company’s financial statements have been prepared on a consolidated basis.</w:t>
      </w:r>
    </w:p>
    <w:p>
      <w:pPr>
        <w:spacing w:after="0" w:line="32"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The accounting policies for the Company are identical for both the period of ownership by CMA CGM and the Predecessor. The accounting policies have been consistently applied throughout the periods presented.</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preparation of unaudited combined financial statements in conformity with US GAAP requires management to make estimates and assumptions that affect the amounts reported in the unaudited combined financial statements and the accompanying notes. It is reasonably possible that actual results differ from those estimates. Allocation methodologies used to prepare the unaudited combined financial statements are based on estimates and have been described in the notes, where appropriate.</w:t>
      </w:r>
    </w:p>
    <w:p>
      <w:pPr>
        <w:spacing w:after="0" w:line="6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other short-term highly liquid investments with original maturities of three months or less.</w:t>
      </w:r>
    </w:p>
    <w:p>
      <w:pPr>
        <w:spacing w:after="0" w:line="5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Cash and cash equivalent subject to restrictions are excluded from cash and cash equivalent in the balance sheet and are presented as restricted cash.</w:t>
      </w:r>
    </w:p>
    <w:p>
      <w:pPr>
        <w:spacing w:after="0" w:line="12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w:t>
      </w:r>
    </w:p>
    <w:p>
      <w:pPr>
        <w:spacing w:after="0" w:line="32"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During the period of operations under ownership by CMA CGM, customers were shippers, comprising exporters and importers, and intermediaries, also known as freight forwarders. At that time, the Company sub 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6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90"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Inventories consisted of bunkers on board vessels and lubricants in the period when the vessels were owned by CMA CGM. They are valued at cost on a first-in-first-out basis. Inventory costs include the transfer from equity of any gains/losses on qualifying cash flow hedges relating to inventory purchases.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Vessels are recorded at their acquisition cost (less an amount allocated to dry dock component), less accumulated depreciation and impairment loss, if any. Following the merger described in note 1, the vessels are recorded at their fair value less a proportion of the negative goodwill arising on the acquisition allocated to these vessels.</w:t>
      </w:r>
    </w:p>
    <w:p>
      <w:pPr>
        <w:spacing w:after="0" w:line="59"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51"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the containerized transportation, the useful life was estimated as 25 years. Following the sale of the vessels to the Company, the nature of operations changed significantly and from this date, the vessels are earning time charter income from the chartering out of the vessels instead of from carrying cargo. On this new basis of operations the useful life was reassessed and estimated to be 30 years.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balance sheet as vessel deposits.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Vessels are drydocked approximately every five years for major repairs and maintenance that cannot be performed while the vessels are operating. Costs directly associated with the required regulatory inspection of the ship,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amortised on a straight line basis to the anticipated next dry dock.</w:t>
      </w:r>
    </w:p>
    <w:p>
      <w:pPr>
        <w:spacing w:after="0" w:line="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Intangible assets – purchase agreement</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connection with the merger (note 1), the Company recognised an intangible asset arising from the comparison of the acquisition prices per the asset purchase agreement and the estimated fair value at the merger date of the vessels yet to be purchased. This intangible asset is not amortized and has or will be transferred to the appropriate vessel on delivery.</w:t>
      </w:r>
    </w:p>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Intangible assets are tested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90" w:lineRule="exact"/>
        <w:rPr>
          <w:sz w:val="20"/>
          <w:szCs w:val="20"/>
          <w:color w:val="auto"/>
        </w:rPr>
      </w:pPr>
    </w:p>
    <w:p>
      <w:pPr>
        <w:jc w:val="both"/>
        <w:ind w:left="920"/>
        <w:spacing w:after="0" w:line="294" w:lineRule="auto"/>
        <w:rPr>
          <w:sz w:val="20"/>
          <w:szCs w:val="20"/>
          <w:color w:val="auto"/>
        </w:rPr>
      </w:pPr>
      <w:r>
        <w:rPr>
          <w:rFonts w:ascii="Arial" w:cs="Arial" w:eastAsia="Arial" w:hAnsi="Arial"/>
          <w:sz w:val="16"/>
          <w:szCs w:val="16"/>
          <w:color w:val="auto"/>
        </w:rPr>
        <w:t>In accordance with SFAS No. 144, “Impairment of long-lived assets”, intangible and fixed assets such as vessels, are reviewed for impairment when events or changes in circumstances indicate that it’s carrying amount may not be recoverable. An impairment loss is recognized when the sum of the expected future cash flows (undiscounted and without interest) from the asset over its estimated remaining useful life is less than its carrying amount. An impairment loss is recorded equal to the amount by which the asset’s carrying amount exceeds its fair value. Fair value is the net present value of future cash flows discounted by an appropriate discount rate.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892" w:hanging="446"/>
        <w:spacing w:after="0"/>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Interest rate hedging activities</w:t>
      </w:r>
    </w:p>
    <w:p>
      <w:pPr>
        <w:spacing w:after="0" w:line="90"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rFonts w:ascii="Arial" w:cs="Arial" w:eastAsia="Arial" w:hAnsi="Arial"/>
          <w:sz w:val="18"/>
          <w:szCs w:val="18"/>
          <w:color w:val="auto"/>
        </w:rPr>
      </w:pPr>
    </w:p>
    <w:p>
      <w:pPr>
        <w:ind w:left="1492" w:right="480"/>
        <w:spacing w:after="0" w:line="306" w:lineRule="auto"/>
        <w:rPr>
          <w:rFonts w:ascii="Arial" w:cs="Arial" w:eastAsia="Arial" w:hAnsi="Arial"/>
          <w:sz w:val="18"/>
          <w:szCs w:val="18"/>
          <w:color w:val="auto"/>
        </w:rPr>
      </w:pPr>
      <w:r>
        <w:rPr>
          <w:rFonts w:ascii="Arial" w:cs="Arial" w:eastAsia="Arial" w:hAnsi="Arial"/>
          <w:sz w:val="16"/>
          <w:szCs w:val="16"/>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25" w:lineRule="exact"/>
        <w:rPr>
          <w:rFonts w:ascii="Arial" w:cs="Arial" w:eastAsia="Arial" w:hAnsi="Arial"/>
          <w:sz w:val="18"/>
          <w:szCs w:val="18"/>
          <w:color w:val="auto"/>
        </w:rPr>
      </w:pPr>
    </w:p>
    <w:p>
      <w:pPr>
        <w:ind w:left="1492" w:right="160"/>
        <w:spacing w:after="0" w:line="256" w:lineRule="auto"/>
        <w:rPr>
          <w:rFonts w:ascii="Arial" w:cs="Arial" w:eastAsia="Arial" w:hAnsi="Arial"/>
          <w:sz w:val="18"/>
          <w:szCs w:val="18"/>
          <w:color w:val="auto"/>
        </w:rPr>
      </w:pPr>
      <w:r>
        <w:rPr>
          <w:rFonts w:ascii="Arial" w:cs="Arial" w:eastAsia="Arial" w:hAnsi="Arial"/>
          <w:sz w:val="18"/>
          <w:szCs w:val="18"/>
          <w:color w:val="auto"/>
        </w:rPr>
        <w:t>The Company’s interest rate derivative instruments do not qualify for hedge accounting. Changes in the fair value, as well as cash settlements of interest rate derivative instruments, are recognized immediately in the statement of income within “Realized and unrealized gain on interest rate derivatives”. Cash flows related to interest rate derivatives (including payments and periodic cash settlements) are included within “Net cash provided (used) by investing activities”.</w:t>
      </w:r>
    </w:p>
    <w:p>
      <w:pPr>
        <w:spacing w:after="0" w:line="62" w:lineRule="exact"/>
        <w:rPr>
          <w:rFonts w:ascii="Arial" w:cs="Arial" w:eastAsia="Arial" w:hAnsi="Arial"/>
          <w:sz w:val="18"/>
          <w:szCs w:val="18"/>
          <w:color w:val="auto"/>
        </w:rPr>
      </w:pPr>
    </w:p>
    <w:p>
      <w:pPr>
        <w:ind w:left="1492"/>
        <w:spacing w:after="0" w:line="268" w:lineRule="auto"/>
        <w:rPr>
          <w:rFonts w:ascii="Arial" w:cs="Arial" w:eastAsia="Arial" w:hAnsi="Arial"/>
          <w:sz w:val="18"/>
          <w:szCs w:val="18"/>
          <w:color w:val="auto"/>
        </w:rPr>
      </w:pPr>
      <w:r>
        <w:rPr>
          <w:rFonts w:ascii="Arial" w:cs="Arial" w:eastAsia="Arial" w:hAnsi="Arial"/>
          <w:sz w:val="18"/>
          <w:szCs w:val="18"/>
          <w:color w:val="auto"/>
        </w:rPr>
        <w:t>The fair value of derivatives is presented on the face of the balance sheet under the line item “Derivative instruments” and are split into their current and non-current portions based on the net cash flows expected within one year.</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25"/>
        </w:numPr>
        <w:rPr>
          <w:rFonts w:ascii="Arial" w:cs="Arial" w:eastAsia="Arial" w:hAnsi="Arial"/>
          <w:sz w:val="18"/>
          <w:szCs w:val="18"/>
          <w:color w:val="auto"/>
        </w:rPr>
      </w:pPr>
      <w:r>
        <w:rPr>
          <w:rFonts w:ascii="Arial" w:cs="Arial" w:eastAsia="Arial" w:hAnsi="Arial"/>
          <w:sz w:val="18"/>
          <w:szCs w:val="18"/>
          <w:color w:val="auto"/>
        </w:rPr>
        <w:t>Commodity hedging activities</w:t>
      </w:r>
    </w:p>
    <w:p>
      <w:pPr>
        <w:spacing w:after="0" w:line="90" w:lineRule="exact"/>
        <w:rPr>
          <w:rFonts w:ascii="Arial" w:cs="Arial" w:eastAsia="Arial" w:hAnsi="Arial"/>
          <w:sz w:val="18"/>
          <w:szCs w:val="18"/>
          <w:color w:val="auto"/>
        </w:rPr>
      </w:pPr>
    </w:p>
    <w:p>
      <w:pPr>
        <w:jc w:val="both"/>
        <w:ind w:left="1492" w:right="360"/>
        <w:spacing w:after="0" w:line="305" w:lineRule="auto"/>
        <w:rPr>
          <w:rFonts w:ascii="Arial" w:cs="Arial" w:eastAsia="Arial" w:hAnsi="Arial"/>
          <w:sz w:val="18"/>
          <w:szCs w:val="18"/>
          <w:color w:val="auto"/>
        </w:rPr>
      </w:pPr>
      <w:r>
        <w:rPr>
          <w:rFonts w:ascii="Arial" w:cs="Arial" w:eastAsia="Arial" w:hAnsi="Arial"/>
          <w:sz w:val="15"/>
          <w:szCs w:val="15"/>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ind w:left="1492"/>
        <w:spacing w:after="0"/>
        <w:rPr>
          <w:rFonts w:ascii="Arial" w:cs="Arial" w:eastAsia="Arial" w:hAnsi="Arial"/>
          <w:sz w:val="18"/>
          <w:szCs w:val="18"/>
          <w:color w:val="auto"/>
        </w:rPr>
      </w:pPr>
      <w:r>
        <w:rPr>
          <w:rFonts w:ascii="Arial" w:cs="Arial" w:eastAsia="Arial" w:hAnsi="Arial"/>
          <w:sz w:val="18"/>
          <w:szCs w:val="18"/>
          <w:color w:val="auto"/>
        </w:rPr>
        <w:t>CMA CGM.</w:t>
      </w:r>
    </w:p>
    <w:p>
      <w:pPr>
        <w:spacing w:after="0" w:line="83" w:lineRule="exact"/>
        <w:rPr>
          <w:rFonts w:ascii="Arial" w:cs="Arial" w:eastAsia="Arial" w:hAnsi="Arial"/>
          <w:sz w:val="18"/>
          <w:szCs w:val="18"/>
          <w:color w:val="auto"/>
        </w:rPr>
      </w:pPr>
    </w:p>
    <w:p>
      <w:pPr>
        <w:ind w:left="1492" w:right="120"/>
        <w:spacing w:after="0" w:line="259" w:lineRule="auto"/>
        <w:rPr>
          <w:rFonts w:ascii="Arial" w:cs="Arial" w:eastAsia="Arial" w:hAnsi="Arial"/>
          <w:sz w:val="18"/>
          <w:szCs w:val="18"/>
          <w:color w:val="auto"/>
        </w:rPr>
      </w:pPr>
      <w:r>
        <w:rPr>
          <w:rFonts w:ascii="Arial" w:cs="Arial" w:eastAsia="Arial" w:hAnsi="Arial"/>
          <w:sz w:val="18"/>
          <w:szCs w:val="18"/>
          <w:color w:val="auto"/>
        </w:rPr>
        <w:t>Voyage operating expenses, incurred during period of operations under ownership by CMA CGM, were highly dependent on the cost of bunkers. During this period, the risk management policy was to hedge the price risk on anticipated bunker consumption through “over-the-counter” derivative instruments such as swaps and options.</w:t>
      </w:r>
    </w:p>
    <w:p>
      <w:pPr>
        <w:spacing w:after="0" w:line="59" w:lineRule="exact"/>
        <w:rPr>
          <w:rFonts w:ascii="Arial" w:cs="Arial" w:eastAsia="Arial" w:hAnsi="Arial"/>
          <w:sz w:val="18"/>
          <w:szCs w:val="18"/>
          <w:color w:val="auto"/>
        </w:rPr>
      </w:pPr>
    </w:p>
    <w:p>
      <w:pPr>
        <w:ind w:left="1492" w:right="20"/>
        <w:spacing w:after="0" w:line="323" w:lineRule="auto"/>
        <w:rPr>
          <w:rFonts w:ascii="Arial" w:cs="Arial" w:eastAsia="Arial" w:hAnsi="Arial"/>
          <w:sz w:val="18"/>
          <w:szCs w:val="18"/>
          <w:color w:val="auto"/>
        </w:rPr>
      </w:pPr>
      <w:r>
        <w:rPr>
          <w:rFonts w:ascii="Arial" w:cs="Arial" w:eastAsia="Arial" w:hAnsi="Arial"/>
          <w:sz w:val="15"/>
          <w:szCs w:val="15"/>
          <w:color w:val="auto"/>
        </w:rPr>
        <w:t>Derivatives were initially recognized at fair value on the date a derivative contract was entered into and were subsequently re-measured at fair value. The method of recognizing the resulting gain or loss depended on whether the derivative was designated as a hedging instrument, and if so, the nature of the item being hedged. Certain derivatives were designated as hedges of highly probable forecast transactions (cash flow hedge). The fair value of derivatives is presented on the face of the balance sheet under the line item “Derivative instruments”.</w:t>
      </w:r>
    </w:p>
    <w:p>
      <w:pPr>
        <w:spacing w:after="0" w:line="16" w:lineRule="exact"/>
        <w:rPr>
          <w:rFonts w:ascii="Arial" w:cs="Arial" w:eastAsia="Arial" w:hAnsi="Arial"/>
          <w:sz w:val="18"/>
          <w:szCs w:val="18"/>
          <w:color w:val="auto"/>
        </w:rPr>
      </w:pPr>
    </w:p>
    <w:p>
      <w:pPr>
        <w:ind w:left="1492" w:right="160"/>
        <w:spacing w:after="0" w:line="259" w:lineRule="auto"/>
        <w:rPr>
          <w:rFonts w:ascii="Arial" w:cs="Arial" w:eastAsia="Arial" w:hAnsi="Arial"/>
          <w:sz w:val="18"/>
          <w:szCs w:val="18"/>
          <w:color w:val="auto"/>
        </w:rPr>
      </w:pPr>
      <w:r>
        <w:rPr>
          <w:rFonts w:ascii="Arial" w:cs="Arial" w:eastAsia="Arial" w:hAnsi="Arial"/>
          <w:sz w:val="18"/>
          <w:szCs w:val="18"/>
          <w:color w:val="auto"/>
        </w:rPr>
        <w:t>The effective portion of changes in the fair value of derivatives that were designated and qualified as cash flow hedges were recognized in equity within “Accumulated other comprehensive income (loss).” The gain or loss relating to the ineffective portion was recognized immediately in the statement of income.</w:t>
      </w:r>
    </w:p>
    <w:p>
      <w:pPr>
        <w:spacing w:after="0" w:line="59" w:lineRule="exact"/>
        <w:rPr>
          <w:rFonts w:ascii="Arial" w:cs="Arial" w:eastAsia="Arial" w:hAnsi="Arial"/>
          <w:sz w:val="18"/>
          <w:szCs w:val="18"/>
          <w:color w:val="auto"/>
        </w:rPr>
      </w:pPr>
    </w:p>
    <w:p>
      <w:pPr>
        <w:ind w:left="1492" w:right="140"/>
        <w:spacing w:after="0" w:line="298" w:lineRule="auto"/>
        <w:rPr>
          <w:rFonts w:ascii="Arial" w:cs="Arial" w:eastAsia="Arial" w:hAnsi="Arial"/>
          <w:sz w:val="18"/>
          <w:szCs w:val="18"/>
          <w:color w:val="auto"/>
        </w:rPr>
      </w:pPr>
      <w:r>
        <w:rPr>
          <w:rFonts w:ascii="Arial" w:cs="Arial" w:eastAsia="Arial" w:hAnsi="Arial"/>
          <w:sz w:val="16"/>
          <w:szCs w:val="16"/>
          <w:color w:val="auto"/>
        </w:rPr>
        <w:t>Amounts accumulated in equity were recycled in the statement of income in the periods when the hedged item affected profit or loss when the forecast transaction that was hedged took place. When the forecast transaction that was hedged resulted in the recognition of a non-financial asset (for example, inventory when bunker purchases were hedged), the gains and losses previously deferred in equity were transferred from equity and included in the initial measurement of the cost of the asset</w:t>
      </w:r>
    </w:p>
    <w:p>
      <w:pPr>
        <w:spacing w:after="0" w:line="31" w:lineRule="exact"/>
        <w:rPr>
          <w:rFonts w:ascii="Arial" w:cs="Arial" w:eastAsia="Arial" w:hAnsi="Arial"/>
          <w:sz w:val="18"/>
          <w:szCs w:val="18"/>
          <w:color w:val="auto"/>
        </w:rPr>
      </w:pPr>
    </w:p>
    <w:p>
      <w:pPr>
        <w:ind w:left="1492" w:right="200"/>
        <w:spacing w:after="0" w:line="256" w:lineRule="auto"/>
        <w:rPr>
          <w:rFonts w:ascii="Arial" w:cs="Arial" w:eastAsia="Arial" w:hAnsi="Arial"/>
          <w:sz w:val="18"/>
          <w:szCs w:val="18"/>
          <w:color w:val="auto"/>
        </w:rPr>
      </w:pPr>
      <w:r>
        <w:rPr>
          <w:rFonts w:ascii="Arial" w:cs="Arial" w:eastAsia="Arial" w:hAnsi="Arial"/>
          <w:sz w:val="18"/>
          <w:szCs w:val="18"/>
          <w:color w:val="auto"/>
        </w:rPr>
        <w:t>When a hedging instrument expired or was sold, or when a hedge no longer met the criteria for hedge accounting, any cumulative gain or loss existing in equity at that time remained in equity and was recognized when the forecast transaction was ultimately recognized in the statement of income. When a forecast transaction was no longer expected to occur, the cumulative gain or loss that was reported in equity was immediately transferred to the statement of income.</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52"/>
          </w:cols>
          <w:pgMar w:left="248" w:top="274" w:right="299" w:bottom="1440" w:gutter="0" w:footer="0" w:header="0"/>
        </w:sectPr>
      </w:pPr>
    </w:p>
    <w:bookmarkStart w:id="29" w:name="page30"/>
    <w:bookmarkEnd w:id="2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1472" w:hanging="567"/>
        <w:spacing w:after="0"/>
        <w:tabs>
          <w:tab w:leader="none" w:pos="1472" w:val="left"/>
        </w:tabs>
        <w:numPr>
          <w:ilvl w:val="2"/>
          <w:numId w:val="26"/>
        </w:numPr>
        <w:rPr>
          <w:rFonts w:ascii="Arial" w:cs="Arial" w:eastAsia="Arial" w:hAnsi="Arial"/>
          <w:sz w:val="18"/>
          <w:szCs w:val="18"/>
          <w:color w:val="auto"/>
        </w:rPr>
      </w:pPr>
      <w:r>
        <w:rPr>
          <w:rFonts w:ascii="Arial" w:cs="Arial" w:eastAsia="Arial" w:hAnsi="Arial"/>
          <w:sz w:val="18"/>
          <w:szCs w:val="18"/>
          <w:color w:val="auto"/>
        </w:rPr>
        <w:t>Commodity hedging activities (continued)</w:t>
      </w:r>
    </w:p>
    <w:p>
      <w:pPr>
        <w:spacing w:after="0" w:line="90" w:lineRule="exact"/>
        <w:rPr>
          <w:rFonts w:ascii="Arial" w:cs="Arial" w:eastAsia="Arial" w:hAnsi="Arial"/>
          <w:sz w:val="18"/>
          <w:szCs w:val="18"/>
          <w:color w:val="auto"/>
        </w:rPr>
      </w:pPr>
    </w:p>
    <w:p>
      <w:pPr>
        <w:ind w:left="1492" w:right="240"/>
        <w:spacing w:after="0" w:line="259" w:lineRule="auto"/>
        <w:rPr>
          <w:rFonts w:ascii="Arial" w:cs="Arial" w:eastAsia="Arial" w:hAnsi="Arial"/>
          <w:sz w:val="18"/>
          <w:szCs w:val="18"/>
          <w:color w:val="auto"/>
        </w:rPr>
      </w:pPr>
      <w:r>
        <w:rPr>
          <w:rFonts w:ascii="Arial" w:cs="Arial" w:eastAsia="Arial" w:hAnsi="Arial"/>
          <w:sz w:val="18"/>
          <w:szCs w:val="18"/>
          <w:color w:val="auto"/>
        </w:rPr>
        <w:t>The statement of income impact (effective and ineffective portion) of bunker hedging activities that qualified as cash flow hedges was presented in the line item “Voyage expenses.” The settlement of transactions that qualified as cash flow hedges was presented within “Net cash provided (used) by operating activities”.</w:t>
      </w:r>
    </w:p>
    <w:p>
      <w:pPr>
        <w:spacing w:after="0" w:line="59" w:lineRule="exact"/>
        <w:rPr>
          <w:rFonts w:ascii="Arial" w:cs="Arial" w:eastAsia="Arial" w:hAnsi="Arial"/>
          <w:sz w:val="18"/>
          <w:szCs w:val="18"/>
          <w:color w:val="auto"/>
        </w:rPr>
      </w:pPr>
    </w:p>
    <w:p>
      <w:pPr>
        <w:ind w:left="1492" w:right="180"/>
        <w:spacing w:after="0" w:line="259" w:lineRule="auto"/>
        <w:rPr>
          <w:rFonts w:ascii="Arial" w:cs="Arial" w:eastAsia="Arial" w:hAnsi="Arial"/>
          <w:sz w:val="18"/>
          <w:szCs w:val="18"/>
          <w:color w:val="auto"/>
        </w:rPr>
      </w:pPr>
      <w:r>
        <w:rPr>
          <w:rFonts w:ascii="Arial" w:cs="Arial" w:eastAsia="Arial" w:hAnsi="Arial"/>
          <w:sz w:val="18"/>
          <w:szCs w:val="18"/>
          <w:color w:val="auto"/>
        </w:rPr>
        <w:t>Certain bunker derivative instruments contracted by CMA CGM did not qualify for hedge accounting. These transactions were recorded at fair value within the balance sheet with related gains and losses recorded in earnings. The statement of income impact of such derivatives was presented in the line item “Other operating income (expense).”</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12" w:right="20"/>
        <w:spacing w:after="0" w:line="259" w:lineRule="auto"/>
        <w:rPr>
          <w:sz w:val="20"/>
          <w:szCs w:val="20"/>
          <w:color w:val="auto"/>
        </w:rPr>
      </w:pPr>
      <w:r>
        <w:rPr>
          <w:rFonts w:ascii="Arial" w:cs="Arial" w:eastAsia="Arial" w:hAnsi="Arial"/>
          <w:sz w:val="18"/>
          <w:szCs w:val="18"/>
          <w:color w:val="auto"/>
        </w:rPr>
        <w:t>Costs incurred in connection with obtaining long-term debt are recorded as deferred financing costs and are amortized to interest expense over the estimated duration of the related debt. Such costs include fees paid to the lenders or on the lenders’ behalf and associated legal and other professional fees.</w:t>
      </w:r>
    </w:p>
    <w:p>
      <w:pPr>
        <w:spacing w:after="0" w:line="59" w:lineRule="exact"/>
        <w:rPr>
          <w:sz w:val="20"/>
          <w:szCs w:val="20"/>
          <w:color w:val="auto"/>
        </w:rPr>
      </w:pPr>
    </w:p>
    <w:p>
      <w:pPr>
        <w:ind w:left="892" w:hanging="446"/>
        <w:spacing w:after="0"/>
        <w:tabs>
          <w:tab w:leader="none" w:pos="8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12"/>
        <w:spacing w:after="0" w:line="298" w:lineRule="auto"/>
        <w:rPr>
          <w:sz w:val="20"/>
          <w:szCs w:val="20"/>
          <w:color w:val="auto"/>
        </w:rPr>
      </w:pPr>
      <w:r>
        <w:rPr>
          <w:rFonts w:ascii="Arial" w:cs="Arial" w:eastAsia="Arial" w:hAnsi="Arial"/>
          <w:sz w:val="16"/>
          <w:szCs w:val="16"/>
          <w:color w:val="auto"/>
        </w:rPr>
        <w:t>Preferred shares have been included within liabilities in the combined balance sheet and preferred share dividends included within interest expense in the combined income statement as their nature is similar to that of a liability rather than equity. Holders of these mandatorily redeemable preferred shares are entitled to receive a quarterly dividend equal to 3-month LIBOR plus 2% of the original issue price and rank senior to the Class A, Class B and Class C common shares with respect to dividend rights and rights upon liquidation, dissolution or winding up of the Company.</w:t>
      </w:r>
    </w:p>
    <w:p>
      <w:pPr>
        <w:spacing w:after="0" w:line="32" w:lineRule="exact"/>
        <w:rPr>
          <w:sz w:val="20"/>
          <w:szCs w:val="20"/>
          <w:color w:val="auto"/>
        </w:rPr>
      </w:pPr>
    </w:p>
    <w:p>
      <w:pPr>
        <w:ind w:left="892" w:hanging="446"/>
        <w:spacing w:after="0"/>
        <w:tabs>
          <w:tab w:leader="none" w:pos="8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12" w:right="340"/>
        <w:spacing w:after="0" w:line="268" w:lineRule="auto"/>
        <w:rPr>
          <w:sz w:val="20"/>
          <w:szCs w:val="20"/>
          <w:color w:val="auto"/>
        </w:rPr>
      </w:pPr>
      <w:r>
        <w:rPr>
          <w:rFonts w:ascii="Arial" w:cs="Arial" w:eastAsia="Arial" w:hAnsi="Arial"/>
          <w:sz w:val="18"/>
          <w:szCs w:val="18"/>
          <w:color w:val="auto"/>
        </w:rPr>
        <w:t>In connection with the merger (note 1), the Company recognised an intangible liability using the market approach wherein the Company’s actual charter agreements were compared to market rates at the merger date.</w:t>
      </w:r>
    </w:p>
    <w:p>
      <w:pPr>
        <w:spacing w:after="0" w:line="5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These intangible lease liabilities are amortized as an increase of time charter revenue over the remaining term of the relevant charter.</w:t>
      </w:r>
    </w:p>
    <w:p>
      <w:pPr>
        <w:spacing w:after="0" w:line="113" w:lineRule="exact"/>
        <w:rPr>
          <w:sz w:val="20"/>
          <w:szCs w:val="20"/>
          <w:color w:val="auto"/>
        </w:rPr>
      </w:pPr>
    </w:p>
    <w:p>
      <w:pPr>
        <w:ind w:left="892" w:hanging="446"/>
        <w:spacing w:after="0"/>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12" w:right="20"/>
        <w:spacing w:after="0" w:line="255" w:lineRule="auto"/>
        <w:rPr>
          <w:sz w:val="20"/>
          <w:szCs w:val="20"/>
          <w:color w:val="auto"/>
        </w:rPr>
      </w:pPr>
      <w:r>
        <w:rPr>
          <w:rFonts w:ascii="Arial" w:cs="Arial" w:eastAsia="Arial" w:hAnsi="Arial"/>
          <w:sz w:val="18"/>
          <w:szCs w:val="18"/>
          <w:color w:val="auto"/>
        </w:rPr>
        <w:t>Other comprehensive income (loss), which was reported in the accompanying combined statement of equity, consisted of net income (loss) and other gains and losses affecting equity that, under US GAAP, were excluded from net income (loss). Other comprehensive income (loss) included the effective portion of derivative financial instruments that qualified as hedge accounting which were deferred in accordance with accounting principles described above, and the impact of the translation of foreign currency statements, as certain subsidiary entities had a functional currency different from the U.S. dollar.</w:t>
      </w:r>
    </w:p>
    <w:p>
      <w:pPr>
        <w:spacing w:after="0" w:line="62" w:lineRule="exact"/>
        <w:rPr>
          <w:sz w:val="20"/>
          <w:szCs w:val="20"/>
          <w:color w:val="auto"/>
        </w:rPr>
      </w:pPr>
    </w:p>
    <w:p>
      <w:pPr>
        <w:ind w:left="892" w:hanging="446"/>
        <w:spacing w:after="0"/>
        <w:tabs>
          <w:tab w:leader="none" w:pos="8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Comparative figures</w:t>
      </w:r>
    </w:p>
    <w:p>
      <w:pPr>
        <w:spacing w:after="0" w:line="90" w:lineRule="exact"/>
        <w:rPr>
          <w:sz w:val="20"/>
          <w:szCs w:val="20"/>
          <w:color w:val="auto"/>
        </w:rPr>
      </w:pPr>
    </w:p>
    <w:p>
      <w:pPr>
        <w:ind w:left="912" w:right="800"/>
        <w:spacing w:after="0" w:line="268" w:lineRule="auto"/>
        <w:rPr>
          <w:sz w:val="20"/>
          <w:szCs w:val="20"/>
          <w:color w:val="auto"/>
        </w:rPr>
      </w:pPr>
      <w:r>
        <w:rPr>
          <w:rFonts w:ascii="Arial" w:cs="Arial" w:eastAsia="Arial" w:hAnsi="Arial"/>
          <w:sz w:val="18"/>
          <w:szCs w:val="18"/>
          <w:color w:val="auto"/>
        </w:rPr>
        <w:t>Certain of the figures presented in the balance sheet have been reclassified for comparative purposes to conform to the financial statement presentation adopted for the current year.</w:t>
      </w:r>
    </w:p>
    <w:p>
      <w:pPr>
        <w:spacing w:after="0" w:line="51" w:lineRule="exact"/>
        <w:rPr>
          <w:sz w:val="20"/>
          <w:szCs w:val="20"/>
          <w:color w:val="auto"/>
        </w:rPr>
      </w:pPr>
    </w:p>
    <w:p>
      <w:pPr>
        <w:ind w:left="892" w:hanging="446"/>
        <w:spacing w:after="0"/>
        <w:tabs>
          <w:tab w:leader="none" w:pos="8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left="912" w:right="120"/>
        <w:spacing w:after="0" w:line="323" w:lineRule="auto"/>
        <w:rPr>
          <w:sz w:val="20"/>
          <w:szCs w:val="20"/>
          <w:color w:val="auto"/>
        </w:rPr>
      </w:pPr>
      <w:r>
        <w:rPr>
          <w:rFonts w:ascii="Arial" w:cs="Arial" w:eastAsia="Arial" w:hAnsi="Arial"/>
          <w:sz w:val="15"/>
          <w:szCs w:val="15"/>
          <w:color w:val="auto"/>
        </w:rPr>
        <w:t>Segment information has been prepared on the same basis that it is reported internally to the Company’s chief operating decision maker. The Company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w:t>
      </w:r>
    </w:p>
    <w:p>
      <w:pPr>
        <w:spacing w:after="0" w:line="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12"/>
          </w:cols>
          <w:pgMar w:left="248"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jc w:val="both"/>
        <w:ind w:left="920" w:right="20"/>
        <w:spacing w:after="0" w:line="298" w:lineRule="auto"/>
        <w:rPr>
          <w:sz w:val="20"/>
          <w:szCs w:val="20"/>
          <w:color w:val="auto"/>
        </w:rPr>
      </w:pPr>
      <w:r>
        <w:rPr>
          <w:rFonts w:ascii="Arial" w:cs="Arial" w:eastAsia="Arial" w:hAnsi="Arial"/>
          <w:sz w:val="16"/>
          <w:szCs w:val="16"/>
          <w:color w:val="auto"/>
        </w:rPr>
        <w:t>The Company charters out its vessels on time charters which involves placing a vessel at a charterer’s disposal for a period of time during which the charterer uses the vessel in return for the payment of a specified daily hire rate. Such revenues are accounted for as operating leases and are therefore recognized on a straight line basis as the average revenues over the rental periods of such charter agreements, as service is performed, except for loss generating time charters, in which case the loss would be recognized in the period when such accumulated loss is determined.</w:t>
      </w:r>
    </w:p>
    <w:p>
      <w:pPr>
        <w:spacing w:after="0" w:line="32"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excluding mainly time based costs such as charter costs, fuel and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3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20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6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jc w:val="both"/>
        <w:ind w:left="920" w:right="100"/>
        <w:spacing w:after="0" w:line="335" w:lineRule="auto"/>
        <w:rPr>
          <w:sz w:val="20"/>
          <w:szCs w:val="20"/>
          <w:color w:val="auto"/>
        </w:rPr>
      </w:pPr>
      <w:r>
        <w:rPr>
          <w:rFonts w:ascii="Arial" w:cs="Arial" w:eastAsia="Arial" w:hAnsi="Arial"/>
          <w:sz w:val="15"/>
          <w:szCs w:val="15"/>
          <w:color w:val="auto"/>
        </w:rPr>
        <w:t>The Company maintains hull and machinery insurance, war risk insurance, protection and indemnity insurance coverage, increased value insurance, demurrage and defence insurance coverage in amounts considered prudent to cover normal risks in the ordinary course of its operations. Premiums paid in advance to insurance companies are recognized as prepaid expenses and expensed over the period covered by the insurance contract.</w:t>
      </w:r>
    </w:p>
    <w:p>
      <w:pPr>
        <w:spacing w:after="0" w:line="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The Company awards restricted stock units to its employees and directors which vest based on service conditions only, over a period of time up to three years from the award date.</w:t>
      </w:r>
    </w:p>
    <w:p>
      <w:pPr>
        <w:spacing w:after="0" w:line="51" w:lineRule="exact"/>
        <w:rPr>
          <w:sz w:val="20"/>
          <w:szCs w:val="20"/>
          <w:color w:val="auto"/>
        </w:rPr>
      </w:pPr>
    </w:p>
    <w:p>
      <w:pPr>
        <w:jc w:val="both"/>
        <w:ind w:left="920" w:right="50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5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The Company and its Marshall Island subsidiaries are exempt from taxation in the Marshall Islands. The Company’s Cypriot subsidiaries are liable for a tax based on the tonnage of each vessel.</w:t>
      </w:r>
    </w:p>
    <w:p>
      <w:pPr>
        <w:spacing w:after="0" w:line="51"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The Company has one subsidiary in the United Kingdom which was incorporated in 2007, where the principal rate of corporate income tax is 28% (2008: 30%). This subsidiary earns management and other fees from fellow subsidiary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Income taxes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period of the vessels’ ownership by CMA CGM, the Company was liable for a tax based on the tonnage of each vessel.</w:t>
      </w:r>
    </w:p>
    <w:p>
      <w:pPr>
        <w:spacing w:after="0" w:line="90"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However, with regard to a deferred tax asset arising from the recognition of compensation costs for share awards, the Company recognizes a deferred asset based on the compensation cost booked in the reporting period with no adjustment for a valuation allowance, in accordance with the requirements of FAS 123R “Accounting for stock based compensation”.</w:t>
      </w:r>
    </w:p>
    <w:p>
      <w:pPr>
        <w:spacing w:after="0" w:line="3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combined balance sheet in the line item “dividend payable”.</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80"/>
        <w:spacing w:after="0" w:line="294" w:lineRule="auto"/>
        <w:rPr>
          <w:sz w:val="20"/>
          <w:szCs w:val="20"/>
          <w:color w:val="auto"/>
        </w:rPr>
      </w:pPr>
      <w:r>
        <w:rPr>
          <w:rFonts w:ascii="Arial" w:cs="Arial" w:eastAsia="Arial" w:hAnsi="Arial"/>
          <w:sz w:val="16"/>
          <w:szCs w:val="16"/>
          <w:color w:val="auto"/>
        </w:rPr>
        <w:t>In accordance with SFAS No. 128,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35"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ind w:left="920" w:right="220"/>
        <w:spacing w:after="0" w:line="289"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(“FAS 157”). FAS 157 enhances existing guidance for measuring assets and liabilities using fair value. Previously, guidance for applying fair value was incorporated in several accounting pronouncements. The new statement provides a single definition of fair value, together with a framework for measuring it, and requires additional disclosure about the use of fair value to measure assets and liabilities. While the statement does not add any new fair value measurements, it did change previous practice. One such change is a requirement to adjust the value of non-vested stock for the effect of the restriction even if the restriction lapses within one year. FAS 157 is effective for financial statements issued for fiscal years beginning after November 15, 2007, and interim periods within those fiscal years. The adoption of FAS 157 on January 1, 2008, did not have a material impact on the unaudited combined financial statements of the Company.</w:t>
      </w:r>
    </w:p>
    <w:p>
      <w:pPr>
        <w:spacing w:after="0" w:line="37" w:lineRule="exact"/>
        <w:rPr>
          <w:sz w:val="20"/>
          <w:szCs w:val="20"/>
          <w:color w:val="auto"/>
        </w:rPr>
      </w:pPr>
    </w:p>
    <w:p>
      <w:pPr>
        <w:ind w:left="920" w:right="320"/>
        <w:spacing w:after="0" w:line="332" w:lineRule="auto"/>
        <w:rPr>
          <w:sz w:val="20"/>
          <w:szCs w:val="20"/>
          <w:color w:val="auto"/>
        </w:rPr>
      </w:pPr>
      <w:r>
        <w:rPr>
          <w:rFonts w:ascii="Arial" w:cs="Arial" w:eastAsia="Arial" w:hAnsi="Arial"/>
          <w:sz w:val="16"/>
          <w:szCs w:val="16"/>
          <w:color w:val="auto"/>
        </w:rPr>
        <w:t>In November 2007, the FASB provided under FASB Staff Position (“FSP”) FSP 157-2 a one year deferral for the implementation of FAS 157 for non-financial assets and liabilities reported or disclosed at fair value in the financial statements on a nonrecurring basis.</w:t>
      </w:r>
    </w:p>
    <w:p>
      <w:pPr>
        <w:spacing w:after="0" w:line="4"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SFAS No. 141(R), Business Combinations (“SFAS 141(R)”), was issued in December 2007 (“FAS 141(R)”). FAS 141(R) requires that upon initially obtaining control, an acquirer will recognize 100% of the fair values of acquired assets, including goodwill, and assumed liabilities, with only limited exceptions, even if the acquirer has not acquired 100% of its target. Additionally, contingent consideration arrangements will be fair valued at the acquisition date and included on that basis in the purchase price consideration and transaction costs will be expensed as incurred. FAS 141(R) also modifies the recognition for pre-acquisition contingencies, such as environmental or legal issues, restructuring plans and acquired research and development value in purchase accounting. FAS 141(R) amends Statement of Financial Accounting Standards No. 109, Accounting for Income Taxes, to require the acquirer to recognize changes in the amount of 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892" w:hanging="446"/>
        <w:spacing w:after="0"/>
        <w:tabs>
          <w:tab w:leader="none" w:pos="8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Recently issued accounting standards (continued)</w:t>
      </w:r>
    </w:p>
    <w:p>
      <w:pPr>
        <w:spacing w:after="0" w:line="158" w:lineRule="exact"/>
        <w:rPr>
          <w:sz w:val="20"/>
          <w:szCs w:val="20"/>
          <w:color w:val="auto"/>
        </w:rPr>
      </w:pPr>
    </w:p>
    <w:p>
      <w:pPr>
        <w:ind w:left="912" w:right="180"/>
        <w:spacing w:after="0" w:line="255" w:lineRule="auto"/>
        <w:rPr>
          <w:sz w:val="20"/>
          <w:szCs w:val="20"/>
          <w:color w:val="auto"/>
        </w:rPr>
      </w:pPr>
      <w:r>
        <w:rPr>
          <w:rFonts w:ascii="Arial" w:cs="Arial" w:eastAsia="Arial" w:hAnsi="Arial"/>
          <w:sz w:val="18"/>
          <w:szCs w:val="18"/>
          <w:color w:val="auto"/>
        </w:rPr>
        <w:t>deferred tax benefits that are recognizable because of a business combination either in income from continuing operations in the period of the combination or directly in contributed capital, depending on the circumstances. FAS 141(R) is effective for fiscal years beginning after December 15, 2008. Adoption is prospective and early adoption is not permitted. The Company expects to adopt FAS 141 (R) on January 1, 2009. FAS 141(R)’s impact on accounting for business combinations is dependent upon acquisitions at that time. The Company does not anticipate any material impact from the adoption of FAS 141 (R).</w:t>
      </w:r>
    </w:p>
    <w:p>
      <w:pPr>
        <w:spacing w:after="0" w:line="62" w:lineRule="exact"/>
        <w:rPr>
          <w:sz w:val="20"/>
          <w:szCs w:val="20"/>
          <w:color w:val="auto"/>
        </w:rPr>
      </w:pPr>
    </w:p>
    <w:p>
      <w:pPr>
        <w:ind w:left="912" w:right="40"/>
        <w:spacing w:after="0" w:line="307" w:lineRule="auto"/>
        <w:rPr>
          <w:sz w:val="20"/>
          <w:szCs w:val="20"/>
          <w:color w:val="auto"/>
        </w:rPr>
      </w:pPr>
      <w:r>
        <w:rPr>
          <w:rFonts w:ascii="Arial" w:cs="Arial" w:eastAsia="Arial" w:hAnsi="Arial"/>
          <w:sz w:val="15"/>
          <w:szCs w:val="15"/>
          <w:color w:val="auto"/>
        </w:rPr>
        <w:t>SFAS No. 160, Non-controlling Interests in Consolidated Financial Statements — an amendment of ARB No. 51 (“FAS 160”), was issued in December 2007. FAS 160 clarifies the classification of non-controlling interests in consolidated statements of financial position and the accounting for and reporting of transactions between the reporting entity and holders of such non-controlling interests. Under FAS 160 non-controlling interests are considered equity and should be reported as an element of consolidated equity, net income will encompass the total income of all consolidated subsidiaries and there will be separate disclosure on the face of the income statement of the attribution of that income between the controlling and non-controlling interests, and increases and decreases in the non-controlling ownership interest amount will be accounted for as equity transactions. FAS 160 is effective for the first annual reporting period beginning on or after December 15, 2008, and earlier application is prohibited. FAS 160 is required to be adopted prospectively, except for the reclassification of non controlling interests to equity, separate from the parent’s shareholders’ equity, in the consolidated statement of financial position and recasting consolidated net income (loss) to include net income (loss) attributable to both the controlling and non-controlling interests, both of which are required to be adopted retrospectively. The Company expects to adopt FAS 160 on January 1, 2009 and does not anticipate any material impact of this adoption on its unaudited combined financial statements.</w:t>
      </w:r>
    </w:p>
    <w:p>
      <w:pPr>
        <w:spacing w:after="0" w:line="3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In March 2008, the FASB issued SFAS No. 161, Disclosures about Derivative Instruments and Hedging Activities – an amendment of SFAS</w:t>
      </w:r>
    </w:p>
    <w:p>
      <w:pPr>
        <w:spacing w:after="0" w:line="38" w:lineRule="exact"/>
        <w:rPr>
          <w:sz w:val="20"/>
          <w:szCs w:val="20"/>
          <w:color w:val="auto"/>
        </w:rPr>
      </w:pPr>
    </w:p>
    <w:p>
      <w:pPr>
        <w:ind w:left="912"/>
        <w:spacing w:after="0" w:line="295" w:lineRule="auto"/>
        <w:rPr>
          <w:sz w:val="20"/>
          <w:szCs w:val="20"/>
          <w:color w:val="auto"/>
        </w:rPr>
      </w:pPr>
      <w:r>
        <w:rPr>
          <w:rFonts w:ascii="Arial" w:cs="Arial" w:eastAsia="Arial" w:hAnsi="Arial"/>
          <w:sz w:val="16"/>
          <w:szCs w:val="16"/>
          <w:color w:val="auto"/>
        </w:rPr>
        <w:t>No. 133, Accounting for Derivative Instruments and Hedging Activities (“FAS 161”). FAS 161 expands disclosures previously required under FAS 133 about how derivatives and hedging activities affect the Company’s financial position, financial performance, and cash flow. FAS 161 is effective for fiscal years beginning after November 15, 2008. The Company expects to adopt FAS 161 on January 1, 2009. FAS 161’s will extend the disclosures provided in notes to the unaudited combined financial statements related to derivative instruments and hedging activities.</w:t>
      </w:r>
    </w:p>
    <w:p>
      <w:pPr>
        <w:spacing w:after="0" w:line="34" w:lineRule="exact"/>
        <w:rPr>
          <w:sz w:val="20"/>
          <w:szCs w:val="20"/>
          <w:color w:val="auto"/>
        </w:rPr>
      </w:pPr>
    </w:p>
    <w:p>
      <w:pPr>
        <w:ind w:left="912" w:right="60"/>
        <w:spacing w:after="0" w:line="255" w:lineRule="auto"/>
        <w:rPr>
          <w:sz w:val="20"/>
          <w:szCs w:val="20"/>
          <w:color w:val="auto"/>
        </w:rPr>
      </w:pPr>
      <w:r>
        <w:rPr>
          <w:rFonts w:ascii="Arial" w:cs="Arial" w:eastAsia="Arial" w:hAnsi="Arial"/>
          <w:sz w:val="18"/>
          <w:szCs w:val="18"/>
          <w:color w:val="auto"/>
        </w:rPr>
        <w:t>In April 2008, the FASB issued FSP No.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 FSP 142-3 is effective for financial statements issued for fiscal years beginning after December 15, 2008. Early adoption is prohibited. The Company does not expect the adoption of FSP 142-3 to have a material impact on its unaudited combined financial statements.</w:t>
      </w:r>
    </w:p>
    <w:p>
      <w:pPr>
        <w:spacing w:after="0" w:line="62" w:lineRule="exact"/>
        <w:rPr>
          <w:sz w:val="20"/>
          <w:szCs w:val="20"/>
          <w:color w:val="auto"/>
        </w:rPr>
      </w:pPr>
    </w:p>
    <w:p>
      <w:pPr>
        <w:ind w:left="912" w:right="260"/>
        <w:spacing w:after="0" w:line="298" w:lineRule="auto"/>
        <w:rPr>
          <w:sz w:val="20"/>
          <w:szCs w:val="20"/>
          <w:color w:val="auto"/>
        </w:rPr>
      </w:pPr>
      <w:r>
        <w:rPr>
          <w:rFonts w:ascii="Arial" w:cs="Arial" w:eastAsia="Arial" w:hAnsi="Arial"/>
          <w:sz w:val="16"/>
          <w:szCs w:val="16"/>
          <w:color w:val="auto"/>
        </w:rPr>
        <w:t>The FASB issued SFAS No. 162, “The Hierarchy of Generally Accepted Accounting Principles “ (“FAS 162”) in May 2008, which identifies the sources of accounting principles and the framework for selecting the principles to be used in the preparation of financial statements of nongovernmental entities that are presented in conformity with US GAAP. The effective date of FAS 162 is November 15, 2008. The adoption of FAS 162 did not change the Company’s accounting policies nor did it have an effect on its results of operations or financial position.</w:t>
      </w:r>
    </w:p>
    <w:p>
      <w:pPr>
        <w:spacing w:after="0" w:line="32" w:lineRule="exact"/>
        <w:rPr>
          <w:sz w:val="20"/>
          <w:szCs w:val="20"/>
          <w:color w:val="auto"/>
        </w:rPr>
      </w:pPr>
    </w:p>
    <w:p>
      <w:pPr>
        <w:ind w:left="912" w:right="160"/>
        <w:spacing w:after="0" w:line="294" w:lineRule="auto"/>
        <w:rPr>
          <w:sz w:val="20"/>
          <w:szCs w:val="20"/>
          <w:color w:val="auto"/>
        </w:rPr>
      </w:pPr>
      <w:r>
        <w:rPr>
          <w:rFonts w:ascii="Arial" w:cs="Arial" w:eastAsia="Arial" w:hAnsi="Arial"/>
          <w:sz w:val="16"/>
          <w:szCs w:val="16"/>
          <w:color w:val="auto"/>
        </w:rPr>
        <w:t>In June 2008, the FASB ratified the consensus reached on EITF Issue No. 07-05, “Determining Whether an Instrument (or Embedded Feature) Is Indexed to an Entity’s Own Stock” (“EITF 07-05”). EITF 07-05 clarifies the determination of whether an instrument (or an embedded feature) is indexed to an entity’s own stock, which would qualify as a scope exception under FAS 133. EITF 07-05 is effective for financial statements issued for fiscal years beginning after December 15, 2008. Early adoption for an existing instrument is not permitted. The Company does not expect the adoption of EITF 07-05 to have a material impact on its unaudited combined financial statements.</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72"/>
          </w:cols>
          <w:pgMar w:left="248" w:top="274" w:right="279" w:bottom="1440" w:gutter="0" w:footer="0" w:header="0"/>
        </w:sectPr>
      </w:pPr>
    </w:p>
    <w:bookmarkStart w:id="33" w:name="page34"/>
    <w:bookmarkEnd w:id="33"/>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892" w:hanging="446"/>
        <w:spacing w:after="0"/>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Recently issued accounting standards (continued)</w:t>
      </w:r>
    </w:p>
    <w:p>
      <w:pPr>
        <w:spacing w:after="0" w:line="158" w:lineRule="exact"/>
        <w:rPr>
          <w:sz w:val="20"/>
          <w:szCs w:val="20"/>
          <w:color w:val="auto"/>
        </w:rPr>
      </w:pPr>
    </w:p>
    <w:p>
      <w:pPr>
        <w:ind w:left="912" w:right="260"/>
        <w:spacing w:after="0" w:line="298"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(“EITF 03-6-1”). FSP EITF 03-6-1 clarifies whether instruments granted in share-based payment transactions should be included in the computation of EPS using the two-class method prior to vesting. The Company is in the process of analyzing the impact of FSP EITF03-6-1, which is effective for financial statements issued for fiscal years beginning after December 15, 2008.</w:t>
      </w:r>
    </w:p>
    <w:p>
      <w:pPr>
        <w:spacing w:after="0" w:line="32" w:lineRule="exact"/>
        <w:rPr>
          <w:sz w:val="20"/>
          <w:szCs w:val="20"/>
          <w:color w:val="auto"/>
        </w:rPr>
      </w:pPr>
    </w:p>
    <w:p>
      <w:pPr>
        <w:ind w:left="912" w:right="38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unaudited combined financial statements of the Company.</w:t>
      </w:r>
    </w:p>
    <w:p>
      <w:pPr>
        <w:spacing w:after="0" w:line="51" w:lineRule="exact"/>
        <w:rPr>
          <w:sz w:val="20"/>
          <w:szCs w:val="20"/>
          <w:color w:val="auto"/>
        </w:rPr>
      </w:pPr>
    </w:p>
    <w:p>
      <w:pPr>
        <w:ind w:left="912"/>
        <w:spacing w:after="0" w:line="298" w:lineRule="auto"/>
        <w:rPr>
          <w:sz w:val="20"/>
          <w:szCs w:val="20"/>
          <w:color w:val="auto"/>
        </w:rPr>
      </w:pPr>
      <w:r>
        <w:rPr>
          <w:rFonts w:ascii="Arial" w:cs="Arial" w:eastAsia="Arial" w:hAnsi="Arial"/>
          <w:sz w:val="16"/>
          <w:szCs w:val="16"/>
          <w:color w:val="auto"/>
        </w:rPr>
        <w:t>On April 9, 2009, the FASB issued FASB Staff Position (FSP) No. 107-1 and APB 28-1 (FSP 107-1 and APB 28-1), “Interim Disclosures about Fair Value of Financial Instruments.” This FSP requires disclosures of fair value for any financial instruments not currently reflected at fair value on the balance sheet for all interim periods. This FSP is effective for interim and annual periods ending after June 15, 2009 and should be applied prospectively. The Company does not expect any material financial statement implications relating to the adoption of this FSP.</w:t>
      </w:r>
    </w:p>
    <w:p>
      <w:pPr>
        <w:spacing w:after="0" w:line="32"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color w:val="auto"/>
        </w:rPr>
        <w:t>On April 9, 2009 the FASB issued FSP No. 115-2 and Financial Accounting Standard (FAS) 124-2 (FSP No. 115-2 and FAS 124-2), “Recognition and Presentation of Other Than Temporary Impairments.” This FSP is intended to bring greater consistency to the timing of impairment recognition, and provide greater clarity to investors about the credit and noncredit components of impaired debt securities that are not expected to be sold. This FSP also requires increased and more timely disclosures regarding expected cash flows, credit losses, and an aging of securities with unrealized losses. This FSP is effective for interim and annual periods ending after June 15, 2009 and should be applied prospectively. The Company does not expect any material financial statement implications relating to the adoption of this FSP.</w:t>
      </w:r>
    </w:p>
    <w:p>
      <w:pPr>
        <w:spacing w:after="0" w:line="39" w:lineRule="exact"/>
        <w:rPr>
          <w:sz w:val="20"/>
          <w:szCs w:val="20"/>
          <w:color w:val="auto"/>
        </w:rPr>
      </w:pPr>
    </w:p>
    <w:p>
      <w:pPr>
        <w:ind w:left="912" w:right="160"/>
        <w:spacing w:after="0" w:line="289" w:lineRule="auto"/>
        <w:rPr>
          <w:sz w:val="20"/>
          <w:szCs w:val="20"/>
          <w:color w:val="auto"/>
        </w:rPr>
      </w:pPr>
      <w:r>
        <w:rPr>
          <w:rFonts w:ascii="Arial" w:cs="Arial" w:eastAsia="Arial" w:hAnsi="Arial"/>
          <w:sz w:val="16"/>
          <w:szCs w:val="16"/>
          <w:color w:val="auto"/>
        </w:rPr>
        <w:t>It is expected that the “Financial Accounting Standards Board (FASB) Accounting Standards Codification ” (the Codification) will be effective on July 1, 2009, officially becoming the single source of authoritative nongovernmental U.S. generally accepted accounting principles (GAAP), superseding existing FASB, American Institute of Certified Public Accountants (AICPA), Emerging Issues Task Force (EITF), and related accounting literature. After that date, only one level of authoritative GAAP will exist. All other accounting literature will be considered non-authoritative. The Codification reorganizes the thousands of GAAP pronouncements into roughly 90 accounting topics and displays them using a consistent structure. Also included in the Codification is relevant Securities and Exchange Commission (SEC) guidance organized using the same topical structure in separate sections within the Codification. This will have an impact to the Company’s financial statements since all future references to authoritative accounting literature will be references in accordance with the Codification.</w:t>
      </w:r>
    </w:p>
    <w:p>
      <w:pPr>
        <w:spacing w:after="0" w:line="37" w:lineRule="exact"/>
        <w:rPr>
          <w:sz w:val="20"/>
          <w:szCs w:val="20"/>
          <w:color w:val="auto"/>
        </w:rPr>
      </w:pPr>
    </w:p>
    <w:p>
      <w:pPr>
        <w:ind w:left="912" w:right="38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unaudited combined financial statements of the Company.</w:t>
      </w:r>
    </w:p>
    <w:p>
      <w:pPr>
        <w:spacing w:after="0" w:line="248"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$915,562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898,048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52"/>
          </w:cols>
          <w:pgMar w:left="248" w:top="274"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360" w:type="dxa"/>
            <w:vAlign w:val="bottom"/>
          </w:tcPr>
          <w:p>
            <w:pPr>
              <w:jc w:val="center"/>
              <w:ind w:left="2052"/>
              <w:spacing w:after="0"/>
              <w:rPr>
                <w:sz w:val="20"/>
                <w:szCs w:val="20"/>
                <w:color w:val="auto"/>
              </w:rPr>
            </w:pPr>
            <w:r>
              <w:rPr>
                <w:rFonts w:ascii="Arial" w:cs="Arial" w:eastAsia="Arial" w:hAnsi="Arial"/>
                <w:sz w:val="18"/>
                <w:szCs w:val="18"/>
                <w:b w:val="1"/>
                <w:bCs w:val="1"/>
                <w:color w:val="auto"/>
                <w:w w:val="88"/>
              </w:rPr>
              <w:t>Global Ship Lease, Inc.</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60" w:type="dxa"/>
            <w:vAlign w:val="bottom"/>
          </w:tcPr>
          <w:p>
            <w:pPr>
              <w:jc w:val="center"/>
              <w:ind w:left="2072"/>
              <w:spacing w:after="0"/>
              <w:rPr>
                <w:sz w:val="20"/>
                <w:szCs w:val="20"/>
                <w:color w:val="auto"/>
              </w:rPr>
            </w:pPr>
            <w:r>
              <w:rPr>
                <w:rFonts w:ascii="Arial" w:cs="Arial" w:eastAsia="Arial" w:hAnsi="Arial"/>
                <w:sz w:val="18"/>
                <w:szCs w:val="18"/>
                <w:b w:val="1"/>
                <w:bCs w:val="1"/>
                <w:color w:val="auto"/>
                <w:w w:val="88"/>
              </w:rPr>
              <w:t>Notes to the Interim Unaudited Combined Financial Statements (continued)</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60" w:type="dxa"/>
            <w:vAlign w:val="bottom"/>
          </w:tcPr>
          <w:p>
            <w:pPr>
              <w:jc w:val="center"/>
              <w:ind w:left="2072"/>
              <w:spacing w:after="0"/>
              <w:rPr>
                <w:sz w:val="20"/>
                <w:szCs w:val="20"/>
                <w:color w:val="auto"/>
              </w:rPr>
            </w:pPr>
            <w:r>
              <w:rPr>
                <w:rFonts w:ascii="Arial" w:cs="Arial" w:eastAsia="Arial" w:hAnsi="Arial"/>
                <w:sz w:val="18"/>
                <w:szCs w:val="18"/>
                <w:color w:val="auto"/>
                <w:w w:val="88"/>
              </w:rPr>
              <w:t>(Expressed in thousands of U.S. dollars)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85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Long-term debt is summarized as follows: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2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+ 1.25% to 2.75% (below)</w:t>
            </w:r>
          </w:p>
        </w:tc>
        <w:tc>
          <w:tcPr>
            <w:tcW w:w="13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$542,100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Less current installments of long-term debt</w:t>
            </w:r>
          </w:p>
        </w:tc>
        <w:tc>
          <w:tcPr>
            <w:tcW w:w="26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8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3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542,100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line="290" w:lineRule="auto"/>
        <w:rPr>
          <w:sz w:val="20"/>
          <w:szCs w:val="20"/>
          <w:color w:val="auto"/>
        </w:rPr>
      </w:pPr>
      <w:r>
        <w:rPr>
          <w:rFonts w:ascii="Arial" w:cs="Arial" w:eastAsia="Arial" w:hAnsi="Arial"/>
          <w:sz w:val="16"/>
          <w:szCs w:val="16"/>
          <w:color w:val="auto"/>
        </w:rPr>
        <w:t>The Company established a $800,000 senior secured credit facility with Fortis Bank, Citibank, HSH Nordbank, Sumitomo Mitsui, KFW and DnB Nor Bank. On February 10, 2009 the Company announced it had amended the terms of this agreement, and the following terms reflect the amended agreement. The margin applicable on interest payable under the credit facility varies from 1.25% to 2.75% over LIBOR depending on the “leverage ratio”, which is the ratio of the balance outstanding on the credit facility to the aggregate market value of the vessels, as determined from time to time. The Company also pays a commitment fee of 0.50% per annum based on the undrawn portion of the credit facility (0.25% per annum up to February 10, 2009), which amounted to $252,527 at March 31, 2009. The credit facility amount will reduce commencing four years from the date of the closing of the facility which was in December 2007 in 16 quarterly installments.</w:t>
      </w:r>
    </w:p>
    <w:p>
      <w:pPr>
        <w:spacing w:after="0" w:line="37" w:lineRule="exact"/>
        <w:rPr>
          <w:sz w:val="20"/>
          <w:szCs w:val="20"/>
          <w:color w:val="auto"/>
        </w:rPr>
      </w:pPr>
    </w:p>
    <w:p>
      <w:pPr>
        <w:ind w:left="460" w:right="200"/>
        <w:spacing w:after="0" w:line="323" w:lineRule="auto"/>
        <w:rPr>
          <w:sz w:val="20"/>
          <w:szCs w:val="20"/>
          <w:color w:val="auto"/>
        </w:rPr>
      </w:pPr>
      <w:r>
        <w:rPr>
          <w:rFonts w:ascii="Arial" w:cs="Arial" w:eastAsia="Arial" w:hAnsi="Arial"/>
          <w:sz w:val="15"/>
          <w:szCs w:val="15"/>
          <w:color w:val="auto"/>
        </w:rPr>
        <w:t>This credit facility is secured by, inter alia, first priority mortgages on each of the vessels in the security package, a pledge of shares of the vessel owning subsidiaries as well as assignments of earnings and insurances. The financial covenants within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17"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The credit facility also has a loan to value maintenance covenant of 100% for the period, applicable for test dates in the period April 30, 2009 to April 30, 2010. During this period, the Company will have no restrictions on its ability to distribute dividends unless the loan to value ratio exceeds 90%, at which point the Company will be required to place 50% of its quarterly cash available for distribution in a pledged account. The pledged account would be released back to the Company if loan to value falls back below 90% during a subsequent valuation period. If the loan to value ratio exceeds 100%, the Company may be required to provide additional security to reduce the loan to value ratio to below 100%.</w:t>
      </w:r>
    </w:p>
    <w:p>
      <w:pPr>
        <w:spacing w:after="0" w:line="35"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connection with the amendment of the terms of the Company’s $800 million credit agreement in February 2009, Global Ship Lease, Inc. paid $3,293 for amendment fees and other related costs. These costs are reported in the balance sheet as deferred financing costs. As the borrowing capacity under the new terms was reduced in that amortization of the facility was brought forward by one year, the unamortized portion of deferred financing costs existing prior to the amendment in February 2009 was written off in proportion to the decrease in the borrowing capacity. This amounted to $176. . The remaining unamortized deferred financing costs existing at the time of the amendment are deferred and amortized over the amended terms of the credit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274" w:right="259" w:bottom="1440" w:gutter="0" w:footer="0" w:header="0"/>
        </w:sectPr>
      </w:pPr>
    </w:p>
    <w:bookmarkStart w:id="35" w:name="page36"/>
    <w:bookmarkEnd w:id="3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52" w:right="20"/>
        <w:spacing w:after="0" w:line="332" w:lineRule="auto"/>
        <w:rPr>
          <w:rFonts w:ascii="Arial" w:cs="Arial" w:eastAsia="Arial" w:hAnsi="Arial"/>
          <w:sz w:val="18"/>
          <w:szCs w:val="18"/>
          <w:color w:val="auto"/>
        </w:rPr>
      </w:pPr>
      <w:r>
        <w:rPr>
          <w:rFonts w:ascii="Arial" w:cs="Arial" w:eastAsia="Arial" w:hAnsi="Arial"/>
          <w:sz w:val="16"/>
          <w:szCs w:val="16"/>
          <w:color w:val="auto"/>
        </w:rPr>
        <w:t>CMA CGM is presented as a related party as it was, until the merger, the parent company of Global Ship Lease, Inc. and at March 31, 2009 is a significant shareholder of the Company, owning certain Class A and Class B common shares representing a 45% voting interest in the Company.</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6"/>
              </w:rPr>
              <w:t>2009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Successor</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780" w:type="dxa"/>
            <w:vAlign w:val="bottom"/>
            <w:gridSpan w:val="2"/>
          </w:tcPr>
          <w:p>
            <w:pPr>
              <w:ind w:left="68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780" w:type="dxa"/>
            <w:vAlign w:val="bottom"/>
            <w:gridSpan w:val="2"/>
          </w:tcPr>
          <w:p>
            <w:pPr>
              <w:ind w:left="68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52" w:right="620"/>
        <w:spacing w:after="0" w:line="357" w:lineRule="auto"/>
        <w:rPr>
          <w:sz w:val="20"/>
          <w:szCs w:val="20"/>
          <w:color w:val="auto"/>
        </w:rPr>
      </w:pPr>
      <w:r>
        <w:rPr>
          <w:rFonts w:ascii="Arial" w:cs="Arial" w:eastAsia="Arial" w:hAnsi="Arial"/>
          <w:sz w:val="15"/>
          <w:szCs w:val="15"/>
          <w:color w:val="auto"/>
        </w:rPr>
        <w:t>CMA CGM subsidiaries provide Global Ship Lease, Inc. and its subsidiaries with certain ship management services related to the operation of the Company’s fleet. The current account at March 31, 2009 and December 31, 2008 related to amounts payable by or recoverable from CMA CGM.</w:t>
      </w:r>
    </w:p>
    <w:p>
      <w:pPr>
        <w:ind w:left="452" w:right="6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quarter, the Company paid CMA CGM a dividend of $1,291 relating to 2008, and $443 relating to the three months ended March 31, 2009 (2008: $nil).</w:t>
      </w:r>
    </w:p>
    <w:p>
      <w:pPr>
        <w:spacing w:after="0" w:line="126"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Asset Purchase Agreement</w:t>
      </w:r>
    </w:p>
    <w:p>
      <w:pPr>
        <w:spacing w:after="0" w:line="96"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As reported in note 2, the Company entered into an asset purchase agreement with CMA CGM on December 5, 2007. Under the asset purchase agreement, the Company is committed, subject to financing, to purchasing a further vessel from CMA CGM for a price of $82,000, with an expected purchase date of July 2009.</w:t>
      </w:r>
    </w:p>
    <w:p>
      <w:pPr>
        <w:spacing w:after="0" w:line="134"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right="40"/>
        <w:spacing w:after="0" w:line="298" w:lineRule="auto"/>
        <w:rPr>
          <w:sz w:val="20"/>
          <w:szCs w:val="20"/>
          <w:color w:val="auto"/>
        </w:rPr>
      </w:pPr>
      <w:r>
        <w:rPr>
          <w:rFonts w:ascii="Arial" w:cs="Arial" w:eastAsia="Arial" w:hAnsi="Arial"/>
          <w:sz w:val="16"/>
          <w:szCs w:val="16"/>
          <w:color w:val="auto"/>
        </w:rPr>
        <w:t>All 16 vessels owned during the period were time chartered to CMA CGM. Of the three vessels due to be delivered during 2009 to 2010, one has been chartered to CMA CGM. Under each of the time charters, hire is paid in advance and the daily rate is fixed for the duration of the charter. The charters are for remaining periods of between four and seventeen years. Of the $1,772,899 maximum future charter hire receivable for the total fleet set out in note 8, $1,650,201 relates to the 17 ships chartered or to be chartered to CMA CGM (including the vessel due for delivery).</w:t>
      </w:r>
    </w:p>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Company outsources day to day technical management of its vessels to a ship manager, CMA Ships Ltd a wholly owned subsidiary of CMA CGM, that is closely supervised by the Company’s own staff. The Company pays CMA Ships Ltd an annual management fee of $114 per vessel and reimburses costs incurred on its behalf, mainly being for the provision of crew and lubricating oils and routine maintenance. Such reimbursement is subject to a cap of between $5.4 and $8.8 per day depending on the vessel. The impact of the cap is determined quarterly and for the fleet as a whole. Ship management fees expensed for the three months ended March 31, 2009 amounted to $456 (2008: $335).</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32"/>
          </w:cols>
          <w:pgMar w:left="248" w:top="274" w:right="319" w:bottom="1440" w:gutter="0" w:footer="0" w:header="0"/>
        </w:sectPr>
      </w:pPr>
    </w:p>
    <w:bookmarkStart w:id="36" w:name="page37"/>
    <w:bookmarkEnd w:id="36"/>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right="8440" w:hanging="452"/>
        <w:spacing w:after="0" w:line="417" w:lineRule="auto"/>
        <w:tabs>
          <w:tab w:leader="none" w:pos="441"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52" w:right="40"/>
        <w:spacing w:after="0" w:line="259" w:lineRule="auto"/>
        <w:rPr>
          <w:rFonts w:ascii="Arial" w:cs="Arial" w:eastAsia="Arial" w:hAnsi="Arial"/>
          <w:sz w:val="15"/>
          <w:szCs w:val="15"/>
          <w:color w:val="auto"/>
        </w:rPr>
      </w:pPr>
      <w:r>
        <w:rPr>
          <w:rFonts w:ascii="Arial" w:cs="Arial" w:eastAsia="Arial" w:hAnsi="Arial"/>
          <w:sz w:val="18"/>
          <w:szCs w:val="18"/>
          <w:color w:val="auto"/>
        </w:rPr>
        <w:t>As reported in note 2 and note 7, the Company has contracted to purchase a further vessel from CMA CGM at a cost of $82,000. In addition, the Company is committed to purchasing two vessels from German interests in the fourth quarter of 2010 for approximately $77,000 each. A deposit of 10% has been paid for these two vessels.</w:t>
      </w:r>
    </w:p>
    <w:p>
      <w:pPr>
        <w:spacing w:after="0" w:line="134"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52"/>
        <w:spacing w:after="0" w:line="298" w:lineRule="auto"/>
        <w:rPr>
          <w:rFonts w:ascii="Arial" w:cs="Arial" w:eastAsia="Arial" w:hAnsi="Arial"/>
          <w:sz w:val="15"/>
          <w:szCs w:val="15"/>
          <w:color w:val="auto"/>
        </w:rPr>
      </w:pPr>
      <w:r>
        <w:rPr>
          <w:rFonts w:ascii="Arial" w:cs="Arial" w:eastAsia="Arial" w:hAnsi="Arial"/>
          <w:sz w:val="16"/>
          <w:szCs w:val="16"/>
          <w:color w:val="auto"/>
        </w:rPr>
        <w:t>The Company has entered into long term charters for its vessels owned at March 31, 2009. The charter hire (including that relating to vessels due for delivery in 2009 and 2010), is paid in advance and the daily rate is fixed for the duration of the charter. The charters are for periods of between five and 17 years and the maximum annual charter hire receivable for the fleet of 16 vessels as at March 31, 2009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Fleet operated as at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March 31,</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Total fleet to be</w:t>
            </w:r>
          </w:p>
        </w:tc>
        <w:tc>
          <w:tcPr>
            <w:tcW w:w="0" w:type="dxa"/>
            <w:vAlign w:val="bottom"/>
          </w:tcPr>
          <w:p>
            <w:pPr>
              <w:spacing w:after="0"/>
              <w:rPr>
                <w:sz w:val="1"/>
                <w:szCs w:val="1"/>
                <w:color w:val="auto"/>
              </w:rPr>
            </w:pPr>
          </w:p>
        </w:tc>
      </w:t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5"/>
              </w:rPr>
              <w:t>Year ending March 31</w:t>
            </w:r>
          </w:p>
        </w:tc>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operated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640" w:type="dxa"/>
            <w:vAlign w:val="bottom"/>
            <w:gridSpan w:val="2"/>
            <w:shd w:val="clear" w:color="auto" w:fill="CCEEFF"/>
          </w:tcPr>
          <w:p>
            <w:pPr>
              <w:ind w:left="64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144,347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2011</w:t>
            </w: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144,347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144,742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2013</w:t>
            </w:r>
          </w:p>
        </w:tc>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138,533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908,716</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1,106,711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40" w:type="dxa"/>
            <w:vAlign w:val="bottom"/>
            <w:gridSpan w:val="2"/>
          </w:tcPr>
          <w:p>
            <w:pPr>
              <w:ind w:left="64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1,480,685</w:t>
            </w:r>
          </w:p>
        </w:tc>
        <w:tc>
          <w:tcPr>
            <w:tcW w:w="6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1,772,899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52" w:right="260"/>
        <w:spacing w:after="0" w:line="305" w:lineRule="auto"/>
        <w:rPr>
          <w:rFonts w:ascii="Arial" w:cs="Arial" w:eastAsia="Arial" w:hAnsi="Arial"/>
          <w:sz w:val="18"/>
          <w:szCs w:val="18"/>
          <w:color w:val="auto"/>
        </w:rPr>
      </w:pPr>
      <w:r>
        <w:rPr>
          <w:rFonts w:ascii="Arial" w:cs="Arial" w:eastAsia="Arial" w:hAnsi="Arial"/>
          <w:sz w:val="15"/>
          <w:szCs w:val="15"/>
          <w:color w:val="auto"/>
        </w:rPr>
        <w:t>Segment information reported below has been prepared on the same basis that it is reported internally to the Company’s chief operating decision maker. The Company operated under two business models from which it derives its revenues reported within these unaudited combined financial statements:</w:t>
      </w:r>
    </w:p>
    <w:p>
      <w:pPr>
        <w:ind w:left="452" w:right="140"/>
        <w:spacing w:after="0" w:line="254" w:lineRule="auto"/>
        <w:rPr>
          <w:rFonts w:ascii="Arial" w:cs="Arial" w:eastAsia="Arial" w:hAnsi="Arial"/>
          <w:sz w:val="18"/>
          <w:szCs w:val="18"/>
          <w:color w:val="auto"/>
        </w:rPr>
      </w:pPr>
      <w:r>
        <w:rPr>
          <w:rFonts w:ascii="Arial" w:cs="Arial" w:eastAsia="Arial" w:hAnsi="Arial"/>
          <w:sz w:val="18"/>
          <w:szCs w:val="18"/>
          <w:color w:val="auto"/>
        </w:rPr>
        <w:t>(i)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72"/>
          </w:cols>
          <w:pgMar w:left="248" w:top="274" w:right="279" w:bottom="1440" w:gutter="0" w:footer="0" w:header="0"/>
        </w:sectPr>
      </w:pPr>
    </w:p>
    <w:bookmarkStart w:id="37" w:name="page38"/>
    <w:bookmarkEnd w:id="3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Operating Segments (continued)</w:t>
      </w:r>
    </w:p>
    <w:p>
      <w:pPr>
        <w:spacing w:after="0" w:line="163" w:lineRule="exact"/>
        <w:rPr>
          <w:rFonts w:ascii="Arial" w:cs="Arial" w:eastAsia="Arial" w:hAnsi="Arial"/>
          <w:sz w:val="18"/>
          <w:szCs w:val="18"/>
          <w:color w:val="auto"/>
        </w:rPr>
      </w:pPr>
    </w:p>
    <w:p>
      <w:pPr>
        <w:ind w:left="452" w:right="36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 in the table below includes the elimination of the Containerized Transportation activity performed by the Predecessor up to March 31, 2008.</w:t>
      </w:r>
    </w:p>
    <w:p>
      <w:pPr>
        <w:spacing w:after="0" w:line="5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During the three months ended March 31, 2009 and 2008 the activities can be analyzed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86"/>
              </w:rPr>
              <w:t>Three months ended March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79"/>
              </w:rPr>
              <w:t>Successor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4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7"/>
              </w:rPr>
              <w:t>Time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4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Charter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Adjustment</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78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21,822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7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78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10,722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8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8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2,140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w:t>
            </w:r>
          </w:p>
        </w:tc>
        <w:tc>
          <w:tcPr>
            <w:tcW w:w="17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820" w:type="dxa"/>
            <w:vAlign w:val="bottom"/>
            <w:gridSpan w:val="2"/>
          </w:tcPr>
          <w:p>
            <w:pPr>
              <w:spacing w:after="0"/>
              <w:rPr>
                <w:sz w:val="20"/>
                <w:szCs w:val="20"/>
                <w:color w:val="auto"/>
              </w:rPr>
            </w:pPr>
            <w:r>
              <w:rPr>
                <w:rFonts w:ascii="Arial" w:cs="Arial" w:eastAsia="Arial" w:hAnsi="Arial"/>
                <w:sz w:val="18"/>
                <w:szCs w:val="18"/>
                <w:color w:val="auto"/>
              </w:rPr>
              <w:t>Total operating expense</w:t>
            </w:r>
          </w:p>
        </w:tc>
        <w:tc>
          <w:tcPr>
            <w:tcW w:w="1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21,592</w:t>
            </w:r>
          </w:p>
        </w:tc>
        <w:tc>
          <w:tcPr>
            <w:tcW w:w="4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12,588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278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13,416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78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tcBorders>
              <w:right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Realized and unrealized gain on derivatives</w:t>
            </w:r>
          </w:p>
        </w:tc>
        <w:tc>
          <w:tcPr>
            <w:tcW w:w="278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2,275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before income taxes</w:t>
            </w:r>
          </w:p>
        </w:tc>
        <w:tc>
          <w:tcPr>
            <w:tcW w:w="278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82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278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2780" w:type="dxa"/>
            <w:vAlign w:val="bottom"/>
            <w:tcBorders>
              <w:right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At March 31, 2009 the Company has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Until January 1, 2009 the Company had three classes of common shares but on that date the 12,375,000 Class C common shares issued by the Company were converted into Class A common shares on a one-for-one basis.</w:t>
      </w:r>
    </w:p>
    <w:p>
      <w:pPr>
        <w:spacing w:after="0" w:line="31" w:lineRule="exact"/>
        <w:rPr>
          <w:rFonts w:ascii="Arial" w:cs="Arial" w:eastAsia="Arial" w:hAnsi="Arial"/>
          <w:sz w:val="18"/>
          <w:szCs w:val="18"/>
          <w:color w:val="auto"/>
        </w:rPr>
      </w:pPr>
    </w:p>
    <w:p>
      <w:pPr>
        <w:ind w:left="452" w:right="12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on August 14, 2011 and are required to be redeemed earlier using the proceeds of the exercise of any Public Warrants. The shares are redeemed each time that proceeds from the exercise of warrants reach $5,000. As at March 31, 2009 total proceeds received from the exercise of warrants classified in the balance sheet as restricted cash were $3,026, and therefore none of the preferred shares were redeemed. Series A preferred shares are classified as a liability. The dividend that preferred shares holders are entitled to receive quarterly is presented as part of interest expense.</w:t>
      </w:r>
    </w:p>
    <w:p>
      <w:pPr>
        <w:spacing w:after="0" w:line="34"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At March 31, 2009 the Company has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Until January 1, 2009 the Company had three classes of common shares but on that date the 12,375,000 Class C common shares issued by the Company were converted into Class A common shares on a one-for-one basis.</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52"/>
          </w:cols>
          <w:pgMar w:left="248" w:top="274" w:right="299" w:bottom="1440" w:gutter="0" w:footer="0" w:header="0"/>
        </w:sectPr>
      </w:pPr>
    </w:p>
    <w:bookmarkStart w:id="38" w:name="page39"/>
    <w:bookmarkEnd w:id="38"/>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Share Capital (continued)</w:t>
      </w:r>
    </w:p>
    <w:p>
      <w:pPr>
        <w:spacing w:after="0" w:line="163" w:lineRule="exact"/>
        <w:rPr>
          <w:rFonts w:ascii="Arial" w:cs="Arial" w:eastAsia="Arial" w:hAnsi="Arial"/>
          <w:sz w:val="18"/>
          <w:szCs w:val="18"/>
          <w:color w:val="auto"/>
        </w:rPr>
      </w:pPr>
    </w:p>
    <w:p>
      <w:pPr>
        <w:ind w:left="452" w:right="1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on August 14, 2011 and are required to be redeemed earlier using the proceeds of the exercise of any Public Warrants. The shares are redeemed each time that proceeds from the exercise of warrants reach $5,000. As at March 31, 2009 total proceeds received from the exercise of warrants classified in the balance sheet as restricted cash were $3,026, and therefore none of the preferred shares were redeemed. Series A preferred shares are classified as a liability. The dividend that preferred shares holders are entitled to receive quarterly is presented as part of interest expense.</w:t>
      </w:r>
    </w:p>
    <w:p>
      <w:pPr>
        <w:spacing w:after="0" w:line="34" w:lineRule="exact"/>
        <w:rPr>
          <w:rFonts w:ascii="Arial" w:cs="Arial" w:eastAsia="Arial" w:hAnsi="Arial"/>
          <w:sz w:val="18"/>
          <w:szCs w:val="18"/>
          <w:color w:val="auto"/>
        </w:rPr>
      </w:pPr>
    </w:p>
    <w:p>
      <w:pPr>
        <w:ind w:left="452" w:right="140"/>
        <w:spacing w:after="0" w:line="298" w:lineRule="auto"/>
        <w:rPr>
          <w:rFonts w:ascii="Arial" w:cs="Arial" w:eastAsia="Arial" w:hAnsi="Arial"/>
          <w:sz w:val="18"/>
          <w:szCs w:val="18"/>
          <w:color w:val="auto"/>
        </w:rPr>
      </w:pPr>
      <w:r>
        <w:rPr>
          <w:rFonts w:ascii="Arial" w:cs="Arial" w:eastAsia="Arial" w:hAnsi="Arial"/>
          <w:sz w:val="16"/>
          <w:szCs w:val="16"/>
          <w:color w:val="auto"/>
        </w:rPr>
        <w:t>In addition to the Class A, and B common shares and the Series A Preferred shares, there are 39,531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6,188 Class A Warrants which expire on September 1, 2011 and give the holders the right to purchase one Class A common share at a price of $9.25 per share.</w:t>
      </w:r>
    </w:p>
    <w:p>
      <w:pPr>
        <w:spacing w:after="0" w:line="31" w:lineRule="exact"/>
        <w:rPr>
          <w:rFonts w:ascii="Arial" w:cs="Arial" w:eastAsia="Arial" w:hAnsi="Arial"/>
          <w:sz w:val="18"/>
          <w:szCs w:val="18"/>
          <w:color w:val="auto"/>
        </w:rPr>
      </w:pPr>
    </w:p>
    <w:p>
      <w:pPr>
        <w:ind w:left="452" w:right="600"/>
        <w:spacing w:after="0" w:line="268" w:lineRule="auto"/>
        <w:rPr>
          <w:rFonts w:ascii="Arial" w:cs="Arial" w:eastAsia="Arial" w:hAnsi="Arial"/>
          <w:sz w:val="18"/>
          <w:szCs w:val="18"/>
          <w:color w:val="auto"/>
        </w:rPr>
      </w:pPr>
      <w:r>
        <w:rPr>
          <w:rFonts w:ascii="Arial" w:cs="Arial" w:eastAsia="Arial" w:hAnsi="Arial"/>
          <w:sz w:val="18"/>
          <w:szCs w:val="18"/>
          <w:color w:val="auto"/>
        </w:rPr>
        <w:t>The restricted share units granted to the Directors in November 2008 vested on January 1, 2009, and subsequently 36,833 shares were issued to the Directors.</w:t>
      </w:r>
    </w:p>
    <w:p>
      <w:pPr>
        <w:spacing w:after="0" w:line="50" w:lineRule="exact"/>
        <w:rPr>
          <w:rFonts w:ascii="Arial" w:cs="Arial" w:eastAsia="Arial" w:hAnsi="Arial"/>
          <w:sz w:val="18"/>
          <w:szCs w:val="18"/>
          <w:color w:val="auto"/>
        </w:rPr>
      </w:pPr>
    </w:p>
    <w:p>
      <w:pPr>
        <w:ind w:left="452" w:right="140"/>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dividend of $0.23 per Class A common share, unit and Class B share that was be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52" w:right="80"/>
        <w:spacing w:after="0" w:line="291" w:lineRule="auto"/>
        <w:rPr>
          <w:rFonts w:ascii="Arial" w:cs="Arial" w:eastAsia="Arial" w:hAnsi="Arial"/>
          <w:sz w:val="18"/>
          <w:szCs w:val="18"/>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March 31, 2009 a total of $580,000 of anticipated core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w:t>
      </w:r>
    </w:p>
    <w:p>
      <w:pPr>
        <w:spacing w:after="0" w:line="39"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for the three months ended March 31, 2009 was $4,309.</w:t>
      </w:r>
    </w:p>
    <w:p>
      <w:pPr>
        <w:spacing w:after="0" w:line="59"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Derivative instruments held by the Company are categorized as level 2 under SFAS No. 157, “Fair Value Measurements” hierarchy. As at March 31, 2009, these derivatives represented a liability of $42,732.</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52" w:right="140"/>
        <w:spacing w:after="0" w:line="332" w:lineRule="auto"/>
        <w:rPr>
          <w:rFonts w:ascii="Arial" w:cs="Arial" w:eastAsia="Arial" w:hAnsi="Arial"/>
          <w:sz w:val="18"/>
          <w:szCs w:val="18"/>
          <w:color w:val="auto"/>
        </w:rPr>
      </w:pPr>
      <w:r>
        <w:rPr>
          <w:rFonts w:ascii="Arial" w:cs="Arial" w:eastAsia="Arial" w:hAnsi="Arial"/>
          <w:sz w:val="16"/>
          <w:szCs w:val="16"/>
          <w:color w:val="auto"/>
        </w:rPr>
        <w:t>There were no awards granted by the Company during the three months ended March 31, 2009 under Company’s 2008 Equity Incentive Plan. There were no share based compensation schemes in place in the predecessor periods, and therefore no comparatives are provided.</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540" w:type="dxa"/>
            <w:vAlign w:val="bottom"/>
            <w:gridSpan w:val="5"/>
          </w:tcPr>
          <w:p>
            <w:pPr>
              <w:ind w:left="62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7980" w:type="dxa"/>
            <w:vAlign w:val="bottom"/>
          </w:tcPr>
          <w:p>
            <w:pPr>
              <w:spacing w:after="0"/>
              <w:rPr>
                <w:sz w:val="11"/>
                <w:szCs w:val="11"/>
                <w:color w:val="auto"/>
              </w:rPr>
            </w:pPr>
          </w:p>
        </w:tc>
        <w:tc>
          <w:tcPr>
            <w:tcW w:w="146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85"/>
              </w:rPr>
              <w:t>Number of</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61"/>
        </w:trPr>
        <w:tc>
          <w:tcPr>
            <w:tcW w:w="7980" w:type="dxa"/>
            <w:vAlign w:val="bottom"/>
          </w:tcPr>
          <w:p>
            <w:pPr>
              <w:spacing w:after="0"/>
              <w:rPr>
                <w:sz w:val="14"/>
                <w:szCs w:val="14"/>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As at January 1, 2009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897,671</w:t>
            </w:r>
          </w:p>
        </w:tc>
        <w:tc>
          <w:tcPr>
            <w:tcW w:w="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85"/>
              </w:rPr>
              <w:t>6.77</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(37,671)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5"/>
              </w:rPr>
              <w:t>2.80</w:t>
            </w:r>
          </w:p>
        </w:tc>
        <w:tc>
          <w:tcPr>
            <w:tcW w:w="20" w:type="dxa"/>
            <w:vAlign w:val="bottom"/>
          </w:tcPr>
          <w:p>
            <w:pPr>
              <w:spacing w:after="0"/>
              <w:rPr>
                <w:sz w:val="18"/>
                <w:szCs w:val="18"/>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As March 31, 2009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860,000</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center"/>
              <w:ind w:left="516"/>
              <w:spacing w:after="0"/>
              <w:rPr>
                <w:sz w:val="20"/>
                <w:szCs w:val="20"/>
                <w:color w:val="auto"/>
              </w:rPr>
            </w:pPr>
            <w:r>
              <w:rPr>
                <w:rFonts w:ascii="Arial" w:cs="Arial" w:eastAsia="Arial" w:hAnsi="Arial"/>
                <w:sz w:val="18"/>
                <w:szCs w:val="18"/>
                <w:b w:val="1"/>
                <w:bCs w:val="1"/>
                <w:color w:val="auto"/>
                <w:w w:val="85"/>
              </w:rPr>
              <w:t>6.94</w:t>
            </w:r>
          </w:p>
        </w:tc>
        <w:tc>
          <w:tcPr>
            <w:tcW w:w="20" w:type="dxa"/>
            <w:vAlign w:val="bottom"/>
          </w:tcPr>
          <w:p>
            <w:pPr>
              <w:spacing w:after="0"/>
              <w:rPr>
                <w:sz w:val="19"/>
                <w:szCs w:val="19"/>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392"/>
          </w:cols>
          <w:pgMar w:left="248" w:top="274" w:right="259" w:bottom="1440" w:gutter="0" w:footer="0" w:header="0"/>
        </w:sectPr>
      </w:pPr>
    </w:p>
    <w:bookmarkStart w:id="39" w:name="page40"/>
    <w:bookmarkEnd w:id="3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Combined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Share-based compensation (continued)</w:t>
      </w:r>
    </w:p>
    <w:p>
      <w:pPr>
        <w:spacing w:after="0" w:line="163" w:lineRule="exact"/>
        <w:rPr>
          <w:rFonts w:ascii="Arial" w:cs="Arial" w:eastAsia="Arial" w:hAnsi="Arial"/>
          <w:sz w:val="18"/>
          <w:szCs w:val="18"/>
          <w:color w:val="auto"/>
        </w:rPr>
      </w:pPr>
    </w:p>
    <w:p>
      <w:pPr>
        <w:ind w:left="452" w:right="120"/>
        <w:spacing w:after="0" w:line="332" w:lineRule="auto"/>
        <w:rPr>
          <w:rFonts w:ascii="Arial" w:cs="Arial" w:eastAsia="Arial" w:hAnsi="Arial"/>
          <w:sz w:val="18"/>
          <w:szCs w:val="18"/>
          <w:color w:val="auto"/>
        </w:rPr>
      </w:pPr>
      <w:r>
        <w:rPr>
          <w:rFonts w:ascii="Arial" w:cs="Arial" w:eastAsia="Arial" w:hAnsi="Arial"/>
          <w:sz w:val="16"/>
          <w:szCs w:val="16"/>
          <w:color w:val="auto"/>
        </w:rPr>
        <w:t>There were no awards granted by the Company during the three months ended March 31, 2009 under Company’s 2008 Equity Incentive Plan. There were no share based compensation schemes in place in the predecessor periods, and therefore no comparatives are provided.</w:t>
      </w:r>
    </w:p>
    <w:p>
      <w:pPr>
        <w:spacing w:after="0" w:line="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0" w:type="dxa"/>
            <w:vAlign w:val="bottom"/>
            <w:gridSpan w:val="6"/>
          </w:tcPr>
          <w:p>
            <w:pPr>
              <w:ind w:left="54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8120" w:type="dxa"/>
            <w:vAlign w:val="bottom"/>
          </w:tcPr>
          <w:p>
            <w:pPr>
              <w:spacing w:after="0"/>
              <w:rPr>
                <w:sz w:val="11"/>
                <w:szCs w:val="11"/>
                <w:color w:val="auto"/>
              </w:rPr>
            </w:pPr>
          </w:p>
        </w:tc>
        <w:tc>
          <w:tcPr>
            <w:tcW w:w="1320" w:type="dxa"/>
            <w:vAlign w:val="bottom"/>
            <w:tcBorders>
              <w:top w:val="single" w:sz="8" w:color="auto"/>
            </w:tcBorders>
            <w:gridSpan w:val="3"/>
          </w:tcPr>
          <w:p>
            <w:pPr>
              <w:jc w:val="right"/>
              <w:ind w:right="780"/>
              <w:spacing w:after="0" w:line="129" w:lineRule="exact"/>
              <w:rPr>
                <w:sz w:val="20"/>
                <w:szCs w:val="20"/>
                <w:color w:val="auto"/>
              </w:rPr>
            </w:pPr>
            <w:r>
              <w:rPr>
                <w:rFonts w:ascii="Arial" w:cs="Arial" w:eastAsia="Arial" w:hAnsi="Arial"/>
                <w:sz w:val="14"/>
                <w:szCs w:val="14"/>
                <w:b w:val="1"/>
                <w:bCs w:val="1"/>
                <w:color w:val="auto"/>
                <w:w w:val="98"/>
              </w:rPr>
              <w:t>Number</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61"/>
        </w:trPr>
        <w:tc>
          <w:tcPr>
            <w:tcW w:w="8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74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 at January 1, 2009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897,671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5"/>
              </w:rPr>
              <w:t>6.77</w:t>
            </w:r>
          </w:p>
        </w:tc>
        <w:tc>
          <w:tcPr>
            <w:tcW w:w="20" w:type="dxa"/>
            <w:vAlign w:val="bottom"/>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2"/>
              </w:rPr>
              <w:t>(37,671)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5"/>
              </w:rPr>
              <w:t>2.80</w:t>
            </w:r>
          </w:p>
        </w:tc>
        <w:tc>
          <w:tcPr>
            <w:tcW w:w="20" w:type="dxa"/>
            <w:vAlign w:val="bottom"/>
          </w:tcPr>
          <w:p>
            <w:pPr>
              <w:spacing w:after="0"/>
              <w:rPr>
                <w:sz w:val="18"/>
                <w:szCs w:val="18"/>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b w:val="1"/>
                <w:bCs w:val="1"/>
                <w:color w:val="auto"/>
              </w:rPr>
              <w:t>As March 31,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860,000</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center"/>
              <w:ind w:left="516"/>
              <w:spacing w:after="0"/>
              <w:rPr>
                <w:sz w:val="20"/>
                <w:szCs w:val="20"/>
                <w:color w:val="auto"/>
              </w:rPr>
            </w:pPr>
            <w:r>
              <w:rPr>
                <w:rFonts w:ascii="Arial" w:cs="Arial" w:eastAsia="Arial" w:hAnsi="Arial"/>
                <w:sz w:val="18"/>
                <w:szCs w:val="18"/>
                <w:b w:val="1"/>
                <w:bCs w:val="1"/>
                <w:color w:val="auto"/>
                <w:w w:val="85"/>
              </w:rPr>
              <w:t>6.94</w:t>
            </w:r>
          </w:p>
        </w:tc>
        <w:tc>
          <w:tcPr>
            <w:tcW w:w="20" w:type="dxa"/>
            <w:vAlign w:val="bottom"/>
          </w:tcPr>
          <w:p>
            <w:pPr>
              <w:spacing w:after="0"/>
              <w:rPr>
                <w:sz w:val="19"/>
                <w:szCs w:val="19"/>
                <w:color w:val="auto"/>
              </w:rPr>
            </w:pPr>
          </w:p>
        </w:tc>
      </w:tr>
    </w:tbl>
    <w:p>
      <w:pPr>
        <w:spacing w:after="0" w:line="167" w:lineRule="exact"/>
        <w:rPr>
          <w:sz w:val="20"/>
          <w:szCs w:val="20"/>
          <w:color w:val="auto"/>
        </w:rPr>
      </w:pPr>
    </w:p>
    <w:p>
      <w:pPr>
        <w:ind w:left="452" w:right="20"/>
        <w:spacing w:after="0" w:line="298"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shares calculated is recognized as compensation costs in the income statement over the vesting period. During the period January 1, 2009 to March 31, 2009, the Company recognized a total of $716 share based compensation costs (2008: Nil). As at March 31, 2009, there was a total of $2,647 unrecognized compensation costs relating to the above share based awards (2008: Nil). The remaining costs are expected to be recognized over a period of 29 months.</w:t>
      </w:r>
    </w:p>
    <w:p>
      <w:pPr>
        <w:spacing w:after="0" w:line="228" w:lineRule="exact"/>
        <w:rPr>
          <w:sz w:val="20"/>
          <w:szCs w:val="20"/>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52"/>
        <w:spacing w:after="0" w:line="255" w:lineRule="auto"/>
        <w:rPr>
          <w:rFonts w:ascii="Arial" w:cs="Arial" w:eastAsia="Arial" w:hAnsi="Arial"/>
          <w:sz w:val="18"/>
          <w:szCs w:val="18"/>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 At March 31, 2009, there were 45,031,348 warrants to purchase Class A common shares outstanding, including 5,500,000 Sponsor Warrants (which must be exercised on a cashless basis), at an exercise price of $6, and there were 860,000 restricted stock units authorized as part of management’s equity incentive plan. As of March 31, 2009 only Class A and B common shares are participating securities.</w:t>
      </w:r>
    </w:p>
    <w:p>
      <w:pPr>
        <w:spacing w:after="0" w:line="61" w:lineRule="exact"/>
        <w:rPr>
          <w:rFonts w:ascii="Arial" w:cs="Arial" w:eastAsia="Arial" w:hAnsi="Arial"/>
          <w:sz w:val="18"/>
          <w:szCs w:val="18"/>
          <w:color w:val="auto"/>
        </w:rPr>
      </w:pPr>
    </w:p>
    <w:p>
      <w:pPr>
        <w:ind w:left="452" w:right="220"/>
        <w:spacing w:after="0" w:line="268" w:lineRule="auto"/>
        <w:rPr>
          <w:rFonts w:ascii="Arial" w:cs="Arial" w:eastAsia="Arial" w:hAnsi="Arial"/>
          <w:sz w:val="18"/>
          <w:szCs w:val="18"/>
          <w:color w:val="auto"/>
        </w:rPr>
      </w:pPr>
      <w:r>
        <w:rPr>
          <w:rFonts w:ascii="Arial" w:cs="Arial" w:eastAsia="Arial" w:hAnsi="Arial"/>
          <w:sz w:val="18"/>
          <w:szCs w:val="18"/>
          <w:color w:val="auto"/>
        </w:rPr>
        <w:t>The diluted weighted average number of Class A common shares outstanding as at March 31, 2009 is the same as the basic weighted average number of shares.</w:t>
      </w:r>
    </w:p>
    <w:p>
      <w:pPr>
        <w:spacing w:after="0" w:line="5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Class B common shareholders are entitled to receive dividends but their dividend rights are subordinated to those of holders of Class A common shares.</w:t>
      </w:r>
    </w:p>
    <w:p>
      <w:pPr>
        <w:spacing w:after="0" w:line="309"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52" w:right="40"/>
        <w:spacing w:after="0" w:line="294" w:lineRule="auto"/>
        <w:rPr>
          <w:rFonts w:ascii="Arial" w:cs="Arial" w:eastAsia="Arial" w:hAnsi="Arial"/>
          <w:sz w:val="18"/>
          <w:szCs w:val="18"/>
          <w:color w:val="auto"/>
        </w:rPr>
      </w:pPr>
      <w:r>
        <w:rPr>
          <w:rFonts w:ascii="Arial" w:cs="Arial" w:eastAsia="Arial" w:hAnsi="Arial"/>
          <w:sz w:val="16"/>
          <w:szCs w:val="16"/>
          <w:color w:val="auto"/>
        </w:rPr>
        <w:t>On April 29, 2009, the Company agreed a further amendment to the terms of its $800 million credit agreement. During the period from April 30, 2009 to June 30, 2009 there will be no new valuations and the loan to value test will not be performed. Global Ship Lease, Inc. will not declare or pay any dividends to its common shareholders during the period and the facility will bear an interest margin of 2.75% over 3 month USD LIBOR. The Company is in active discussion with its bank group to agree a resolution to the loan to value maintenance covenant and amend the credit facility agreement to levels that Global Ship Lease, Inc. expects to be able to comply with in future periods.</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24</w:t>
      </w:r>
    </w:p>
    <w:sectPr>
      <w:pgSz w:w="11900" w:h="16838" w:orient="portrait"/>
      <w:cols w:equalWidth="0" w:num="1">
        <w:col w:w="11372"/>
      </w:cols>
      <w:pgMar w:left="248"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2"/>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3"/>
    </w:lvl>
  </w:abstractNum>
  <w:abstractNum w:abstractNumId="12">
    <w:nsid w:val="3006C83E"/>
    <w:multiLevelType w:val="hybridMultilevel"/>
    <w:lvl w:ilvl="0">
      <w:lvlJc w:val="left"/>
      <w:lvlText w:val="%1."/>
      <w:numFmt w:val="decimal"/>
      <w:start w:val="4"/>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2"/>
    </w:lvl>
  </w:abstractNum>
  <w:abstractNum w:abstractNumId="15">
    <w:nsid w:val="5577F8E1"/>
    <w:multiLevelType w:val="hybridMultilevel"/>
    <w:lvl w:ilvl="0">
      <w:lvlJc w:val="left"/>
      <w:lvlText w:val="(%1)"/>
      <w:numFmt w:val="lowerLetter"/>
      <w:start w:val="3"/>
    </w:lvl>
  </w:abstractNum>
  <w:abstractNum w:abstractNumId="16">
    <w:nsid w:val="440BADFC"/>
    <w:multiLevelType w:val="hybridMultilevel"/>
    <w:lvl w:ilvl="0">
      <w:lvlJc w:val="left"/>
      <w:lvlText w:val="(%1)"/>
      <w:numFmt w:val="lowerLetter"/>
      <w:start w:val="4"/>
    </w:lvl>
  </w:abstractNum>
  <w:abstractNum w:abstractNumId="17">
    <w:nsid w:val="5072367"/>
    <w:multiLevelType w:val="hybridMultilevel"/>
    <w:lvl w:ilvl="0">
      <w:lvlJc w:val="left"/>
      <w:lvlText w:val="(%1)"/>
      <w:numFmt w:val="lowerLetter"/>
      <w:start w:val="5"/>
    </w:lvl>
  </w:abstractNum>
  <w:abstractNum w:abstractNumId="18">
    <w:nsid w:val="3804823E"/>
    <w:multiLevelType w:val="hybridMultilevel"/>
    <w:lvl w:ilvl="0">
      <w:lvlJc w:val="left"/>
      <w:lvlText w:val="(%1)"/>
      <w:numFmt w:val="lowerLetter"/>
      <w:start w:val="6"/>
    </w:lvl>
  </w:abstractNum>
  <w:abstractNum w:abstractNumId="19">
    <w:nsid w:val="77465F01"/>
    <w:multiLevelType w:val="hybridMultilevel"/>
    <w:lvl w:ilvl="0">
      <w:lvlJc w:val="left"/>
      <w:lvlText w:val="%1."/>
      <w:numFmt w:val="decimal"/>
      <w:start w:val="4"/>
    </w:lvl>
  </w:abstractNum>
  <w:abstractNum w:abstractNumId="20">
    <w:nsid w:val="7724C67E"/>
    <w:multiLevelType w:val="hybridMultilevel"/>
    <w:lvl w:ilvl="0">
      <w:lvlJc w:val="left"/>
      <w:lvlText w:val="(%1)"/>
      <w:numFmt w:val="lowerLetter"/>
      <w:start w:val="7"/>
    </w:lvl>
  </w:abstractNum>
  <w:abstractNum w:abstractNumId="21">
    <w:nsid w:val="5C482A97"/>
    <w:multiLevelType w:val="hybridMultilevel"/>
    <w:lvl w:ilvl="0">
      <w:lvlJc w:val="left"/>
      <w:lvlText w:val="(%1)"/>
      <w:numFmt w:val="lowerLetter"/>
      <w:start w:val="8"/>
    </w:lvl>
  </w:abstractNum>
  <w:abstractNum w:abstractNumId="22">
    <w:nsid w:val="2463B9EA"/>
    <w:multiLevelType w:val="hybridMultilevel"/>
    <w:lvl w:ilvl="0">
      <w:lvlJc w:val="left"/>
      <w:lvlText w:val="(%1)"/>
      <w:numFmt w:val="lowerRoman"/>
      <w:start w:val="1"/>
    </w:lvl>
  </w:abstractNum>
  <w:abstractNum w:abstractNumId="23">
    <w:nsid w:val="5E884ADC"/>
    <w:multiLevelType w:val="hybridMultilevel"/>
    <w:lvl w:ilvl="0">
      <w:lvlJc w:val="left"/>
      <w:lvlText w:val="(%1)"/>
      <w:numFmt w:val="lowerLetter"/>
      <w:start w:val="10"/>
    </w:lvl>
  </w:abstractNum>
  <w:abstractNum w:abstractNumId="24">
    <w:nsid w:val="51EAD36B"/>
    <w:multiLevelType w:val="hybridMultilevel"/>
    <w:lvl w:ilvl="0">
      <w:lvlJc w:val="left"/>
      <w:lvlText w:val="%1."/>
      <w:numFmt w:val="decimal"/>
      <w:start w:val="4"/>
    </w:lvl>
    <w:lvl w:ilvl="1">
      <w:lvlJc w:val="left"/>
      <w:lvlText w:val="(%2)"/>
      <w:numFmt w:val="lowerLetter"/>
      <w:start w:val="11"/>
    </w:lvl>
    <w:lvl w:ilvl="2">
      <w:lvlJc w:val="left"/>
      <w:lvlText w:val="(%3)"/>
      <w:numFmt w:val="lowerRoman"/>
      <w:start w:val="1"/>
    </w:lvl>
  </w:abstractNum>
  <w:abstractNum w:abstractNumId="25">
    <w:nsid w:val="2D517796"/>
    <w:multiLevelType w:val="hybridMultilevel"/>
    <w:lvl w:ilvl="0">
      <w:lvlJc w:val="left"/>
      <w:lvlText w:val="%1."/>
      <w:numFmt w:val="decimal"/>
      <w:start w:val="4"/>
    </w:lvl>
    <w:lvl w:ilvl="1">
      <w:lvlJc w:val="left"/>
      <w:lvlText w:val="(%2)"/>
      <w:numFmt w:val="lowerLetter"/>
      <w:start w:val="11"/>
    </w:lvl>
    <w:lvl w:ilvl="2">
      <w:lvlJc w:val="left"/>
      <w:lvlText w:val="(%3)"/>
      <w:numFmt w:val="lowerLetter"/>
      <w:start w:val="35"/>
    </w:lvl>
  </w:abstractNum>
  <w:abstractNum w:abstractNumId="26">
    <w:nsid w:val="580BD78F"/>
    <w:multiLevelType w:val="hybridMultilevel"/>
    <w:lvl w:ilvl="0">
      <w:lvlJc w:val="left"/>
      <w:lvlText w:val="(%1)"/>
      <w:numFmt w:val="lowerLetter"/>
      <w:start w:val="13"/>
    </w:lvl>
  </w:abstractNum>
  <w:abstractNum w:abstractNumId="27">
    <w:nsid w:val="153EA438"/>
    <w:multiLevelType w:val="hybridMultilevel"/>
    <w:lvl w:ilvl="0">
      <w:lvlJc w:val="left"/>
      <w:lvlText w:val="(%1)"/>
      <w:numFmt w:val="lowerLetter"/>
      <w:start w:val="14"/>
    </w:lvl>
  </w:abstractNum>
  <w:abstractNum w:abstractNumId="28">
    <w:nsid w:val="3855585C"/>
    <w:multiLevelType w:val="hybridMultilevel"/>
    <w:lvl w:ilvl="0">
      <w:lvlJc w:val="left"/>
      <w:lvlText w:val="(%1)"/>
      <w:numFmt w:val="lowerLetter"/>
      <w:start w:val="15"/>
    </w:lvl>
  </w:abstractNum>
  <w:abstractNum w:abstractNumId="29">
    <w:nsid w:val="70A64E2A"/>
    <w:multiLevelType w:val="hybridMultilevel"/>
    <w:lvl w:ilvl="0">
      <w:lvlJc w:val="left"/>
      <w:lvlText w:val="(%1)"/>
      <w:numFmt w:val="lowerLetter"/>
      <w:start w:val="16"/>
    </w:lvl>
  </w:abstractNum>
  <w:abstractNum w:abstractNumId="30">
    <w:nsid w:val="6A2342EC"/>
    <w:multiLevelType w:val="hybridMultilevel"/>
    <w:lvl w:ilvl="0">
      <w:lvlJc w:val="left"/>
      <w:lvlText w:val="(%1)"/>
      <w:numFmt w:val="lowerLetter"/>
      <w:start w:val="17"/>
    </w:lvl>
  </w:abstractNum>
  <w:abstractNum w:abstractNumId="31">
    <w:nsid w:val="2A487CB0"/>
    <w:multiLevelType w:val="hybridMultilevel"/>
    <w:lvl w:ilvl="0">
      <w:lvlJc w:val="left"/>
      <w:lvlText w:val="%1."/>
      <w:numFmt w:val="decimal"/>
      <w:start w:val="4"/>
    </w:lvl>
  </w:abstractNum>
  <w:abstractNum w:abstractNumId="32">
    <w:nsid w:val="1D4ED43B"/>
    <w:multiLevelType w:val="hybridMultilevel"/>
    <w:lvl w:ilvl="0">
      <w:lvlJc w:val="left"/>
      <w:lvlText w:val="(%1)"/>
      <w:numFmt w:val="lowerLetter"/>
      <w:start w:val="18"/>
    </w:lvl>
  </w:abstractNum>
  <w:abstractNum w:abstractNumId="33">
    <w:nsid w:val="725A06FB"/>
    <w:multiLevelType w:val="hybridMultilevel"/>
    <w:lvl w:ilvl="0">
      <w:lvlJc w:val="left"/>
      <w:lvlText w:val="(%1)"/>
      <w:numFmt w:val="lowerLetter"/>
      <w:start w:val="19"/>
    </w:lvl>
  </w:abstractNum>
  <w:abstractNum w:abstractNumId="34">
    <w:nsid w:val="2CD89A32"/>
    <w:multiLevelType w:val="hybridMultilevel"/>
    <w:lvl w:ilvl="0">
      <w:lvlJc w:val="left"/>
      <w:lvlText w:val="(%1)"/>
      <w:numFmt w:val="lowerLetter"/>
      <w:start w:val="20"/>
    </w:lvl>
  </w:abstractNum>
  <w:abstractNum w:abstractNumId="35">
    <w:nsid w:val="57E4CCAF"/>
    <w:multiLevelType w:val="hybridMultilevel"/>
    <w:lvl w:ilvl="0">
      <w:lvlJc w:val="left"/>
      <w:lvlText w:val="(%1)"/>
      <w:numFmt w:val="lowerLetter"/>
      <w:start w:val="21"/>
    </w:lvl>
  </w:abstractNum>
  <w:abstractNum w:abstractNumId="36">
    <w:nsid w:val="7A6D8D3C"/>
    <w:multiLevelType w:val="hybridMultilevel"/>
    <w:lvl w:ilvl="0">
      <w:lvlJc w:val="left"/>
      <w:lvlText w:val="(%1)"/>
      <w:numFmt w:val="lowerRoman"/>
      <w:start w:val="5"/>
    </w:lvl>
  </w:abstractNum>
  <w:abstractNum w:abstractNumId="37">
    <w:nsid w:val="4B588F54"/>
    <w:multiLevelType w:val="hybridMultilevel"/>
    <w:lvl w:ilvl="0">
      <w:lvlJc w:val="left"/>
      <w:lvlText w:val="(%1)"/>
      <w:numFmt w:val="lowerLetter"/>
      <w:start w:val="23"/>
    </w:lvl>
  </w:abstractNum>
  <w:abstractNum w:abstractNumId="38">
    <w:nsid w:val="542289EC"/>
    <w:multiLevelType w:val="hybridMultilevel"/>
    <w:lvl w:ilvl="0">
      <w:lvlJc w:val="left"/>
      <w:lvlText w:val="%1."/>
      <w:numFmt w:val="decimal"/>
      <w:start w:val="4"/>
    </w:lvl>
    <w:lvl w:ilvl="1">
      <w:lvlJc w:val="left"/>
      <w:lvlText w:val="(%2)"/>
      <w:numFmt w:val="lowerLetter"/>
      <w:start w:val="23"/>
    </w:lvl>
  </w:abstractNum>
  <w:abstractNum w:abstractNumId="39">
    <w:nsid w:val="6DE91B18"/>
    <w:multiLevelType w:val="hybridMultilevel"/>
    <w:lvl w:ilvl="0">
      <w:lvlJc w:val="left"/>
      <w:lvlText w:val="(%1)"/>
      <w:numFmt w:val="lowerRoman"/>
      <w:start w:val="10"/>
    </w:lvl>
  </w:abstractNum>
  <w:abstractNum w:abstractNumId="40">
    <w:nsid w:val="38437FDB"/>
    <w:multiLevelType w:val="hybridMultilevel"/>
    <w:lvl w:ilvl="0">
      <w:lvlJc w:val="left"/>
      <w:lvlText w:val="(%1)"/>
      <w:numFmt w:val="lowerLetter"/>
      <w:start w:val="25"/>
    </w:lvl>
  </w:abstractNum>
  <w:abstractNum w:abstractNumId="41">
    <w:nsid w:val="7644A45C"/>
    <w:multiLevelType w:val="hybridMultilevel"/>
    <w:lvl w:ilvl="0">
      <w:lvlJc w:val="left"/>
      <w:lvlText w:val="(%1)"/>
      <w:numFmt w:val="lowerLetter"/>
      <w:start w:val="26"/>
    </w:lvl>
  </w:abstractNum>
  <w:abstractNum w:abstractNumId="42">
    <w:nsid w:val="32FFF902"/>
    <w:multiLevelType w:val="hybridMultilevel"/>
    <w:lvl w:ilvl="0">
      <w:lvlJc w:val="left"/>
      <w:lvlText w:val="%1."/>
      <w:numFmt w:val="decimal"/>
      <w:start w:val="4"/>
    </w:lvl>
  </w:abstractNum>
  <w:abstractNum w:abstractNumId="43">
    <w:nsid w:val="684A481A"/>
    <w:multiLevelType w:val="hybridMultilevel"/>
    <w:lvl w:ilvl="0">
      <w:lvlJc w:val="left"/>
      <w:lvlText w:val="(%1)"/>
      <w:numFmt w:val="lowerLetter"/>
      <w:start w:val="26"/>
    </w:lvl>
  </w:abstractNum>
  <w:abstractNum w:abstractNumId="44">
    <w:nsid w:val="579478FE"/>
    <w:multiLevelType w:val="hybridMultilevel"/>
    <w:lvl w:ilvl="0">
      <w:lvlJc w:val="left"/>
      <w:lvlText w:val="%1."/>
      <w:numFmt w:val="decimal"/>
      <w:start w:val="4"/>
    </w:lvl>
    <w:lvl w:ilvl="1">
      <w:lvlJc w:val="left"/>
      <w:lvlText w:val="(%2)"/>
      <w:numFmt w:val="lowerLetter"/>
      <w:start w:val="26"/>
    </w:lvl>
  </w:abstractNum>
  <w:abstractNum w:abstractNumId="45">
    <w:nsid w:val="749ABB43"/>
    <w:multiLevelType w:val="hybridMultilevel"/>
    <w:lvl w:ilvl="0">
      <w:lvlJc w:val="left"/>
      <w:lvlText w:val="%1."/>
      <w:numFmt w:val="decimal"/>
      <w:start w:val="5"/>
    </w:lvl>
  </w:abstractNum>
  <w:abstractNum w:abstractNumId="46">
    <w:nsid w:val="3DC240FB"/>
    <w:multiLevelType w:val="hybridMultilevel"/>
    <w:lvl w:ilvl="0">
      <w:lvlJc w:val="left"/>
      <w:lvlText w:val="%1."/>
      <w:numFmt w:val="decimal"/>
      <w:start w:val="7"/>
    </w:lvl>
  </w:abstractNum>
  <w:abstractNum w:abstractNumId="47">
    <w:nsid w:val="1BA026FA"/>
    <w:multiLevelType w:val="hybridMultilevel"/>
    <w:lvl w:ilvl="0">
      <w:lvlJc w:val="left"/>
      <w:lvlText w:val="%1."/>
      <w:numFmt w:val="decimal"/>
      <w:start w:val="8"/>
    </w:lvl>
  </w:abstractNum>
  <w:abstractNum w:abstractNumId="48">
    <w:nsid w:val="79A1DEAA"/>
    <w:multiLevelType w:val="hybridMultilevel"/>
    <w:lvl w:ilvl="0">
      <w:lvlJc w:val="left"/>
      <w:lvlText w:val="%1."/>
      <w:numFmt w:val="decimal"/>
      <w:start w:val="9"/>
    </w:lvl>
  </w:abstractNum>
  <w:abstractNum w:abstractNumId="49">
    <w:nsid w:val="75C6C33A"/>
    <w:multiLevelType w:val="hybridMultilevel"/>
    <w:lvl w:ilvl="0">
      <w:lvlJc w:val="left"/>
      <w:lvlText w:val="%1."/>
      <w:numFmt w:val="decimal"/>
      <w:start w:val="9"/>
    </w:lvl>
  </w:abstractNum>
  <w:abstractNum w:abstractNumId="50">
    <w:nsid w:val="12E685FB"/>
    <w:multiLevelType w:val="hybridMultilevel"/>
    <w:lvl w:ilvl="0">
      <w:lvlJc w:val="left"/>
      <w:lvlText w:val="%1."/>
      <w:numFmt w:val="decimal"/>
      <w:start w:val="10"/>
    </w:lvl>
  </w:abstractNum>
  <w:abstractNum w:abstractNumId="51">
    <w:nsid w:val="70C6A529"/>
    <w:multiLevelType w:val="hybridMultilevel"/>
    <w:lvl w:ilvl="0">
      <w:lvlJc w:val="left"/>
      <w:lvlText w:val="%1."/>
      <w:numFmt w:val="decimal"/>
      <w:start w:val="10"/>
    </w:lvl>
  </w:abstractNum>
  <w:abstractNum w:abstractNumId="52">
    <w:nsid w:val="520EEDD1"/>
    <w:multiLevelType w:val="hybridMultilevel"/>
    <w:lvl w:ilvl="0">
      <w:lvlJc w:val="left"/>
      <w:lvlText w:val="%1."/>
      <w:numFmt w:val="decimal"/>
      <w:start w:val="12"/>
    </w:lvl>
  </w:abstractNum>
  <w:abstractNum w:abstractNumId="53">
    <w:nsid w:val="374A3FE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2019-12-11T04:21:32Z</dcterms:created>
  <dcterms:modified xsi:type="dcterms:W3CDTF">2019-12-11T04:21:32Z</dcterms:modified>
</cp:coreProperties>
</file>