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12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820" w:type="dxa"/>
        <w:tblCellMar>
          <w:top w:w="0" w:type="dxa"/>
          <w:left w:w="0" w:type="dxa"/>
          <w:bottom w:w="0" w:type="dxa"/>
          <w:right w:w="0" w:type="dxa"/>
        </w:tblCellMar>
      </w:tblPr>
      <w:tr>
        <w:trPr>
          <w:trHeight w:val="171"/>
        </w:trPr>
        <w:tc>
          <w:tcPr>
            <w:tcW w:w="1520" w:type="dxa"/>
            <w:vAlign w:val="bottom"/>
            <w:vMerge w:val="restart"/>
          </w:tcPr>
          <w:p>
            <w:pPr>
              <w:spacing w:after="0"/>
              <w:rPr>
                <w:sz w:val="20"/>
                <w:szCs w:val="20"/>
                <w:color w:val="auto"/>
              </w:rPr>
            </w:pPr>
            <w:r>
              <w:rPr>
                <w:rFonts w:ascii="Arial" w:cs="Arial" w:eastAsia="Arial" w:hAnsi="Arial"/>
                <w:sz w:val="18"/>
                <w:szCs w:val="18"/>
                <w:b w:val="1"/>
                <w:bCs w:val="1"/>
                <w:color w:val="auto"/>
              </w:rPr>
              <w:t>Class A Common</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15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Shares, par value of $0.01 per share</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47,513,934 Class A Common Shares, par value of $0.01 per share</w:t>
      </w:r>
    </w:p>
    <w:p>
      <w:pPr>
        <w:spacing w:after="0" w:line="225"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7,405,956 Class B Common Shares, par value of $0.01 per share</w:t>
      </w:r>
    </w:p>
    <w:p>
      <w:pPr>
        <w:sectPr>
          <w:pgSz w:w="11900" w:h="16838" w:orient="portrait"/>
          <w:cols w:equalWidth="0" w:num="1">
            <w:col w:w="11380"/>
          </w:cols>
          <w:pgMar w:left="240" w:top="230" w:right="279" w:bottom="0" w:gutter="0" w:footer="0" w:header="0"/>
        </w:sectPr>
      </w:pPr>
    </w:p>
    <w:bookmarkStart w:id="1" w:name="page2"/>
    <w:bookmarkEnd w:id="1"/>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left="2420"/>
        <w:spacing w:after="0" w:line="207" w:lineRule="exact"/>
        <w:tabs>
          <w:tab w:leader="none" w:pos="5020" w:val="left"/>
          <w:tab w:leader="none" w:pos="7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91" w:right="259" w:bottom="1440" w:gutter="0" w:footer="0" w:header="0"/>
        </w:sect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0"/>
          <w:szCs w:val="20"/>
          <w:color w:val="auto"/>
        </w:rPr>
      </w:pPr>
    </w:p>
    <w:p>
      <w:pPr>
        <w:sectPr>
          <w:pgSz w:w="11900" w:h="16838" w:orient="portrait"/>
          <w:cols w:equalWidth="0" w:num="5">
            <w:col w:w="1780" w:space="80"/>
            <w:col w:w="160" w:space="640"/>
            <w:col w:w="6460" w:space="720"/>
            <w:col w:w="400" w:space="100"/>
            <w:col w:w="1060"/>
          </w:cols>
          <w:pgMar w:left="240" w:top="91" w:right="259" w:bottom="1440" w:gutter="0" w:footer="0" w:header="0"/>
          <w:type w:val="continuous"/>
        </w:sect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6" w:lineRule="exact"/>
        <w:rPr>
          <w:sz w:val="20"/>
          <w:szCs w:val="20"/>
          <w:color w:val="auto"/>
        </w:rPr>
      </w:pPr>
    </w:p>
    <w:p>
      <w:pPr>
        <w:ind w:left="460"/>
        <w:spacing w:after="0" w:line="207" w:lineRule="exact"/>
        <w:tabs>
          <w:tab w:leader="none" w:pos="14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Item 18 </w:t>
      </w:r>
      <w:r>
        <w:rPr>
          <w:rFonts w:ascii="MS PGothic" w:cs="MS PGothic" w:eastAsia="MS PGothic" w:hAnsi="MS PGothic"/>
          <w:sz w:val="17"/>
          <w:szCs w:val="17"/>
          <w:color w:val="auto"/>
        </w:rPr>
        <w:t>☐</w:t>
      </w:r>
    </w:p>
    <w:p>
      <w:pPr>
        <w:spacing w:after="0" w:line="225" w:lineRule="exact"/>
        <w:rPr>
          <w:sz w:val="20"/>
          <w:szCs w:val="20"/>
          <w:color w:val="auto"/>
        </w:rPr>
      </w:pPr>
    </w:p>
    <w:p>
      <w:pPr>
        <w:spacing w:after="0" w:line="207" w:lineRule="exact"/>
        <w:tabs>
          <w:tab w:leader="none" w:pos="10220" w:val="left"/>
          <w:tab w:leader="none" w:pos="1092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1"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REPORT ON FORM 20-F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4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560" w:type="dxa"/>
            <w:vAlign w:val="bottom"/>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4000" w:type="dxa"/>
            <w:vAlign w:val="bottom"/>
            <w:tcBorders>
              <w:top w:val="single" w:sz="8" w:color="0000EE"/>
            </w:tcBorders>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55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12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Key Information</w:t>
              </w:r>
            </w:hyperlink>
          </w:p>
        </w:tc>
        <w:tc>
          <w:tcPr>
            <w:tcW w:w="1640" w:type="dxa"/>
            <w:vAlign w:val="bottom"/>
            <w:tcBorders>
              <w:top w:val="single" w:sz="8" w:color="0000EE"/>
            </w:tcBorders>
            <w:gridSpan w:val="16"/>
          </w:tcPr>
          <w:p>
            <w:pPr>
              <w:spacing w:after="0"/>
              <w:rPr>
                <w:sz w:val="24"/>
                <w:szCs w:val="24"/>
                <w:color w:val="auto"/>
              </w:rPr>
            </w:pPr>
          </w:p>
        </w:tc>
        <w:tc>
          <w:tcPr>
            <w:tcW w:w="67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5">
              <w:r>
                <w:rPr>
                  <w:rFonts w:ascii="Arial" w:cs="Arial" w:eastAsia="Arial" w:hAnsi="Arial"/>
                  <w:sz w:val="18"/>
                  <w:szCs w:val="18"/>
                  <w:color w:val="0000EE"/>
                </w:rPr>
                <w:t>Selected Financial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924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Capitalization and Indebtedness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306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Reasons for the Offer and Use of Proceeds</w:t>
              </w:r>
            </w:hyperlink>
          </w:p>
        </w:tc>
        <w:tc>
          <w:tcPr>
            <w:tcW w:w="618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7">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560" w:type="dxa"/>
            <w:vAlign w:val="bottom"/>
            <w:gridSpan w:val="2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Information on the Company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30">
              <w:r>
                <w:rPr>
                  <w:rFonts w:ascii="Arial" w:cs="Arial" w:eastAsia="Arial" w:hAnsi="Arial"/>
                  <w:sz w:val="18"/>
                  <w:szCs w:val="18"/>
                  <w:color w:val="0000EE"/>
                </w:rPr>
                <w:t>History and Development of the Company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3040" w:type="dxa"/>
            <w:vAlign w:val="bottom"/>
            <w:tcBorders>
              <w:top w:val="single" w:sz="8" w:color="0000EE"/>
            </w:tcBorders>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Business Overview</w:t>
              </w:r>
            </w:hyperlink>
          </w:p>
        </w:tc>
        <w:tc>
          <w:tcPr>
            <w:tcW w:w="62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9240" w:type="dxa"/>
            <w:vAlign w:val="bottom"/>
            <w:gridSpan w:val="2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Organizational Structure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D.  </w:t>
            </w:r>
            <w:hyperlink w:anchor="page46">
              <w:r>
                <w:rPr>
                  <w:rFonts w:ascii="Arial" w:cs="Arial" w:eastAsia="Arial" w:hAnsi="Arial"/>
                  <w:sz w:val="18"/>
                  <w:szCs w:val="18"/>
                  <w:color w:val="0000EE"/>
                </w:rPr>
                <w:t>Property, Plants and Equipment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4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Operating and Financial Review and Prospects</w:t>
              </w:r>
            </w:hyperlink>
          </w:p>
        </w:tc>
        <w:tc>
          <w:tcPr>
            <w:tcW w:w="618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46">
              <w:r>
                <w:rPr>
                  <w:rFonts w:ascii="Arial" w:cs="Arial" w:eastAsia="Arial" w:hAnsi="Arial"/>
                  <w:sz w:val="18"/>
                  <w:szCs w:val="18"/>
                  <w:color w:val="0000EE"/>
                </w:rPr>
                <w:t>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23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Liquidity and Capital Resources</w:t>
              </w:r>
            </w:hyperlink>
          </w:p>
        </w:tc>
        <w:tc>
          <w:tcPr>
            <w:tcW w:w="694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924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Research and Development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13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Trend Information</w:t>
              </w:r>
            </w:hyperlink>
          </w:p>
        </w:tc>
        <w:tc>
          <w:tcPr>
            <w:tcW w:w="580" w:type="dxa"/>
            <w:vAlign w:val="bottom"/>
            <w:tcBorders>
              <w:top w:val="single" w:sz="8" w:color="0000EE"/>
            </w:tcBorders>
            <w:gridSpan w:val="7"/>
          </w:tcPr>
          <w:p>
            <w:pPr>
              <w:spacing w:after="0"/>
              <w:rPr>
                <w:sz w:val="24"/>
                <w:szCs w:val="24"/>
                <w:color w:val="auto"/>
              </w:rPr>
            </w:pPr>
          </w:p>
        </w:tc>
        <w:tc>
          <w:tcPr>
            <w:tcW w:w="730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9240" w:type="dxa"/>
            <w:vAlign w:val="bottom"/>
            <w:gridSpan w:val="2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Off-Balance Sheet Arrangements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17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Contractual Obligations</w:t>
              </w:r>
            </w:hyperlink>
          </w:p>
        </w:tc>
        <w:tc>
          <w:tcPr>
            <w:tcW w:w="620" w:type="dxa"/>
            <w:vAlign w:val="bottom"/>
            <w:tcBorders>
              <w:top w:val="single" w:sz="8" w:color="0000EE"/>
            </w:tcBorders>
            <w:gridSpan w:val="5"/>
          </w:tcPr>
          <w:p>
            <w:pPr>
              <w:spacing w:after="0"/>
              <w:rPr>
                <w:sz w:val="24"/>
                <w:szCs w:val="24"/>
                <w:color w:val="auto"/>
              </w:rPr>
            </w:pPr>
          </w:p>
        </w:tc>
        <w:tc>
          <w:tcPr>
            <w:tcW w:w="688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33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Directors, Senior Management and Employees</w:t>
              </w:r>
            </w:hyperlink>
          </w:p>
        </w:tc>
        <w:tc>
          <w:tcPr>
            <w:tcW w:w="62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86">
              <w:r>
                <w:rPr>
                  <w:rFonts w:ascii="Arial" w:cs="Arial" w:eastAsia="Arial" w:hAnsi="Arial"/>
                  <w:sz w:val="18"/>
                  <w:szCs w:val="18"/>
                  <w:color w:val="0000EE"/>
                </w:rPr>
                <w:t>Directors and Senior Management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1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87">
              <w:r>
                <w:rPr>
                  <w:rFonts w:ascii="Arial" w:cs="Arial" w:eastAsia="Arial" w:hAnsi="Arial"/>
                  <w:sz w:val="18"/>
                  <w:szCs w:val="18"/>
                  <w:color w:val="0000EE"/>
                  <w:w w:val="86"/>
                </w:rPr>
                <w:t>Compensation</w:t>
              </w:r>
            </w:hyperlink>
          </w:p>
        </w:tc>
        <w:tc>
          <w:tcPr>
            <w:tcW w:w="1420" w:type="dxa"/>
            <w:vAlign w:val="bottom"/>
            <w:tcBorders>
              <w:top w:val="single" w:sz="8" w:color="0000EE"/>
            </w:tcBorders>
            <w:gridSpan w:val="14"/>
          </w:tcPr>
          <w:p>
            <w:pPr>
              <w:spacing w:after="0"/>
              <w:rPr>
                <w:sz w:val="24"/>
                <w:szCs w:val="24"/>
                <w:color w:val="auto"/>
              </w:rPr>
            </w:pPr>
          </w:p>
        </w:tc>
        <w:tc>
          <w:tcPr>
            <w:tcW w:w="680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9240" w:type="dxa"/>
            <w:vAlign w:val="bottom"/>
            <w:gridSpan w:val="2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Board Practices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91">
              <w:r>
                <w:rPr>
                  <w:rFonts w:ascii="Arial" w:cs="Arial" w:eastAsia="Arial" w:hAnsi="Arial"/>
                  <w:sz w:val="18"/>
                  <w:szCs w:val="18"/>
                  <w:color w:val="0000EE"/>
                  <w:w w:val="85"/>
                </w:rPr>
                <w:t>Employees</w:t>
              </w:r>
            </w:hyperlink>
          </w:p>
        </w:tc>
        <w:tc>
          <w:tcPr>
            <w:tcW w:w="320" w:type="dxa"/>
            <w:vAlign w:val="bottom"/>
            <w:tcBorders>
              <w:top w:val="single" w:sz="8" w:color="0000EE"/>
            </w:tcBorders>
            <w:gridSpan w:val="4"/>
          </w:tcPr>
          <w:p>
            <w:pPr>
              <w:spacing w:after="0"/>
              <w:rPr>
                <w:sz w:val="24"/>
                <w:szCs w:val="24"/>
                <w:color w:val="auto"/>
              </w:rPr>
            </w:pPr>
          </w:p>
        </w:tc>
        <w:tc>
          <w:tcPr>
            <w:tcW w:w="814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12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Share Ownership</w:t>
              </w:r>
            </w:hyperlink>
          </w:p>
        </w:tc>
        <w:tc>
          <w:tcPr>
            <w:tcW w:w="800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7.</w:t>
            </w:r>
          </w:p>
        </w:tc>
        <w:tc>
          <w:tcPr>
            <w:tcW w:w="9560" w:type="dxa"/>
            <w:vAlign w:val="bottom"/>
            <w:gridSpan w:val="26"/>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Major Shareholders and Related Party Transactions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00" w:type="dxa"/>
            <w:vAlign w:val="bottom"/>
            <w:tcBorders>
              <w:top w:val="single" w:sz="8" w:color="0000EE"/>
            </w:tcBorders>
            <w:gridSpan w:val="23"/>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91">
              <w:r>
                <w:rPr>
                  <w:rFonts w:ascii="Arial" w:cs="Arial" w:eastAsia="Arial" w:hAnsi="Arial"/>
                  <w:sz w:val="18"/>
                  <w:szCs w:val="18"/>
                  <w:color w:val="0000EE"/>
                </w:rPr>
                <w:t>Major Shareholders</w:t>
              </w:r>
            </w:hyperlink>
          </w:p>
        </w:tc>
        <w:tc>
          <w:tcPr>
            <w:tcW w:w="58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924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Related Party Transactions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460" w:type="dxa"/>
            <w:vAlign w:val="bottom"/>
            <w:gridSpan w:val="2"/>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8.</w:t>
            </w:r>
          </w:p>
        </w:tc>
        <w:tc>
          <w:tcPr>
            <w:tcW w:w="9560" w:type="dxa"/>
            <w:vAlign w:val="bottom"/>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Financial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4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40" w:type="dxa"/>
            <w:vAlign w:val="bottom"/>
            <w:gridSpan w:val="15"/>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92">
              <w:r>
                <w:rPr>
                  <w:rFonts w:ascii="Arial" w:cs="Arial" w:eastAsia="Arial" w:hAnsi="Arial"/>
                  <w:sz w:val="18"/>
                  <w:szCs w:val="18"/>
                  <w:color w:val="0000EE"/>
                </w:rPr>
                <w:t>Financial Statements and Other Financial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3860" w:type="dxa"/>
            <w:vAlign w:val="bottom"/>
            <w:tcBorders>
              <w:top w:val="single" w:sz="8" w:color="0000EE"/>
            </w:tcBorders>
            <w:gridSpan w:val="2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Significant Changes</w:t>
              </w:r>
            </w:hyperlink>
          </w:p>
        </w:tc>
        <w:tc>
          <w:tcPr>
            <w:tcW w:w="53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820" w:type="dxa"/>
            <w:vAlign w:val="bottom"/>
            <w:gridSpan w:val="1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Item 9.</w:t>
            </w:r>
          </w:p>
        </w:tc>
        <w:tc>
          <w:tcPr>
            <w:tcW w:w="9560" w:type="dxa"/>
            <w:vAlign w:val="bottom"/>
            <w:gridSpan w:val="2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The Offer and Listing</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10.</w:t>
            </w:r>
          </w:p>
        </w:tc>
        <w:tc>
          <w:tcPr>
            <w:tcW w:w="17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Additional Information</w:t>
              </w:r>
            </w:hyperlink>
          </w:p>
        </w:tc>
        <w:tc>
          <w:tcPr>
            <w:tcW w:w="7860" w:type="dxa"/>
            <w:vAlign w:val="bottom"/>
            <w:gridSpan w:val="15"/>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A.  </w:t>
            </w:r>
            <w:hyperlink w:anchor="page94">
              <w:r>
                <w:rPr>
                  <w:rFonts w:ascii="Arial" w:cs="Arial" w:eastAsia="Arial" w:hAnsi="Arial"/>
                  <w:sz w:val="18"/>
                  <w:szCs w:val="18"/>
                  <w:color w:val="0000EE"/>
                </w:rPr>
                <w:t>Share Capital</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94">
              <w:r>
                <w:rPr>
                  <w:rFonts w:ascii="Arial" w:cs="Arial" w:eastAsia="Arial" w:hAnsi="Arial"/>
                  <w:sz w:val="18"/>
                  <w:szCs w:val="18"/>
                  <w:color w:val="0000EE"/>
                </w:rPr>
                <w:t>Memorandum and Articles of Association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w:t>
            </w:r>
          </w:p>
        </w:tc>
        <w:tc>
          <w:tcPr>
            <w:tcW w:w="1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Material Contracts</w:t>
              </w:r>
            </w:hyperlink>
          </w:p>
        </w:tc>
        <w:tc>
          <w:tcPr>
            <w:tcW w:w="1680" w:type="dxa"/>
            <w:vAlign w:val="bottom"/>
            <w:tcBorders>
              <w:top w:val="single" w:sz="8" w:color="0000EE"/>
            </w:tcBorders>
            <w:gridSpan w:val="10"/>
          </w:tcPr>
          <w:p>
            <w:pPr>
              <w:spacing w:after="0"/>
              <w:rPr>
                <w:sz w:val="24"/>
                <w:szCs w:val="24"/>
                <w:color w:val="auto"/>
              </w:rPr>
            </w:pPr>
          </w:p>
        </w:tc>
        <w:tc>
          <w:tcPr>
            <w:tcW w:w="62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D.</w:t>
            </w:r>
          </w:p>
        </w:tc>
        <w:tc>
          <w:tcPr>
            <w:tcW w:w="1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Exchange Controls</w:t>
              </w:r>
            </w:hyperlink>
          </w:p>
        </w:tc>
        <w:tc>
          <w:tcPr>
            <w:tcW w:w="788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E.</w:t>
            </w:r>
          </w:p>
        </w:tc>
        <w:tc>
          <w:tcPr>
            <w:tcW w:w="6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Taxation</w:t>
              </w:r>
            </w:hyperlink>
          </w:p>
        </w:tc>
        <w:tc>
          <w:tcPr>
            <w:tcW w:w="8620" w:type="dxa"/>
            <w:vAlign w:val="bottom"/>
            <w:gridSpan w:val="2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102">
              <w:r>
                <w:rPr>
                  <w:rFonts w:ascii="Arial" w:cs="Arial" w:eastAsia="Arial" w:hAnsi="Arial"/>
                  <w:sz w:val="18"/>
                  <w:szCs w:val="18"/>
                  <w:color w:val="0000EE"/>
                </w:rPr>
                <w:t>Dividends and Paying Agents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G.  </w:t>
            </w:r>
            <w:hyperlink w:anchor="page102">
              <w:r>
                <w:rPr>
                  <w:rFonts w:ascii="Arial" w:cs="Arial" w:eastAsia="Arial" w:hAnsi="Arial"/>
                  <w:sz w:val="18"/>
                  <w:szCs w:val="18"/>
                  <w:color w:val="0000EE"/>
                </w:rPr>
                <w:t>Statements by Experts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H.  </w:t>
            </w:r>
            <w:hyperlink w:anchor="page102">
              <w:r>
                <w:rPr>
                  <w:rFonts w:ascii="Arial" w:cs="Arial" w:eastAsia="Arial" w:hAnsi="Arial"/>
                  <w:sz w:val="18"/>
                  <w:szCs w:val="18"/>
                  <w:color w:val="0000EE"/>
                </w:rPr>
                <w:t>Documents on Display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11.</w:t>
            </w:r>
          </w:p>
        </w:tc>
        <w:tc>
          <w:tcPr>
            <w:tcW w:w="9560" w:type="dxa"/>
            <w:vAlign w:val="bottom"/>
            <w:gridSpan w:val="26"/>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12.</w:t>
            </w:r>
          </w:p>
        </w:tc>
        <w:tc>
          <w:tcPr>
            <w:tcW w:w="4360" w:type="dxa"/>
            <w:vAlign w:val="bottom"/>
            <w:tcBorders>
              <w:top w:val="single" w:sz="8" w:color="0000EE"/>
            </w:tcBorders>
            <w:gridSpan w:val="2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Description of Securities Other than Equity Securities</w:t>
              </w:r>
            </w:hyperlink>
          </w:p>
        </w:tc>
        <w:tc>
          <w:tcPr>
            <w:tcW w:w="52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04"/>
        </w:trPr>
        <w:tc>
          <w:tcPr>
            <w:tcW w:w="1460" w:type="dxa"/>
            <w:vAlign w:val="bottom"/>
            <w:gridSpan w:val="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PART II</w:t>
              </w:r>
            </w:hyperlink>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13.</w:t>
            </w:r>
          </w:p>
        </w:tc>
        <w:tc>
          <w:tcPr>
            <w:tcW w:w="360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Defaults, Dividend Arrearages and Delinquencies</w:t>
              </w:r>
            </w:hyperlink>
          </w:p>
        </w:tc>
        <w:tc>
          <w:tcPr>
            <w:tcW w:w="59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14.</w:t>
            </w:r>
          </w:p>
        </w:tc>
        <w:tc>
          <w:tcPr>
            <w:tcW w:w="56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Material Modifications to the Rights of Security Holders and Use of Proceeds</w:t>
              </w:r>
            </w:hyperlink>
          </w:p>
        </w:tc>
        <w:tc>
          <w:tcPr>
            <w:tcW w:w="39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15.</w:t>
            </w:r>
          </w:p>
        </w:tc>
        <w:tc>
          <w:tcPr>
            <w:tcW w:w="17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Controls and Procedures</w:t>
              </w:r>
            </w:hyperlink>
          </w:p>
        </w:tc>
        <w:tc>
          <w:tcPr>
            <w:tcW w:w="77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16A.</w:t>
            </w:r>
          </w:p>
        </w:tc>
        <w:tc>
          <w:tcPr>
            <w:tcW w:w="9560" w:type="dxa"/>
            <w:vAlign w:val="bottom"/>
            <w:gridSpan w:val="2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Audit Committee Financial Expert</w:t>
              </w:r>
            </w:hyperlink>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16B.</w:t>
            </w:r>
          </w:p>
        </w:tc>
        <w:tc>
          <w:tcPr>
            <w:tcW w:w="1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Code of Ethics</w:t>
              </w:r>
            </w:hyperlink>
          </w:p>
        </w:tc>
        <w:tc>
          <w:tcPr>
            <w:tcW w:w="1420" w:type="dxa"/>
            <w:vAlign w:val="bottom"/>
            <w:tcBorders>
              <w:top w:val="single" w:sz="8" w:color="0000EE"/>
            </w:tcBorders>
            <w:gridSpan w:val="12"/>
          </w:tcPr>
          <w:p>
            <w:pPr>
              <w:spacing w:after="0"/>
              <w:rPr>
                <w:sz w:val="24"/>
                <w:szCs w:val="24"/>
                <w:color w:val="auto"/>
              </w:rPr>
            </w:pPr>
          </w:p>
        </w:tc>
        <w:tc>
          <w:tcPr>
            <w:tcW w:w="70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16C.</w:t>
            </w:r>
          </w:p>
        </w:tc>
        <w:tc>
          <w:tcPr>
            <w:tcW w:w="9560" w:type="dxa"/>
            <w:vAlign w:val="bottom"/>
            <w:gridSpan w:val="2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r>
      <w:tr>
        <w:trPr>
          <w:trHeight w:val="20"/>
        </w:trPr>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16D.</w:t>
            </w:r>
          </w:p>
        </w:tc>
        <w:tc>
          <w:tcPr>
            <w:tcW w:w="9560" w:type="dxa"/>
            <w:vAlign w:val="bottom"/>
            <w:gridSpan w:val="2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Exemptions from the Listing Standards for Audit Committees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20"/>
        </w:trPr>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10"/>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Purchases of Equity Securities by the Issuer and Affiliated Purchasers</w:t>
              </w:r>
            </w:hyperlink>
          </w:p>
        </w:tc>
        <w:tc>
          <w:tcPr>
            <w:tcW w:w="45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16F.</w:t>
            </w:r>
          </w:p>
        </w:tc>
        <w:tc>
          <w:tcPr>
            <w:tcW w:w="33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Change in Registrants’ Certifying Accountant</w:t>
              </w:r>
            </w:hyperlink>
          </w:p>
        </w:tc>
        <w:tc>
          <w:tcPr>
            <w:tcW w:w="62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16G.</w:t>
            </w:r>
          </w:p>
        </w:tc>
        <w:tc>
          <w:tcPr>
            <w:tcW w:w="9560" w:type="dxa"/>
            <w:vAlign w:val="bottom"/>
            <w:gridSpan w:val="2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20"/>
        </w:trPr>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16H.</w:t>
            </w:r>
          </w:p>
        </w:tc>
        <w:tc>
          <w:tcPr>
            <w:tcW w:w="9560" w:type="dxa"/>
            <w:vAlign w:val="bottom"/>
            <w:gridSpan w:val="2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304"/>
        </w:trPr>
        <w:tc>
          <w:tcPr>
            <w:tcW w:w="1460" w:type="dxa"/>
            <w:vAlign w:val="bottom"/>
            <w:gridSpan w:val="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PART III</w:t>
              </w:r>
            </w:hyperlink>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17.</w:t>
            </w:r>
          </w:p>
        </w:tc>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Financial Statements</w:t>
              </w:r>
            </w:hyperlink>
          </w:p>
        </w:tc>
        <w:tc>
          <w:tcPr>
            <w:tcW w:w="802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18.</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Financial Statements</w:t>
              </w:r>
            </w:hyperlink>
          </w:p>
        </w:tc>
        <w:tc>
          <w:tcPr>
            <w:tcW w:w="804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r>
      <w:tr>
        <w:trPr>
          <w:trHeight w:val="304"/>
        </w:trPr>
        <w:tc>
          <w:tcPr>
            <w:tcW w:w="1460" w:type="dxa"/>
            <w:vAlign w:val="bottom"/>
            <w:gridSpan w:val="3"/>
          </w:tcPr>
          <w:p>
            <w:pPr>
              <w:ind w:left="360"/>
              <w:spacing w:after="0"/>
              <w:rPr>
                <w:sz w:val="20"/>
                <w:szCs w:val="20"/>
                <w:color w:val="auto"/>
              </w:rPr>
            </w:pPr>
            <w:r>
              <w:rPr>
                <w:rFonts w:ascii="Arial" w:cs="Arial" w:eastAsia="Arial" w:hAnsi="Arial"/>
                <w:sz w:val="18"/>
                <w:szCs w:val="18"/>
                <w:color w:val="auto"/>
              </w:rPr>
              <w:t>Item 19.</w:t>
            </w:r>
          </w:p>
        </w:tc>
        <w:tc>
          <w:tcPr>
            <w:tcW w:w="9560" w:type="dxa"/>
            <w:vAlign w:val="bottom"/>
            <w:gridSpan w:val="2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Special Note Regarding Forward Looking Statements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Unless the context otherwise requires, references to “the company”, “we”, “us” , “our” or “Global Ship Lease” refers to Global Ship Lease, Inc.; “CMA CGM” refers to CMA CGM S.A. and “Ship Manager” refers to CMA Ships, a wholly-owned subsidiary of CMA CGM and our current ship manager.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3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81"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This historical selected consolidated financial data have been derived from our audited consolidated financial statements and have been prepared in accordance with U.S. generally accepted accounting principles (“U.S. GAAP”). Certain financial information has been rounded, and, as a result, certain totals shown in this Annual Report may not equal the arithmetic sum of the figures that should otherwise aggregate to those totals.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millions of U.S. dollars, except per share data)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 (1)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153.2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Impairment charge (2)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(92.1)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(91.4)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(106.3)</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(107.1)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Non operating income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Unrealized gain (loss) on interest rate derivatives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Taxes on income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42.4</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Class A common share in $</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 millions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Diluted in millions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 in $</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Nil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Basic and diluted in millions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(59.3)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current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817.9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856.4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858.2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903.7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981.0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 portion)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366.4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425.7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Preferred shares(3)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399.5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Number of vessels in operation at period end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Ownership days (4)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6,205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6,222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Utilization (5)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line item reports revenues earned from our chartering business following the purchase of our vessels commencing December 2007.</w:t>
      </w:r>
    </w:p>
    <w:p>
      <w:pPr>
        <w:spacing w:after="0" w:line="23"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8, 2010, we signed agreements with the sellers of two 4,231 TEU container vessels which terminated our purchase obligations totaling $154.8 million. Under the agreements we (i) released deposits, including accrued interest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83" w:lineRule="auto"/>
        <w:rPr>
          <w:sz w:val="20"/>
          <w:szCs w:val="20"/>
          <w:color w:val="auto"/>
        </w:rPr>
      </w:pPr>
      <w:r>
        <w:rPr>
          <w:rFonts w:ascii="Arial" w:cs="Arial" w:eastAsia="Arial" w:hAnsi="Arial"/>
          <w:sz w:val="16"/>
          <w:szCs w:val="16"/>
          <w:color w:val="auto"/>
        </w:rPr>
        <w:t>totaling approximately $8.1 million per vessel (ii) made a further cash payment of approximately $6.2 million per vessel and (iii) transferred to the sellers certain supplies purchased for the vessels which were valued at approximately $0.4 million per vessel. The total value of these items was $29.4 million or $14.7 million per vessel. In exchange, we acquired purchase options giving us the right, but not the obligation, to purchase each vessel on the first anniversary of its delivery by the builder to the seller, for a final payment of $61.25 million per vessel. The purchase options were to be exercised by September 16, 2011 for one vessel and October 4, 2011 for the other vessel. Under U.S. GAAP, (i) the estimated fair value of the two purchase options was recorded as an intangible asset in the balance sheet of $13.6 million and (ii) the balance of the consideration paid in the transaction amounting to $17.1 million was expensed as an impairment charge in 2010. The purchase of these vessels was always predicated on achieving a strong return for shareholders by acquiring the vessels, which had time charters attached, at an attractive price and securing financing on favorable terms. As we were not able to obtain committed finance on acceptable terms, the purchase options were allowed to expire.</w:t>
      </w:r>
    </w:p>
    <w:p>
      <w:pPr>
        <w:spacing w:after="0" w:line="7" w:lineRule="exact"/>
        <w:rPr>
          <w:sz w:val="20"/>
          <w:szCs w:val="20"/>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aggregate outstanding liquidation preference on our Series A preferred shares. The Series A preferred shares are mandatorily redeemable in 11 quarterly installments of approximately $4.0 million from August 31, 2016 with a final payment of the remaining amount outstanding on May 31, 2019. They are classified as a long-term liability on our balance sheet. Preferred shareholders are entitled to cash dividends equal to three-month USD LIBOR plus 2.0% of the original liquidation preference which are accounted for as a liability on our balance sheet. Dividends are payable quarterly or at such other times as we may choose. The dividend that preferred shareholders are entitled to is included as part of interest expense. All of the Series A preferred shares are held by CMA CGM.</w:t>
      </w:r>
    </w:p>
    <w:p>
      <w:pPr>
        <w:spacing w:after="0" w:line="2" w:lineRule="exact"/>
        <w:rPr>
          <w:rFonts w:ascii="Arial" w:cs="Arial" w:eastAsia="Arial" w:hAnsi="Arial"/>
          <w:sz w:val="18"/>
          <w:szCs w:val="18"/>
          <w:color w:val="auto"/>
        </w:rPr>
      </w:pPr>
    </w:p>
    <w:p>
      <w:pPr>
        <w:ind w:left="460" w:right="420"/>
        <w:spacing w:after="0" w:line="281" w:lineRule="auto"/>
        <w:rPr>
          <w:rFonts w:ascii="Arial" w:cs="Arial" w:eastAsia="Arial" w:hAnsi="Arial"/>
          <w:sz w:val="18"/>
          <w:szCs w:val="18"/>
          <w:color w:val="auto"/>
        </w:rPr>
      </w:pPr>
      <w:r>
        <w:rPr>
          <w:rFonts w:ascii="Arial" w:cs="Arial" w:eastAsia="Arial" w:hAnsi="Arial"/>
          <w:sz w:val="16"/>
          <w:szCs w:val="16"/>
          <w:color w:val="auto"/>
        </w:rPr>
        <w:t>In addition to the scheduled repayments commencing August 31, 2016, the Series A preferred shares provide for mandatory redemptions upon the occurrence of certain events, including the issuance of equity, issuance of unsecured debt, sale of a vessel and a change of control.</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Ownership days represent the number of days in the period that we owned the relevant vessels.</w:t>
      </w:r>
    </w:p>
    <w:p>
      <w:pPr>
        <w:spacing w:after="0" w:line="9"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for any reason, including scheduled dry-dockings, breakdowns or repairs. These data are non-U.S. GAAP statistical measures used by management to assess operating performance and are not included in consolidated financial statements prepared under U.S. GAAP.</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charter payments from CMA CGM.</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All of our vessels are chartered to CMA CGM. CMA CGM’s payments to us under the charters are currently our sole source of operating revenue. We are consequently highly dependent on the performance by CMA CGM of its obligations under the charters. The container shipping industry suffered a significant cyclical downturn in the second half of 2008 and through 2009, with positive industry conditions returning in 2010. The container shipping industry suffered a further cyclical downturn in 2011 and many container shipping companies reported substantial losses. Financial performance of container shipping companies improved in 2012 and 2013, however, the industry remains under pressure due to oversupply of container ship capacity. We have experienced continued and, from time to time, increased delays in receiving charterhire payments from CMA CGM. Since January 1, 2012, between one and three installments have been outstanding at any one time, which under the charter contracts are due to be paid every 15 days in advance. As at December 31, 2013, one period of charterhire was outstanding, amounting to $6.1 million.</w:t>
      </w:r>
    </w:p>
    <w:p>
      <w:pPr>
        <w:spacing w:after="0" w:line="17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manage our ships.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All of our vessels are managed by a third party, CMA Ships, a wholly owned subsidiary of CMA CGM, which, for an annual management fee of $123,000 per vessel, is responsible for all day-to-day ship management, including crewing, purchasing stores, lubricating oils and spare parts, paying wages, pensions and insurance for the crew, and organizing other vessel operating necessities, including the arrangement and management of drydocking. Our ship management agreements with CMA Ships may be terminated by either party on two months written notice. In the future, CMA Ships may demand a higher fee or other more favorable terms in consideration for its services or decide to terminate its agreements with us. The prices or terms of new ship management agreements with CMA Ships or an alternate provider may be significantly less favorable to us than the terms of our existing ship management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are privately held companies and there is little or no publicly available information about them.</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CMA CGM is our sole charterer and its wholly owned subsidiary, CMA Ships, is our Ship Manager. CMA CGM has guaranteed the performance of CMA Ships under the ship management agreements. CMA CGM’s ability to continue to pay charterhire and CMA Ships’ ability to render ship management services will depend in part on their own financial position.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Circumstances beyond their control could impair CMA CGM’s and CMA Ships’ financial position, and because they are privately held companies, limited information about their financial position is publicly available. As a result, we and an investor in our securities might have little advance warning of financial or other difficulties affecting CMA CGM or its wholly owned subsidiaries even though their financial or other difficulties could have a material adverse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have conflicts of interest with us which may make them favor their own interests to our detriment.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at December 31, 2013, CMA CGM owned approximately 44.45% of our outstanding common stock. Accordingly, CMA CGM has the power to exert considerable influence over our actions and its concentration of ownership may have the effect of delaying, deferring or preventing a change in control, merger, consolidation, takeover or other business combination, which could have an adverse effect on the price of our common stock. In addition, the standstill provisions of the stockholders agreement entered into between us, CMA CGM and Marathon Founders, LLC, at the time of the Merger, expired on August 14, 2013. Accordingly, CMA CGM is no longer precluded from acquiring additional shares of our common stock or initiating changes to our board of directors. CMA CGM has recently requested us to add two additional directors to our board with those seats to be filled by their nominees. Our discussions are ongoing. Under our bylaws, in order for the approval of contracts or transactions involving a related party not to be voidable (1) the interested director’s relationship or interest as to the contract or transaction must be disclosed to the board of directors and such contract or transaction is authorized by a majority of the disinterested directors (or, in certain cases, all of the disinterested directors) or (2) the contract or transaction is specifically approved in good faith by vote of the shareholders. Furthermore, our corporate governance guidelines require a director with a personal interest in a matter being approved by the board of directors to disclose the interest, to recuse himself or herself from participation in the discussion and to not vote on the matter.</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Moreover, conflicts of interest may also arise between us, on the one hand, and CMA CGM, our charterer, or CMA Ships, our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our Ship Manager and our charterer. These risks may be exacerbated in the event that CMA CGM elects to exert more influence in the management of our business through board representation, acquiring additional shares of our common stock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reporting is dependent on CMA Ships.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Under the ship management agreements with CMA Ships, CMA Ships is obliged to provide us with requisite financial information on a timely basis so that we can meet our own reporting obligations under U.S. securities laws. CMA Ships and its parent company CMA CGM are privately held corporations with financial reporting arrangements different from ours. If CMA Ships or any of its affiliates is delayed in providing us with key financial information,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could compete with us.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Along with many other vessel-owning companies, CMA CGM, currently our sole charterer and largest holder of our common shares, could compete with us for the purchase of newbuildings and secondhand vessels. Further, CMA CGM is not precluded from acting as an owner in the direct chartering market. While we understand that CMA CGM currently has no intention of doing so, competition from CMA CGM may potentially harm our ability to grow the business and may decrease our results of operations.</w:t>
      </w:r>
    </w:p>
    <w:p>
      <w:pPr>
        <w:spacing w:after="0" w:line="187"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Certain terms in our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0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initial charters, the ship management agreements and the other contractual agreements we have entered into with CMA CGM and its wholly owned subsidiaries were made during an affiliated relationship in the context of a previously contemplated public offering of our Class A common shares in 2007, the Merger in August 2008 and other related transactions. Further, the new charters that came into effect after September 2012 for Ville d’Aquarius and Ville d’Orion were also agreed with CMA CGM, a significant shareholder and related party.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purchase further vessels, obtain new charters and maintain our relationship with CMA CGM. We will require additional financing to be able to grow and will face substantial competition.</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One of our objectives is to grow by acquiring additional vessels and chartering them out to container shipping companies potentially including CMA CGM. Acquisition of vessels will be challenging as, inter alia, we will need to obtain additional financing in order to complete vessel purchases. Due to the continuing effects on the banking sector of the economic downturn and the severe cyclical downturn in the container shipping industry, financing for investment in containerships, whether newbuildings or existing vessels, is severely limited. Further, the cost of any available financing has increased significantly. In addition, in recent years, the number of lenders for shipping companies has decreased and ship-funding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76" w:lineRule="exact"/>
        <w:rPr>
          <w:sz w:val="20"/>
          <w:szCs w:val="20"/>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containership leasing experience and quality of ship operations (including cost 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130" w:lineRule="exact"/>
        <w:rPr>
          <w:rFonts w:ascii="Arial" w:cs="Arial" w:eastAsia="Arial" w:hAnsi="Arial"/>
          <w:sz w:val="18"/>
          <w:szCs w:val="18"/>
          <w:color w:val="auto"/>
        </w:rPr>
      </w:pPr>
    </w:p>
    <w:p>
      <w:pPr>
        <w:ind w:left="1460" w:right="104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obtain on-time delivery of new vessels according to customer specifications.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will face substantial competition in expanding our business from a number of experienced companies. Many of these competitors may have greater financial resources than us, may also operate larger fleets, may have been established for longer and may be able to offer better charter rates. During any industry downturn there are an increased number of vessels available for charter, including many from owners with strong reputations and experience. The potential excess supply of vessels results in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recharter our vessels at profitable rates, if at all, upon their time charter expiry.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time charters for two of our 17 containerships will expire as early as April 2014. While we generally expect to be able to obtain new time charters for our vessels within a reasonable period prior to their expiry, we cannot be assured that this will occur in any particular case, or at all. In addition, the supply/demand balance for containerships has been under pressure since late 2008 with a significant number of vessels idle and charter rates in the spot market depressed and we may not be able to secure charter rates at the same level as the current time charters. If we are unable to obtain new time charters for these containerships at favorable rates or are unable to secure new charters at all it could have a material adverse effect on our business, results of operations and financial condition.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and limit our ability to react to changes in the economy or our industry.</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highly leveraged. As at March 19, 2014, we had $465.0 million of total debt and other long term liabilities outstanding, including $420.0 million of secured indebtedness (all of which is represented by our 10.000% first priority secured notes due 2019 (the “notes”)) and $45.0 million aggregate liquidation preference of preferred shares, and we had availability of $40.0 million under our senior secured revolving credit facility (the “revolving credit facility”).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31" w:lineRule="exact"/>
        <w:rPr>
          <w:sz w:val="20"/>
          <w:szCs w:val="20"/>
          <w:color w:val="auto"/>
        </w:rPr>
      </w:pPr>
    </w:p>
    <w:p>
      <w:pPr>
        <w:ind w:left="1460" w:hanging="547"/>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1460" w:right="800" w:hanging="547"/>
        <w:spacing w:after="0" w:line="264"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be dedicated to the payment of principal and interest on our indebtedness, therefore reducing our ability to use our cash flows to fund operations, capital expenditure and future business opportunities;</w:t>
      </w:r>
    </w:p>
    <w:p>
      <w:pPr>
        <w:spacing w:after="0" w:line="86" w:lineRule="exact"/>
        <w:rPr>
          <w:rFonts w:ascii="Arial" w:cs="Arial" w:eastAsia="Arial" w:hAnsi="Arial"/>
          <w:sz w:val="18"/>
          <w:szCs w:val="18"/>
          <w:color w:val="auto"/>
        </w:rPr>
      </w:pPr>
    </w:p>
    <w:p>
      <w:pPr>
        <w:ind w:left="1460" w:right="20" w:hanging="547"/>
        <w:spacing w:after="0" w:line="312"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including the revolving credit facility and notes, and any failure to comply with the obligations of any of our debt instruments, including restrictive covenants and borrowing conditions, could result in an event of default under the indenture governing the notes and the agreements governing such other indebtedness;</w:t>
      </w:r>
    </w:p>
    <w:p>
      <w:pPr>
        <w:spacing w:after="0" w:line="52" w:lineRule="exact"/>
        <w:rPr>
          <w:rFonts w:ascii="Arial" w:cs="Arial" w:eastAsia="Arial" w:hAnsi="Arial"/>
          <w:sz w:val="16"/>
          <w:szCs w:val="16"/>
          <w:color w:val="auto"/>
        </w:rPr>
      </w:pPr>
    </w:p>
    <w:p>
      <w:pPr>
        <w:ind w:left="1460" w:hanging="547"/>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5" w:lineRule="exact"/>
        <w:rPr>
          <w:rFonts w:ascii="Arial" w:cs="Arial" w:eastAsia="Arial" w:hAnsi="Arial"/>
          <w:sz w:val="18"/>
          <w:szCs w:val="18"/>
          <w:color w:val="auto"/>
        </w:rPr>
      </w:pPr>
    </w:p>
    <w:p>
      <w:pPr>
        <w:ind w:left="1460" w:right="580" w:hanging="547"/>
        <w:spacing w:after="0" w:line="264"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3"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Despite our indebtedness levels, we may be able to incur substantially more indebtedness. This could further exacerbate the risks associated with our substantial indebtedness.</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We may be able to incur substantial additional indebtedness in the future. Although the indenture governing the notes and our revolving credit facility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the indenture governing the notes and our revolving credit facility will not prevent us from incurring obligations that do not constitute indebtedness thereunder. Our covenants also permit us to incur substantial non-recourse indebtedness in subsidiaries that do not guarantee our obligations under our notes.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indenture governing the notes and our revolving credit facility contain various covenants that limit our ability to engage in specified types of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limit our ability and the ability of our restricted subsidiaries to, among other things:</w:t>
      </w:r>
    </w:p>
    <w:p>
      <w:pPr>
        <w:spacing w:after="0" w:line="116" w:lineRule="exact"/>
        <w:rPr>
          <w:sz w:val="20"/>
          <w:szCs w:val="20"/>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pay dividends on, redeem or repurchase their capital stock or make other restricted payments and investments;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restrictive covenants in the revolving credit facility require us to satisfy certain financial condition tests at the risk of default or reduction and cancellation of certain commitments under the revolving credit facility. Our ability to meet those financial ratios and tests will depend on our ongoing financial and operating performance, which, in turn, will be subject to economic conditions and to financial, market, and competitive factors, many of which are beyond our control.</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Due to the restrictive covenants under our revolving credit facility, we may need to seek consent from our lenders in order to engage in some corporate and commercial actions that we believe would be in the best interest of our business, and a denial of consent may make it difficult for us to successfully execute our business strategy or effectively compete with companies that are not similarly restricted. Our lenders’ interests may be different from our interests, and we cannot guarantee that we will be able to obtain our lenders’ permission when needed. This may prevent us from taking actions that are in our best interest. Any future agreements governing our indebtedness may include similar or more restrictive restrictions.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breach of any of these covenants could result in a default under one or more of these agreements, including as a result of cross default provisions, and, in the case of our revolving credit facility, permit the lenders to cease making loans to us. Upon the occurrence of an event of default under our revolving credit facility, the lenders could elect to declare all amounts outstanding under our revolving credit facility to be immediately due and payable. Such actions by the lenders could cause cross defaults under the indenture governing our notes.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Substantially all of the assets currently owned by us serve as security under our revolving credit facility and for our notes. If our operating performance declines, we may be required to obtain waivers from the lenders under the revolving credit facility to avoid default thereunder. If we are not able to obtain a waiver from the lenders under the revolving credit facility, the lenders could exercise their rights upon default and we could be forced into bankruptcy or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vessels’ mortgagor or other maritime claimants could arrest our vessels, which could interrupt the charterer’s or our cash flow.</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If we default under our revolving credit facility or on our notes, our lenders under our credit agreement and/or holders of our notes who hold mortgages on our vessels could arrest some or all of our vessels and cause them to be sold. We would not receive any proceeds of such sale unless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Vessel values may fluctuate due to a number of different factors, including:</w:t>
      </w:r>
    </w:p>
    <w:p>
      <w:pPr>
        <w:spacing w:after="0" w:line="131"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types, sizes and demand for available vessels;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other modes of transportation;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supply of vessel capacity;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newbuildings;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or other regulations; and</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upgrade second hand and previously owned vessels as a result of charterer requirements, technological advances in vessel design or equipment, or otherwise.</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as vessels grow older, they generally decline in value. Due to the cyclical nature of the container market, if for any reason we sell any of our owned vessels at a time when prices are depressed, we could incur a loss and our business, results of operations, cash flow and financial condition could be adversely affected. Additionally, under our current time charter agreements, the charterer has a right of first refusal should we decide to sell the vessel during or at the end of the charter period. If they do not exercise this right, we are entitled to sell the vessel, subject to their prior approval, which cannot be unreasonably withheld. We may be forced to sell our vessels for a lesser amount because of these constraints. Moreover, if the book value of a vessel is impaired due to unfavorable market conditions we may incur a loss that could adversely affect our operating results.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vessels may be subject to extended periods of off-hire, which could materially adversely affect our business, financial condition and results of operations.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Under the time charters for our vessels, when the vessel is not available for service, and is “off-hire,” the charterer generally is not required to pay the hire rate, and we will be responsible for all costs unless the charterer is responsible for the circumstances giving rise to the lack of availability. A vessel generally will be deemed to be off-hire if there is an occurrence that affects the full working condition of the vessel, such as:</w:t>
      </w:r>
    </w:p>
    <w:p>
      <w:pPr>
        <w:spacing w:after="0" w:line="71"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1480" w:right="340" w:hanging="446"/>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CMA CGM’s lost time;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crewing labor boycotts or certain vessel arrests;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vessel’s declared performance speed is reduced or fuel consumption is increased by more than 5%;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charterer may have the right to terminate the charter agreement under a number of circumstances, such as, if:</w:t>
      </w:r>
    </w:p>
    <w:p>
      <w:pPr>
        <w:spacing w:after="0" w:line="131"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vessel in the current fleet is off-hire for more than 90 consecutive days and the vessel is free of cargo;</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charterer informs us of a default under the charter, and the default is not rectified within 60 days of such notice;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 total (actual or constructive) loss of the vessel;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vessel’s declared performance speed is reduced or fuel consumption increased in excess of 10% over a continuous period of 30 days, and the reason is within our or the vessel’s control.</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of vessels or container shipping-related assets, and implementing our growth strategy through acquisitions which may harm our business, financial condition and operating results.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growth strategy includes, among other things, selectively acquiring secondhand and, potentially, newbuilding vessels and we may also seek to diversify our asset base by acquiring containers and other container shipping-related assets if an attractive investment opportunity presents itself in the future.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that we will be able to purchase secondhand vessels or newbuildings at satisfactory prices or obtain ship management agreements with similar or better terms than those we have obtained from CMA Ships, that we will be able to purchase containers and subsequently lease them out at satisfactory prices or that we will not incur significant expenses and losses in connection with our future growth.</w:t>
      </w:r>
    </w:p>
    <w:p>
      <w:pPr>
        <w:spacing w:after="0" w:line="1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87"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Should we expand our business or provide services to third parties, we may need to improve our operating and financial systems, expand our commercial and technical management staff, and recruit suitable employees and crew for our vessels.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current operating and financial systems may not be adequate if we expand the size of our fleet or begin to lease containers,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expand our fleet, or begin to lease containers, and we are unable to grow our financial and operating systems or to recruit suitable employees, our business, results of operations and financial condition may be harmed.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the purchase and operation of secondhand vessels.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perform underwater inspections of vessels prior to purchase.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Although we would perform physical inspections of any vessels prior to their purchase, we may not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may be reduced by the introduction of new accounting rules for leasing.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International and U.S. accounting standard-setting organizations have proposed the elimination of allowing operating leases to not be recorded on the balance sheet. The proposals are still under discussion. The date for implementation is now unlikely to be before 2016. If the proposals are adopted as currently proposed, they would have the effect of bringing most off-balance sheet operating leases, including time charters, onto a lessee’s balance sheet as liabilities. This proposed change could affect charterers by causing them to breach certain financial covenants. This may make them less likely to enter into time charters for our containerships, which could reduce our growth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substantial expenditures to maintain our fleet and to acquire vessels.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must make substantial expenditures to maintain our fleet and we generally expect to finance these maintenance expenditures from operating cashflow. In addition, we will need to make substantial capital expenditures to acquire vessels in accordance with our growth strategy. Maintenance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to maintain our fleet, with borrowings under our revolving credit facility or otherwise find alternative sources of financing. Such alternatives may not be available on economic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fleet ages, we may incur increased operating costs, which would adversely affect our earnings.</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Our current fleet of 17 vessels as at December 31, 2013 had an average age weighted by TEU capacity of 9.8 years.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current fleet of 17 containerships as at December 31, 2013, had an average age weighted by TEU capacity of 9.8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certain individuals who may not necessarily continue to be affiliated with us.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current performance and future success depend to a significant extent upon our Chief Executive Officer, Ian J. Webber, our Chief Financial Officer, Susan J. Cook, our Chief Commercial Officer, Thomas A. Lister and our Chief Technical Officer, Vivek Puri. Mr. Webber, Ms. Cook, Mr. Lister and Mr. Puri have approximately 100 years of cumulative experience in the shipping industry and have worked with several of the world’s largest shipping, ship leasing and ship management companies. They and members of the board of directors are crucial to the execution of our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crew and other vessel operating costs may adversely affect our profits.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Acquiring and renewing long-term time charters with leading liner companies depends on a number of factors, including our ability to man our containerships with suitably experienced, high quality masters, officers and crews. In recent years, the limited supply of and increased demand for well-qualified crew, due to the increase in the size of the global shipping fleet, has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fuel prices may have an adverse effect on our profits.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cost of fuel is a significant factor in negotiating charter rates and can affect us in both direct and indirect ways. This cost will be borne by us when our containerships are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Even where the cost of fuel is borne by the charterer, which is the case with all of our existing time charters,that cost will affect the level of charter rates that charterers are prepared to pay.</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holding company and we depend on the ability of our subsidiaries to distribute funds to us in order to satisfy our financial and other obligations.</w:t>
      </w:r>
    </w:p>
    <w:p>
      <w:pPr>
        <w:spacing w:after="0" w:line="26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a claim or other action by a third party, including a creditor, or by English, Marshall Islands or Cypriot law or the laws of any jurisdiction which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preferred shares, or meet our debt service obligations or our other liabilities.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generate all of our revenues in U.S. dollars but incur a portion of our expenses in other currencies, exchange rate fluctuations could hurt our results of operations.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generate all of our revenues in U.S. dollars and some of our expenses are denominated in currencies other than U.S. dollars. This difference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effect on our operating expenses and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shipping industry has inherent operational risks. Although we carry hull and machinery insurance, war risks insurance and protection and indemnity insurance (which includes coverage for environmental damage and pollution) and other insurances commonly used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revolving credit facility and the indenture that governs our notes,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8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if and when we will resume paying dividends.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not paid dividends since March 2009. Subject to the limitations contained in our revolving credit facility, the indenture governing our notes and other contractual obligations, we may resume the distribution of a portion of our cash flow to our shareholders, while retaining the remaining cash flow for reinvestment in our business, to fund vessel or fleet acquisitions, make debt repayments and for other purposes, as determined by our board of directors. The timing and amount of any dividends declared will depend on, among other things (a) our earnings, financial condition, cash flow and cash requirements,</w:t>
      </w:r>
    </w:p>
    <w:p>
      <w:pPr>
        <w:spacing w:after="0" w:line="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liquidity, including our ability to obtain debt and equity financing on acceptable terms as contemplated by our vessel acquisition strategy,</w:t>
      </w:r>
    </w:p>
    <w:p>
      <w:pPr>
        <w:spacing w:after="0" w:line="9" w:lineRule="exact"/>
        <w:rPr>
          <w:rFonts w:ascii="Arial" w:cs="Arial" w:eastAsia="Arial" w:hAnsi="Arial"/>
          <w:sz w:val="18"/>
          <w:szCs w:val="18"/>
          <w:color w:val="auto"/>
        </w:rPr>
      </w:pPr>
    </w:p>
    <w:p>
      <w:pPr>
        <w:ind w:right="200" w:firstLine="8"/>
        <w:spacing w:after="0" w:line="261"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restrictive covenants in our existing and future debt instruments and (d) provisions of Marshall Islands law. The declaration and payment of dividends is also subject at all times to the discretion of our board of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will vary based upon, among other things:</w:t>
      </w:r>
    </w:p>
    <w:p>
      <w:pPr>
        <w:spacing w:after="0" w:line="92" w:lineRule="exact"/>
        <w:rPr>
          <w:sz w:val="20"/>
          <w:szCs w:val="20"/>
          <w:color w:val="auto"/>
        </w:rPr>
      </w:pPr>
    </w:p>
    <w:p>
      <w:pPr>
        <w:ind w:left="1920" w:hanging="440"/>
        <w:spacing w:after="0"/>
        <w:tabs>
          <w:tab w:leader="none" w:pos="1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charter-hire payments we obtain from our charters as well as the rates obtained upon the expiration of our existing charters;</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of additional vessels;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the delivery of newbuilding vessels, if any, and the beginning of payments under charters relating to those vessels;</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w:t>
      </w:r>
    </w:p>
    <w:p>
      <w:pPr>
        <w:spacing w:after="0" w:line="130" w:lineRule="exact"/>
        <w:rPr>
          <w:rFonts w:ascii="Arial" w:cs="Arial" w:eastAsia="Arial" w:hAnsi="Arial"/>
          <w:sz w:val="18"/>
          <w:szCs w:val="18"/>
          <w:color w:val="auto"/>
        </w:rPr>
      </w:pPr>
    </w:p>
    <w:p>
      <w:pPr>
        <w:ind w:left="1920" w:right="60" w:hanging="440"/>
        <w:spacing w:after="0" w:line="277"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 of governmental regulations and maritime self-regulatory organization standards on the conduct of our business;</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be able to pay dividends during periods when we record losses and may not pay dividends during periods when we record net income. We can give no assurance that dividends will be paid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incorporated in the Republic of the Marshall Islands, which does not have a well-developed body of corporate law.</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Our growth and long term profitability depend mainly upon growth in demand for containerships, the condition of the charter market and the availability of capital. The container shipping industry is cyclical and volatile. It has recently experienced a severe cyclical downturn from mid 2008 through 2009, favorable conditions in 2010 and a further severe downturn in 2011 with over supply of capacity continuing through 2013.</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container shipping industry is cyclical, showing significant volatility in vessel values, freight rates, charter rates and financial performance. For example, containership charter rates peaked in 2005 and generally stayed strong until the middle of 2008, when the global economic crisis began to affect global container trade, driving charter rates to 10 year lows. In 2010, due to improved economic conditions and increased demand for container shipping services, containership charter rates improved significantly although they remain generally below long term averages. Since 2010, due to poor economic conditions and an excess of containership capacity, charter rates again fell in 2011 with oversupply of capacity continuing through 2013.</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131"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jc w:val="both"/>
        <w:ind w:left="1480" w:right="200" w:hanging="446"/>
        <w:spacing w:after="0" w:line="264"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131"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130" w:lineRule="exact"/>
        <w:rPr>
          <w:rFonts w:ascii="Arial" w:cs="Arial" w:eastAsia="Arial" w:hAnsi="Arial"/>
          <w:sz w:val="18"/>
          <w:szCs w:val="18"/>
          <w:color w:val="auto"/>
        </w:rPr>
      </w:pPr>
    </w:p>
    <w:p>
      <w:pPr>
        <w:ind w:left="5620" w:right="4620" w:hanging="4586"/>
        <w:spacing w:after="0" w:line="449" w:lineRule="auto"/>
        <w:tabs>
          <w:tab w:leader="none" w:pos="14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 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ability to recharter our containerships upon the expiration or termination of their current charters, which will be as early as April 2014 for two vessels,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earnings or make our earnings volatile. The same issues will exist in respect of any additional vessels we may acquire either when obtaining the initial charters or on rechartering at their expiry.</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Weak economic conditions throughout the world, particularly the Asia Pacific region and recent EU sovereign debt default fears, could have a material adverse effect on our business, financial condition and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Negative trends in the global economy emerged in 2008 and continued into 2009, and although there has been some improvement from 2010, the global economy remains fragile. The global economy is still subject to downside risks stemming from factors like fiscal fragility in advanced economies, highly accommodative macroeconomic policies and persistent difficulties in access to credit. In particular, recent concerns regarding the possibility of sovereign debt defaults by European Union member countries, including Cyprus, Greece, Ireland and Portugal, have significantly weakened the Euro zone, disrupted financial markets throughout the world, and may lead to weaker consumer demand in the European Union, the U.S., and other parts of the world. The deterioration in the global economy has caused, and may continue to cause, a decrease in worldwide demand for certain goods shipped in containerized form.</w:t>
      </w:r>
    </w:p>
    <w:p>
      <w:pPr>
        <w:spacing w:after="0" w:line="16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anticipate that a significant number of port calls made by our containerships will continue to involve the loading or unloading of container cargoes in ports in the Asia Pacific region. In recent years, China has been one of the world’s fastest growing economies in terms of gross domestic product, which has had a significant impact on shipping demand. However, if China’s growth in gross domestic product declines and other countries in the Asia Pacific region experience slowed or negative economic growth in the future, then this may exacerbate the effect of the significant downturns in the economies of the U.S. and the European Union, and thus, may negatively impact container shipping demand. For example, the possibility of sovereign debt defaults by European Union member countries, including Cyprus, Greece, Ireland and Portugal, and the possibility of market reforms to float the Chinese Renminbi, either of which development could weaken the Euro against the Chinese Renminbi, could adversely affect consumer demand in the European Union. Such weak economic conditions could have a material adverse effect on our business, results of operations and financial condition.</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Disruptions in world financial markets and the resulting governmental action in the U.S. and in other parts of the world could have a material adverse impact on our results of operations, financial condition and cash flows.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U.S. and other parts of the world, including the Euro zone, have exhibited very weak economic trends since 2008. The credit markets in the U.S. and elsewhere have experienced significant contraction, deleveraging and reduced liquidity, and the U.S. federal government and state and other governments have implemented and are also considering a broad variety of governmental action and/or new regulation of the financial markets. Securities and futures markets and the credit markets are subject to comprehensive statutes, regulations and other requirements. The U.S. SEC, other regulators, self regulatory organizations and exchanges are authorized to take extraordinary actions in the event of market emergencies, and may effect changes in law or interpretations of existing laws.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Global financial markets and economic conditions have been severely disrupted and volatile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 exceedingly distressed and volatile. The sovereign debt crisis in countries such as Cyprus and Greece, for example, and concerns over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w:t>
      </w:r>
    </w:p>
    <w:p>
      <w:pPr>
        <w:spacing w:after="0" w:line="18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cannot be certain that financing will be available on acceptable terms or at all. If 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U.S. and Europe. Any reduction in or hindrance to the output of China based exporters could have a material adverse effect on the growth rate of China’s exports and on our charterers’ business. For instance, the government of China has recently implemented economic policies aimed at increasing domestic consumption of Chinese 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Furthermore, if China was to permit the Renminbi to float to a free market rate of exchange, it is widely anticipated that the Renminbi would appreciate significantly in value against the U.S. dollar. An increase in the value of the Renminbi may negatively impact the U.S.’ demand for imported goods, many of which are shipped in containerized form.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 serves has caused and may continue to cause an increase in: (i) the cost of goods exported from China, (ii) the length of time required to deliver goods from China and (iii) the risks associated with exporting goods from China, as well as a decrease in the quantity of goods to be shipped.</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Any increased trade barriers or restrictions on trade, especially trade with China, would have an adverse impact on our charterer’s business, operating results and financial condition and could thereby affect its ability to make timely charter hire payments to us and to renew and increase the number of its time charters with us. This could have a material adverse effect on our business, results of operations and financial condition.</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incur realized and unrealized losses and impairments in connection with declining containership values and/or in connection with vessel dispositions.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Containership values can fluctuate substantially over time. Containership values have decreased significantly since late 2008 and have remained at depressed levels, generally below long term averages. A number of factors may contribute to a decrease in the market value of containerships, including:</w:t>
      </w:r>
    </w:p>
    <w:p>
      <w:pPr>
        <w:spacing w:after="0" w:line="29"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economic conditions;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or an over-supply in containership capacity including from new vessels on order;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age;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prevailing charter rates; and</w:t>
      </w:r>
    </w:p>
    <w:p>
      <w:pPr>
        <w:spacing w:after="0" w:line="130" w:lineRule="exact"/>
        <w:rPr>
          <w:rFonts w:ascii="Arial" w:cs="Arial" w:eastAsia="Arial" w:hAnsi="Arial"/>
          <w:sz w:val="18"/>
          <w:szCs w:val="18"/>
          <w:color w:val="auto"/>
        </w:rPr>
      </w:pPr>
    </w:p>
    <w:p>
      <w:pPr>
        <w:ind w:left="1480" w:right="56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charter terminates when the charter market for containerships is depressed, we may be unable to recharter the vessel at attractive rates and, rather than continue to incur costs to maintain and finance the vessel, we may seek to dispose of it. It is likely that in such circumstances asset values will also be depressed. Inability to dispose of the containership at a reasonable price could result in a loss on the vessel’s sale and adversely affect our results of operations and financial condition.</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Future fluctuations in charter rates and vessel values may trigger a possible impairment of our vessels as described in Item 5.A. “Operating and Financial Review and Prospects—Results of Operations—Management’s Discussion and Analysis of Financial Condition and Results of Operations—Critical Accounting Policies and Estimates.”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more difficulty entering into long-term charters if a more active and cheaper short-term or spot container shipping market develops.</w:t>
      </w:r>
    </w:p>
    <w:p>
      <w:pPr>
        <w:spacing w:after="0" w:line="24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long-term charters, we may have difficulty entering into such charters at profitable rates and for any term other than short term and, as a result, our cash flow may be subject to instability in the long-term. In addition, it would be more difficult to fix relatively older vessels should there be an oversupply of younger vessels on the market. A more active short-term or spot market may require us to enter into spot or short-term charters based on prevailing market rates, as opposed to long-term contracts, which could result in a decrease in our cash flow in periods when charter rates are depressed.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containership capacity may lead to reductions in charter hire rates and profitability.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size of the containership orderbook has declined over the last three years, the containership newbuilding orderbook as at December 31, 2013 represented approximately 22%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Physical life is related to the original design and construction, maintenance and the impact of the stress of operations. If new ship designs currently promoted by shipyards as being more fuel efficient perform as promoted,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stockholders.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recently increased in frequency, which could adversely affect our business.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Piracy is an inherent risk in the operation of ocean-going vessels and particularly affects vessels operating in specific regions of the world such as the South China Sea, the Gulf of Aden, the Arabian Sea, off the coast of West Africa and especially off the coast of Somalia. In recent years, the frequency of piracy incidents against commercial shipping vessels has increased significantly, particularly in the Gulf of Aden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and international hostilities could affect our results of operations and financial condition.</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Terrorist attacks, such as the attacks on the U.S. on September 11, 2001, and in Mumbai on November 26, 2008 and the continuing response of the U.S.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imposed by the U.S. government, which could have a material adverse effect on our results of operations and financial condition.</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From time to time on charterers’ instructions, our vessels may call on ports located in countries subject to sanctions and embargoes imposed by the U.S. government and in countries identified by the U.S. government as state sponsors of terrorism. In addition, as a result of actions taken by our charterers, we may be deemed to have engaged in financial transactions that are prohibited by such sanctions or embargoes. The U.S. sanctions and embargo laws and regulations vary in their application, as they do not all apply to the same covered persons or proscribe the same activities, and such sanctions and embargo laws and regulations may be amended or strengthened over time. In 2010, the U.S. enacted the Comprehensive Iran Sanctions Accountability and Divestment Act (“CISADA”), which amended the Iran Sanctions Act of 1996. Among other things, CISADA introduces limits on the ability of companies and persons to do business or trade with Iran when such activities relate to the investment, supply or export of refined petroleum or petroleum products. In 2012, President Obama signed Executive Order 13608 which prohibits U.S. persons from engaging in transactions or dealings with foreign individuals or entities that (1) have violated, attempted to violate, conspired to violate or caused a violation of any sanctions in effect against Iran or Syria, (2) facilitated any deceptive transactions for or on behalf of any person subject to U.S. sanctions concerning Iran or Syria, or (3) are owned or controlled by, or are acting on behalf of, any such person or entity subject to sanctions. The Secretary of the Treasury may prohibit any transactions or dealings, including any U.S. capital markets financing, involving any person found to be evading foreign sanctions under Executive Order 13608. Also in 2012, the U.S. enacted the Iran Threat Reduction and Syria Human Rights Act of 2012 (the “ITRA”) which expanded the range of Iran-related activities that expose third parties to sanctions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that person’s vessels from U.S. ports for up to two years. The ITRA also includes a requirement that issuers of securities must disclose to the SEC in their annual and quarterly reports filed after February 6, 2013 if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issuer or “any affiliate” has “knowingly” engaged in certain sanctioned activities involving Iran during the timeframe covered by the report. Finally, in January 2013, the U.S. enacted the Iran Freedom and Counter-Proliferation Act of 2012 (the “IFCPA”)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best of our knowledge, none of our vessels have called at ports in Iran, Syria, Sudan or Cuba since January 1, 2012, nor have we provided any services or products to Iran, Syria, Sudan and Cuba, or entered into any agreements, commercial arrangements or had any contact with the governments of, or entities controlled by the governments of, the aforementioned countries, during this time period. Additionally, to the best of our knowledge, we have not since January 1, 2012 directly provided any services or products to Iran, or entered into any agreements, commercial arrangements or had any contact with the government of, or entities controlled by the government of Iran.</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 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It may not be possible for some of our vessels to call on Turkish ports due to the Turkish embargo on Cypriot flag vessels and vessels owned by Cypriot companies.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1987 the Turkish Government introduced certain restrictive measures against Cypriot flag vessels prohibiting such vessels to call on Turkish ports. In 1997 the restrictive measures were extended and since then they apply not only against Cypriot flag vessels but also against vessels registered under a foreign flag (of any nationality) sailing to Turkish ports directly from any Cypriot port under the effective control of the Republic of Cyprus or against vessels of any flag related to the Republic of Cyprus in terms of ownership or ship management. Cypriot vessels will be allowed passage through the Turkish Straits (Bosphorus) with or without pilot but no other services or provisions will be given, including bunker supply. Currently, 16 of our 17 vessels are owned by Cypriot companies and of these 11 are Cyprus flagged. Whilst the restrictive measures remain in place, our vessels which are either Cypriot flagged or owned by a Cypriot company may not call on Turkish ports. This may restrict the use of Cypriot ports by our charterers and may have an effect on the possible operation of our vessels by them in the Eastern Mediterranean and the Black Sea.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weapons or other contraband and stowaways on our vessels may lead to governmental claims against us.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an adverse effect on our business, results of operations, cash flows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significant risks in relation to compliance with anti-corruption laws and regulations.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and the U.S. Foreign Corrupt Practices Act. Both civil and criminal penalties may be imposed on us as a result of violations of anti-corruption laws, and such penalties could have a significant impact on our reputation, business and financial condition.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Risks inherent in the operation of containerships could impair the ability of the charterer to make payments to us, increase our costs or reduce the value of our assets.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containerships and their cargoes are at risk of being damaged or lost because of events such as marine accidents, bad weather, mechanical failures, human error, war, terrorism, piracy, environmental accidents and other circumstances or events. Any of these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may adversely affect our business and operating results.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See Item 4.B. “Information on the Company—Business Overview—Inspection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regulation and liability under environmental laws that could require significant expenditures and affect our cash flows and net income.</w:t>
      </w:r>
    </w:p>
    <w:p>
      <w:pPr>
        <w:spacing w:after="0" w:line="26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shipping industry and the operation of containerships are materially affected by environmental regulation in the form of international conventions, national, state and local laws and regulations in force in the jurisdictions in which our containerships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“Information on the Company— Business Overview—Environmental and Other Regulations.”</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Increased inspection procedures, tighter import and export controls and new security regulations could increase costs and cause disruption of our containership business.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8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stockholders.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costs have not been material to date, if new or more stringent regulations relating to the ISPS Code are adopted by the IMO and the flag states, these requirements could require significant additional capital expenditures or otherwise increase the costs of our operations.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Depending on the outcome of an ongoing European Union investigation of container liner companies related to potential antitrust violations, our growth, results of operations and our ability to charter our vessels may be reduced.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European Commission is conducting investigations of certain major container liner companies, including CMA CGM, related to potential violations of European Union competition (antitrust) rules. Although we have no basis for assessing the outcome of these investigations, it is possible that additional financial and legal obligations may be imposed on one or more of these liner companies. Such obligations may make CMA CGM or similarly situated potential customers less likely to enter into or renew time charters for our containerships, which could reduce our growth opportunities and harm our business, results of operations and financial condition. In addition, any significant financial penalties arising from these or similar investigations could reduce the ability of CMA CGM or future customers to make charter payments to us, which likewise could harm our business,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shares may be volatile and may fluctuate due to factors such as:</w:t>
      </w:r>
    </w:p>
    <w:p>
      <w:pPr>
        <w:spacing w:after="0" w:line="131"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earnings and those of publicly held containership owners or operators;</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in companies operating in this industry may be equally volatile.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organizational documents that may discourage a change of control.</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131"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75"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for nominations of directors by shareholders and for shareholders to include matters to be considered at annual meetings;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There will be a substantial number of our common shares available for sale in the future that may adversely affect the market price of our Class A common shares.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Pursuant to the registration rights agreement entered into at the effective time of the Merger, Marathon’s initial stockholders and, under certain circumstances, CMA CGM can demand that we register the resale of their holdings of our common shares at any time. The registration and availability of such a significant number of securities for trading in the public market may have an adverse effect on the market price of our Class A common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is required to devote substantial time to complying with public company regulations.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will need to devote a substantial amount of time to comply with these requirements. Moreover, these rules and regulations relating to public companies will increase our legal and financial compliance costs and will make some activities more time-consuming and costly.</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a related attestation of our independent auditors. We have undertaken a comprehensive effort in preparation for compliance with Section 404, which includes the documentation, testing and review of our internal controls under the direction of our management. While we did not identify any material weaknesses or significant deficiencies in our internal controls under the current assessment, we cannot be certain at this time that all our controls will be considered effective in future assessments. Therefore, we can give no assurances that our internal control over financial reporting will satisfy regulatory requirements in the future.</w:t>
      </w:r>
    </w:p>
    <w:p>
      <w:pPr>
        <w:spacing w:after="0" w:line="167"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are a “foreign private issuer” under the NYSE rules, and as such we are entitled to exemption from certain NYSE corporate governance standards, and you may not have the same protections afforded to stockholders of companies that are subject to all of the NYSE corporate governance requirements.</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a “foreign private issuer” under the securities laws of the U.S. and the rules of the NYSE. Under the securities laws of the U.S.,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NYSE corporate governance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of our common stock to decline.</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stockholder approval, in a number of circumstances. The issuance by us of additional shares of common stock or other equity securities of equal or senior rank would have the following effects:</w:t>
      </w:r>
    </w:p>
    <w:p>
      <w:pPr>
        <w:spacing w:after="0" w:line="87" w:lineRule="exact"/>
        <w:rPr>
          <w:sz w:val="20"/>
          <w:szCs w:val="20"/>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may decrease;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stock may be lower;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may be diminished;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stockholders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stockholders may enter into with the underwriters at the time of an offering. Subject to certain exceptions, these agreements generally restrict us and our executive officers, directors and existing stockholders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income could fail to qualify for an exemption from U.S. federal income taxation, which would reduce our cash flow.</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qualify for the exemption under Section 883 if, among other things, our stock is treated as primarily and regularly traded on an established securities market in the U.S. However, under the Treasury regulations, our stock will not be treated as primarily and regularly traded on an established securities market if, during more than half the number of days during the taxable year, one or more shareholders who actually or constructively own at least 5% of our stock (“5% shareholders”), own, in the aggregate, 50% or more of our stock, unless a sufficient amount of our stock is owned by 5% shareholders that are considered to be “qualified shareholders” to preclude non-qualifying 5% shareholders from owning 50% or more of the total value of our stock held by the 5% shareholders group.</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Generally, a 5% shareholder is a qualified 5% shareholder only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information that we have as to our shareholders and other matters, we believe that we qualified for the Section 883 exemption for 2013, and expect to qualify for 2014. However, it is possible that our ownership may change such that qualified 5% shareholders will not own, in the aggregate, a sufficient amount of our stock for more than half the days during the taxable year to preclude the non-qualifying 5% shareholders from owning 50% or more of the total value of our stock held by the 5% shareholders group.</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Such an ownership change, and certain other requirements for our stock to be treated as primarily and regularly traded on an established securities market, will be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 See Item 10.E. “Additional Information—Taxation —Taxation of Global Ship Lease—The Section 883 exemption” for a more comprehensive discussion of the U.S. federal income tax rules related to Section 883.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taxed as a U.S. corporation.</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adverse U.S. federal income tax consequences could arise for U.S. holders.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Shareholders of a “passive foreign investment company,” or PFIC, that are U.S. persons within the meaning of the Code, which we refer to as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46" w:lineRule="exact"/>
        <w:rPr>
          <w:sz w:val="20"/>
          <w:szCs w:val="20"/>
          <w:color w:val="auto"/>
        </w:rPr>
      </w:pPr>
    </w:p>
    <w:p>
      <w:pPr>
        <w:ind w:right="100" w:firstLine="8"/>
        <w:spacing w:after="0" w:line="25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9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No assurance can be given that the IRS or a court of law would accept our position, and there is a risk that the IRS or a court of law could determine that the company is a PFIC.</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1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subject to taxation on all or part of our income in the United Kingdom, which could have a material adverse effect on our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or our vessel owning subsidiaries were considered to be a resident of the United Kingdom or to have a permanent establishment in the United Kingdom, all or a part of our profits could be subject to UK corporate tax, which had a maximum rate of 26% for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year ended March 31, 2012, 24% for the year ended March 31, 2013, 23% for the year ending March 31, 2014 and 21% for the year ending March 31, 2015 and 20% thereafter. We and our vessel owning subsidiaries are strategically managed and controlled from outside the United Kingdom and have restricted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do not believe that we or our vessel owning subsidiaries are residents of the United Kingdom,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will reduce our cash flow.</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and our vessel owning subsidiaries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where a number of our vessel owning subsidiaries are entered in Cyprus’ tonnage tax regime), could result in additional tax imposed on us, further reducing the cash available for distribution.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are a Republic of the Marshall Islands corporation that owns a fleet of modern containerships of a range of sizes. Our business is to charter out our fleet under long-term, fixed-rate charters to reputable container shipping companies to generate stable revenues and predictable cashflows.</w:t>
      </w:r>
    </w:p>
    <w:p>
      <w:pPr>
        <w:spacing w:after="0" w:line="1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were formed in 2007 to purchase and charter back containerships then owned or to be purchased by CMA CGM, the third largest containership operator in the world. We acquired our current fleet of 17 containerships from CMA CGM between December 2007 and August 2009. All of the vessels were time chartered to CMA CGM for initial terms between five and 17 years. Two of the initial charters expired in September 2012 and were renewed with CMA CGM as charterer for approximately eight months. The charters were further renewed from May 1, 2013 and expire as early as April 2014. On January 31, 2014, CMA CGM gave notice of re-delivery of these two vessels, reserving its right to re-deliver them in the first half of April 2014. The TEU weighted average remaining term of our charters was 6.5 years at December 31, 2013 and TEU weighted average age was 9.8 years. Our management team undertakes all management of our fleet and supervises the day-to-day technical ship management of our vessels which is currently provided by CMA Ships, a wholly owned subsidiary of CMA CGM, pursuant to ship management agreements, with an agreement to cap the reimbursement by us of expenses incurred on our behalf.</w:t>
      </w:r>
    </w:p>
    <w:p>
      <w:pPr>
        <w:spacing w:after="0" w:line="19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March 21, 2008, Global Ship Lease entered into a merger agreement pursuant to which Marathon and Global Ship Lease, then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that the holders of Class B common shares were not entitled to receive any dividends with respect to any quarter prior to the fourth quarter of 2008 and their dividend rights were subordinated to those of holders of Class A common shares until at least the third quarter of 2011. The Class B common shares remain subordinated. The Class C common shares automatically converted into Class A common shares on a one-for-one basis on January 1, 2009. The warrants to acquire Class A shares at an exercise price of $9.25 expired in September 2013. Pursuant to the Merger, CMA CGM holds approximately 45% of our outstanding common shares. See Item 7.A. “Major Shareholders and Related Party Transactions—Major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shares are listed on the NYSE under the symbol “GSL”.</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mailing address of our principal executive office is c/o Global Ship Lease Services Limited, Portland House, Stag Place, London SW1E 5RS, United Kingdom, and our telephone number is 44 (0) 20 7869 8006.</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On March 19, 2014, we completed a private placement of $420.0 million aggregate principal amount of 10.000% first priority secured notes due 2019. In connection with the private placement, on March 19, 2014, we also entered into a $40.0 million senior secured revolving credit facility. See Item 5.B. “Operating and Financial Review and Prospects—Liquidity and Capital Resources—Liquidity, working capital and dividends—Indebtedness”. We used a portion of the net proceeds of the notes to repay all outstanding borrowings under, and terminate, our previous senior secured credit facility (the “Previous Credit Facility”), to terminate our interest rate swap agreements and to pay related fees and expenses. We intend to use the remaining net proceeds of the notes for general corporate purposes. We refer to these transactions collectively as the “Transactions.”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Our fleet, as of December 31, 2013, consisted of 17 containerships with an aggregate capacity of 66,349 TEU and a TEU weighted average age of approximately 9.8 years and a non-weighted average age of 10.9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our current fleet. Each vessel is on charter to CMA CGM: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Remaining</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Earliest</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Capacity</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Lightweight</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Charter</w:t>
            </w: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Charter</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44"/>
        </w:trPr>
        <w:tc>
          <w:tcPr>
            <w:tcW w:w="47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 xml:space="preserve">Term </w:t>
            </w:r>
            <w:r>
              <w:rPr>
                <w:rFonts w:ascii="Arial" w:cs="Arial" w:eastAsia="Arial" w:hAnsi="Arial"/>
                <w:sz w:val="12"/>
                <w:szCs w:val="12"/>
                <w:b w:val="1"/>
                <w:bCs w:val="1"/>
                <w:color w:val="auto"/>
                <w:w w:val="94"/>
              </w:rPr>
              <w:t>(1)</w:t>
            </w:r>
          </w:p>
        </w:tc>
        <w:tc>
          <w:tcPr>
            <w:tcW w:w="13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Expiry</w:t>
            </w:r>
          </w:p>
        </w:tc>
        <w:tc>
          <w:tcPr>
            <w:tcW w:w="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49"/>
        </w:trPr>
        <w:tc>
          <w:tcPr>
            <w:tcW w:w="4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9"/>
              </w:rPr>
              <w:t>in TEUs</w:t>
            </w:r>
          </w:p>
        </w:tc>
        <w:tc>
          <w:tcPr>
            <w:tcW w:w="106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(tons)</w:t>
            </w:r>
          </w:p>
        </w:tc>
        <w:tc>
          <w:tcPr>
            <w:tcW w:w="7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Built</w:t>
            </w: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by GSL</w:t>
            </w:r>
          </w:p>
        </w:tc>
        <w:tc>
          <w:tcPr>
            <w:tcW w:w="9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(years)</w:t>
            </w:r>
          </w:p>
        </w:tc>
        <w:tc>
          <w:tcPr>
            <w:tcW w:w="13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Date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Ville d’Orion (2)</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4,113</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15,904</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1997</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Dec 2007</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April 1, 2014</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Ville d’Aquarius (2)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15,887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1996</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April 1, 2014</w:t>
            </w: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11,676</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1999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Sept 21,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11,676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1999</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Sept 12,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11,731</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Sept 20,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11,731</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Sept 11,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11,731</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Sept 21,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11,731</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Sept 14,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Sept 20,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11,742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2001</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Sept 7,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20,087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Jan 2008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 18, 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20,100</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2007</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Jan 2008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Oct 11, 2020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11,040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38,577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Dec 2008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Oct 1, 2025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17,272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Sept 17,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17,355</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Dec 2008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Sept 16, 2022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17,355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2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Dec 2008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Sept 19,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26,776</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Aug 2009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May 28, 2021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34,000</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472"/>
              <w:spacing w:after="0"/>
              <w:rPr>
                <w:sz w:val="20"/>
                <w:szCs w:val="20"/>
                <w:color w:val="auto"/>
              </w:rPr>
            </w:pPr>
            <w:r>
              <w:rPr>
                <w:rFonts w:ascii="Arial" w:cs="Arial" w:eastAsia="Arial" w:hAnsi="Arial"/>
                <w:sz w:val="18"/>
                <w:szCs w:val="18"/>
                <w:color w:val="auto"/>
                <w:w w:val="89"/>
              </w:rPr>
              <w:t>27</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60" w:hanging="452"/>
        <w:spacing w:after="0" w:line="258" w:lineRule="auto"/>
        <w:tabs>
          <w:tab w:leader="none" w:pos="4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As at March 31, 2014. Plus or minus 90 days at charterer’s option, except Ville d’Orion and Ville d’Aquarius, which are plus or minus 30 days at charterer’s option.</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We currently expect that one vessel will be re-delivered towards the end of April 2014 and the other towards the end of May 2014.</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January 31, 2014, CMA CGM issued notices of redelivery for Ville d’Orion and Ville d’Aquarius. These gave CMA CGM the right to redeliver the vessels as early as between April 1 and April 15, 2014, on the expiration of the current charters, but does not preclude potential charter extension. If an extension to the charters is not agreed, depending on market conditions, we may seek employment of these vessels with another charterer, lay them up or effect a sale.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Each of the vessels in our current fleet is subject to a time charter with CMA CGM based on standard industry terms. We have separate subsidiaries to own each vessel in our fleet. We guarantee the obligations of each of our subsidiaries under the charters. Each of our initial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had initial terms of five to 17 years (plus or minus 90 days at charterer’s option).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charters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initial charters for two of our vessels, Ville d’Aquarius and Ville d’Orion expired in September 2012. New charters were put in place with CMA CGM until May 23, 2013 plus or minus 22 days at the charterer’s option. Further charters were entered into with effect from May 1, 2013 until April 30, 2014 plus or minus 30 days at the charterer’s option. On January 31, 2014, CMA CGM issued notices of redelivery for Ville d’Orion and Ville d’Aquarius. This gives CMA CGM the right to redeliver the vessels between April 1 and April 15, 2014, on the expiration of the current charters, but does not preclude potential charter extension. If an extension to the charters is not agreed, depending on market conditions, we may seek employment of these vessels with another charterer, lay them up or effect a sale.</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in connection with the Transactions, we and CMA CGM have agreed to amend the terms of four existing charters that were scheduled to expire as early as September 2016 to provide for new expiry dates in December 2019, plus or minus 90 days at the charterer’s option, and new daily charter rates, effective as of February 1, 2014, of $15,300 (reduced from $18,465) (the “Charter Extensions”).</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Excluding the two vessels whose time charters expire in 2014 (representing 4% of operating revenues for the year ended December 31, 2013), the existing time charters have a TEU weighted average remaining charter term of 7.8 years, as at December 31, 2013 (after giving effect to the Charter Extensions).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daily rate” refers to the basic payment by the charterer to the owner for the use of the vessel, net of any chartering commission (if applicable). Under all of the time charters for our current fleet, hire is payable to us in advance every 15 days in U.S. dollars. The net daily rate is a fixed daily amount that will remain the same for the duration of the charter, although in certain circumstances the charter rate can increase when, for example, we incur capital expenditure to comply with regulatory requirements introduced after the charters were agreed.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owner,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and the global expense agreement with our ship manager.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vessels in the current fleet, costs incurred due to structural changes because of changes in legal, classification society or regulatory requirements regarding the vessel shall be paid by us although if the annual costs aggregate to more than $100,000 for each vessel impacted by such changes, CMA CGM will compensate us through an increase in charterhire.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charter agreements for vessels in the current fleet stipulate that CMA CGM should reimburse us for any costs of war risks insurance additional premiums and additional crew expenses, if any, that are applicable if it acts outside the insurance limits and for entering areas which are specified by the insurance underwriters as being subject to additional premiums.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the terms of the time charter, CMA CGM has a right of first refusal to purchase the vessel at matching terms to any offer of any third party if we decide to sell the vessel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a vessel to owners whose business or shareholding is determined to be detrimental or contrary to its interest.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time charter, when the vessel is not available for service, and is “off-hire,” CMA CGM generally is not required to pay charter hire (unless CMA CGM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including:</w:t>
      </w:r>
    </w:p>
    <w:p>
      <w:pPr>
        <w:spacing w:after="0" w:line="92"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1480" w:right="34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CMA CGM’s lost time;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 pursuant to the terms of the ship management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 vessel in the current fleet is off-hire for more than 90 consecutive days, then CMA CGM may cancel the charter without any further consequential claims provided the vessel is free of cargo.</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may suspend the performance of our obligations under the charter if CMA CGM defaults on its payment obligations under the charter.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the ship management agreements.</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pay CMA Ships an annual management fee of $123,000 (up to and including 2013, $114,000) per vessel.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 for costs it incurs on our behalf. However, should costs exceed certain predetermined levels, CMA CGM has agreed to compensate us for some of these reimbursements pursuant to the global expense agreement described in more detail below in “Global Expense Agreement.” Each ship management agreement provides that we have the right to audit the accounts of our ship manager to verify the costs incurred. CMA Ships has agreed to maintain our vessels so that they remain in class with valid certification. In addition, they are responsible for our current fleet’s compliance with all government and other regulations, and compliance with class certifications.</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CMA Ships is required to use its best endeavors to provide the services specified in the ship management agreements. Pursuant to the terms of the ship management agreements, we indemnify CMA Ships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CMA Ships, its employees, agents and sub-contractors.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CMA Ships is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The ship management agreements may be terminated by either party on two months written notice.</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ship management agreements are cancelable by us if CMA Ships fails to meet its obligations for any reason within its control and fails to remedy the default.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CMA Ships can terminate the agreement prior to the end of its term if, among other things: (a) it has not been paid within 30 days of a written request for payment (and we fail to remedy such default) or (b) we undergo a change in control.</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Under our ship management agreements with CMA Ships, we have agreed to reimburse CMA Ships for ship operating expenses incurred by it on our behalf in the operation of our vessels. Pursuant to the global expense agreement that we entered into with CMA Ships and CMA CGM, this reimbursement was subject to a quarterly cap, fixed for the first three years that the relevant vessel was managed by CMA Ships. Since all of our vessels have been managed by CMA Ships for at least three years, the fixed cap arrangements have lapsed in accordance with the terms of the global expense agreement.</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After the first three years, CMA CGM has agreed to compensate us, for any vessel in our fleet which remains on its initial charter, by the amount (not to exceed $500 per day per vessel) by which actual operating costs per day (excluding any exceptional repair costs, drydock costs and insurance premiums) are greater than $500 over a specified amount, which specified amount is reset annually at an agreed and inflating amount as set out in the global expense agreement, provided more than 50% of such increase is attributable to crew and lubricating oil costs. This arrangement is designed to provide some protection from unexpected and significant increases in operating costs, particularly for crew and lubricating oil costs, which are driven mainly by global markets over which we have no control.</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Once our ship management agreements and the global expense agreement with our ship manager expire or are terminated, we may not be able to negotiate similar terms in replacement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76" w:lineRule="exact"/>
        <w:rPr>
          <w:sz w:val="20"/>
          <w:szCs w:val="20"/>
          <w:color w:val="auto"/>
        </w:rPr>
      </w:pPr>
    </w:p>
    <w:p>
      <w:pPr>
        <w:ind w:left="1480" w:right="4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where applicable for special equipment classed.</w:t>
      </w:r>
    </w:p>
    <w:p>
      <w:pPr>
        <w:spacing w:after="0" w:line="75" w:lineRule="exact"/>
        <w:rPr>
          <w:rFonts w:ascii="Arial" w:cs="Arial" w:eastAsia="Arial" w:hAnsi="Arial"/>
          <w:sz w:val="18"/>
          <w:szCs w:val="18"/>
          <w:color w:val="auto"/>
        </w:rPr>
      </w:pPr>
    </w:p>
    <w:p>
      <w:pPr>
        <w:ind w:left="1480" w:right="20" w:hanging="446"/>
        <w:spacing w:after="0" w:line="290"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Intermediate Surveys</w:t>
      </w:r>
      <w:r>
        <w:rPr>
          <w:rFonts w:ascii="Arial" w:cs="Arial" w:eastAsia="Arial" w:hAnsi="Arial"/>
          <w:sz w:val="16"/>
          <w:szCs w:val="16"/>
          <w:color w:val="auto"/>
        </w:rPr>
        <w:t>. Also referred to as extended annual surveys, intermediate surveys are typically conducted two and one-half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us.</w:t>
      </w:r>
    </w:p>
    <w:p>
      <w:pPr>
        <w:spacing w:after="0" w:line="71" w:lineRule="exact"/>
        <w:rPr>
          <w:rFonts w:ascii="Arial" w:cs="Arial" w:eastAsia="Arial" w:hAnsi="Arial"/>
          <w:sz w:val="16"/>
          <w:szCs w:val="16"/>
          <w:color w:val="auto"/>
        </w:rPr>
      </w:pPr>
    </w:p>
    <w:p>
      <w:pPr>
        <w:ind w:left="1480" w:hanging="446"/>
        <w:spacing w:after="0" w:line="269" w:lineRule="auto"/>
        <w:tabs>
          <w:tab w:leader="none" w:pos="14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Class Renewal Surveys</w:t>
      </w:r>
      <w:r>
        <w:rPr>
          <w:rFonts w:ascii="Arial" w:cs="Arial" w:eastAsia="Arial" w:hAnsi="Arial"/>
          <w:sz w:val="17"/>
          <w:szCs w:val="17"/>
          <w:color w:val="auto"/>
        </w:rPr>
        <w:t>. Class renewal surveys, also known as special surveys, are carried out typically every five years on the ship’s hull,</w:t>
      </w:r>
      <w:r>
        <w:rPr>
          <w:rFonts w:ascii="Arial" w:cs="Arial" w:eastAsia="Arial" w:hAnsi="Arial"/>
          <w:sz w:val="17"/>
          <w:szCs w:val="17"/>
          <w:i w:val="1"/>
          <w:iCs w:val="1"/>
          <w:color w:val="auto"/>
        </w:rPr>
        <w:t xml:space="preserve"> </w:t>
      </w:r>
      <w:r>
        <w:rPr>
          <w:rFonts w:ascii="Arial" w:cs="Arial" w:eastAsia="Arial" w:hAnsi="Arial"/>
          <w:sz w:val="17"/>
          <w:szCs w:val="17"/>
          <w:color w:val="auto"/>
        </w:rPr>
        <w:t>machinery, including the electrical plant, and any special equipment classed, at the intervals indicated by the character of classification for the hull. Vessels are required to be inspected in a drydock as part of the special survey. However, with the classification society’s approval, the vessel can be subject to an underwater inspection, in lieu of a drydocking.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or underwater inspection is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condition for obtaining insurance coverage, each of our vessels needs to be certified “in class” by a member of the IACS. Generally, if recommendations are not sufficiently corrected as determined by a member of the IACS, then the vessel may not remain “in class.” If a vessel is not “in class,” it may not be covered by insurance, and may not be available for charter.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shows the classification societies for our vessels and lists the month by which they need to have completed their next drydocking, taking into account the two drydockings completed in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7"/>
              </w:rPr>
              <w:t>Vessel Name</w:t>
            </w:r>
          </w:p>
        </w:tc>
        <w:tc>
          <w:tcPr>
            <w:tcW w:w="4580" w:type="dxa"/>
            <w:vAlign w:val="bottom"/>
            <w:vMerge w:val="restart"/>
          </w:tcPr>
          <w:p>
            <w:pPr>
              <w:spacing w:after="0"/>
              <w:rPr>
                <w:sz w:val="14"/>
                <w:szCs w:val="14"/>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Classification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Drydocking Month</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458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Society</w:t>
            </w:r>
          </w:p>
        </w:tc>
        <w:tc>
          <w:tcPr>
            <w:tcW w:w="34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Bureau Veritas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2014</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2018</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2017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 Delmas</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Manet</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2016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Kumasi</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March 2017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r>
              <w:rPr>
                <w:rFonts w:ascii="Arial" w:cs="Arial" w:eastAsia="Arial" w:hAnsi="Arial"/>
                <w:sz w:val="15"/>
                <w:szCs w:val="15"/>
                <w:color w:val="auto"/>
              </w:rPr>
              <w:t>(2)</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Germanischer Lloyd</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September 2016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Lloyd’s Register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Lloyd’s Register</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September 2016</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Bureau Veritas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month of drydocking assume that the vessels qualify for in-water inspections at the intermediate survey.</w:t>
      </w:r>
    </w:p>
    <w:p>
      <w:pPr>
        <w:spacing w:after="0" w:line="23"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CMA CGM Thalassa underwent its first special survey in November 2013 whilst afloat including an underwater inspection in lieu of a drydocking. As a result, the next required inspection in a drydock has been postponed from December 2013 until November 2016 at the latest. The vessel may be drydocked earlier for operational reasons.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including CMA CGM and its subsidiaries, to, among other things, purchase newbuildings and secondhand vessels to grow our fleet.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substantial competition in obtaining new containership charters from a number of experienced and substantial companies. Many of these competitors may have greater financial resources than us, and may also operate larger fleets and may be able to offer better charter rates. Due to the recent industry downturn, there have been an increased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 For example, the Delmas Keta, Julie Delmas, Kumasi and Marie Delmas have not been certified to comply with all U.S., Canadian and Panama Canal regulations, as CMA CGM does not intend to operate them in these waters.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ballast water management and security. Compliance with these laws, regulations and other requirements entails significant expense, including vessel modifications and implementation of certain operating procedures, and are subject to frequent change.</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 variety of governmental and private entities subject our vessels to both scheduled and unscheduled inspections. These entities include the local port authorities, U.S.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ectPr>
          <w:pgSz w:w="11900" w:h="16838" w:orient="portrait"/>
          <w:cols w:equalWidth="0" w:num="1">
            <w:col w:w="11400"/>
          </w:cols>
          <w:pgMar w:left="240" w:top="459" w:right="25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459" w:right="2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Increasing environmental concerns have created a demand for vessels that conform to the stricter environmental standards. We will be required to maintain operating standards for all of our vessels that emphasize operational safety, quality maintenance, continuous training of our officers and crews and compliance with U.S.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effect on our financial condition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vessels are subject to standards imposed by the International Maritime Organization, or IMO, the United Nations agency for maritime safety and the prevention of pollution by ships. The IMO has negotiated various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8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the creation of Emission Control Areas, or ECAs. Already established ECAs include the Baltic Sea, the North Sea, including the English Channel, the North American area and the U.S. Caribbean Sea area. Additional geographical areas may be designated as ECAs in the future. Annex VI calls for incremental reductions in sulphur in fuel between 2012 and 2020 (or 2015 in the case of ECAs), with the global sulphur cap reduced initially to 3.50% (from 4.50%), effective from January 1, 2012; then progressively to 0.50%, effective from January 1, 2020, subject to a feasibility review to be completed no later than 2018. Annex VI also calls for the use of advanced technology engines designed to reduce emissions of nitrogen oxide, with a “Tier II” emission limit for engines installed on or after January 1, 2011 and a more stringent “Tier III” emission limit for engines installed on or after 2016 operating in nitrogen oxide ECAs.</w:t>
      </w:r>
    </w:p>
    <w:p>
      <w:pPr>
        <w:spacing w:after="0" w:line="19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have registered the vessels in our fleet in flag states that have ratified Annex VI, which require that we obtain International Air Pollution Prevention Certificates, or IAPP Certificates, for the vessels in our fleet, from those flag states. As of December 31, 2013, all of the vessels in our fleet had IAPP Certificates.</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New regulations aimed at improving the energy efficiency of international shipping entered into force on January 1, 2013, following amendments to the International Convention for the Prevention of Pollution from Ships (MARPOL) which were adopted in July 2011. These amendments add new Chapter 4 Regulations on energy efficiency for ships to MARPOL Annex VI, to make mandatory an Energy Efficiency Design Index (EEDI), for new ships built after January 1, 2013 and a Ship Energy Efficiency Management Plan (SEEMP) for all ships. Ships in service need to submit a SEEMP and obtain certification of compliance from their classification society by the first annual survey after January 1, 2013.</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EEDI is a non-prescriptive, performance-based mechanism that leaves the choice of technologies to use in a specific ship design to the industry. As long as the required energy-efficiency level is attained, ship designers and builders would be free to use the most cost-efficient solutions for the ship to comply with the regulations.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SEEMP establishes a mechanism for operators to improve the energy efficiency of ships. Owners are required to prepare and vessels are required to keep on board, a ship specific SEEMP. As at December 31, 2013 all of our vessels had prepared and submitted a SEEMP. Fifteen of our vessels had been issued with an International Energy Efficiency Certificate by class and the remaining two vessels are expected to be surveyed and certified within the statutory deadline.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 the provision of the ISM Code and corrective action; procedures to prepare guidelines and respond to emergency situation; and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at December 31, 2013,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2004, the IMO adopted an International Convention for the Control and Management of Ships’ Ballast Water and Sediments, or BWM Convention. The BWM Convention’s implementing regulations call for the installation of ballast water treatment systems on newbuilding vessels for which the keel is laid after January 1, 2012 and for existing vessels prior to their first intermediate or renewal survey after January 1, 2016. However, a 2013 IMO Resolution, provides that for ships constructed before the BWM Convention enters into force, compliance with the ballast water performance standard will not be required until their first renewal survey after entry into force. The BWM Convention will not enter into force, on a retroactive basis, until 12 months after it has been adopted by 30 IMO Member States, the combined merchant fleets of which represent not less than 35% of the gross tonnage of the world’s merchant shipping. The BWM Convention has been ratified by 38 states but those states constitute only 30.38% of gross tonnage and therefore the Convention has not yet come into force. See “—Ballast Water Management,” below, for a discussion of possible impacts of increased ballast water management regulation.</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at December 31, 2013 each of our vessels was in possession of a Statement of Compliance issued by the Classification Society.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Labor Organisation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Maritime Labour Convention, 2006 (MLC 2006) came into force on August 20, 2013 following ratification by 30 nations representing 33% of the world’s shipping gross tonnage. MLC 2006 establishes minimum requirements for seafarer’s employment conditions such as hours of work and rest, training/certification, health protection, medical care/certification, welfare and social security protection, as well as, for new ships, accommodation and recreational facilities. Each ship is required to obtain proof of compliance in the form of a Maritime Labour Certificate from the flag state and by preparing a Declaration of Maritime Labour Compliance, which should minimize compliance inspections. We expect that the conditions of seafarers on board our vessels will be compliant.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Oil Pollution Act of 1990</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U.S., including its territories and possessions, or whose vessels operate in U.S. waters, which includes the U.S.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7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71"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 2009 the U.S. Coast Guard (the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8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OPA requires owners and operators of vessels to obtain a certificate of financial responsibility by establishing and maintaining with the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U.S. against liabilities located anywhere in the world, that exceeds the applicable amount of financial responsibility. For our vessels that are likely to enter U.S. waters, we intend to comply with the U.S. Coast Guard regulations by providing a certificate of responsibility from third party entities that are acceptable to the U.S. Coast Guard evidencing sufficient insurance.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Title VII of the Coast Guard and Maritime Transportation Act of 2004, or CGMTA, amended OPA to require the U.S. Coast Guard to issue regulations to require the owner or operator of any non-tank vessel of 400 gross tons or more that carries oil of any kind as a fuel for main propulsion, to prepare and submit a response plan for each vessel. The U.S. Coast Guard issued a Nontank Vessel Response Plan Final Rule on September, 30, 2013 effective October 30, 2013 and implemented on January 30, 2014 under which vessel owners or operators must submit a new oil spill Vessel Response Plan to meet the new requirements of Title 33, Code of Federal Regulations (Part 155, subpart J) to replace the present Vessel Response Plans given changes in the regulations.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were extended to non-tank vessels. GIUE are paid for by the ship owner. We comply with the requirements of the CGMTA and OPA. Our vessels that call at U.S. ports have appropriate vessel response plans filed with the U.S. Coast Guard and copies are available onboard.</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U.S. ports through ballast water taken on by ships in foreign ports. Under NISA, the Coast Guard required mandatory ballast water management practices for all vessels equipped with ballast water tanks bound for U.S. ports or entering U.S.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US Coast Guard Final Rule, Standard for Living Organisms in Ships’ Ballast Water Discharged in US Waters (superseding the previous) came into effect on June 21, 2012 and sets out allowable organism concentrations consistent with the IMO BWM Convention. The Final Rule also set outs general non-indigenous species reduction practices including hull, tank and pipe cleaning. The Final Rule introduces a requirement for a Ballast Water Management System (BWMS) for vessels with a ballast water capacity between 1500 and 5000 cubic meters by the first scheduled drydocking after January 1, 2014 and for those with smaller or larger capacity by the first such drydocking after January 1, 2016. All of our vessels have ballast water capacities in excess of 5,000 cubic meters. Before then as alternatives, ballast water may be exchanged 200 nautical miles from any shore or an Alternative Management System may be installed that is approved by a foreign administration under the BWM Convention, meets a minimum effective determination by the Coast Guard and receives full approval within five years of the compliance date for the vessel. The BWMS must meet stringent maximum allowable organism concentrations depending on their size and hazard to health, as well as other design criteria. BWM records must be retained on board for two years and information notified at least 24 hours prior to arrival. The Coast Guard has recently by Policy letter advised it will consider individual requests for extensions in case of real difficulty in implementing BWM discharge standards due to availability of appropriate BWMS, though it has also issued an updated list of approved BWMS.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Clean Water Act, or CWA, prohibits the discharge of oil or hazardous substances in U.S. navigable waters without a permit and imposes strict liability in the form of penalties for any unauthorized discharges. Current Environmental Protection Agency, or EPA, regulations exempt ships in U.S. navigable waters from the requirement to obtain CWA permits for discharges of ballast water and other substances incidental to the normal operation of vessels. However, a U.S. District Court ruled in 2006 that EPA lacks the authority to exclude discharges of vessel ballast water from permitting requirements under the CWA, invalidating the blanket exemption in EPA regulations for all discharges incidental to the normal operation of a vessel as at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 The new 2013 VGP replaced the 2008 VGP on</w:t>
      </w:r>
    </w:p>
    <w:p>
      <w:pPr>
        <w:spacing w:after="0" w:line="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19 December 2013 and provides for more stringent numerical ballast water discharge limits for most vessels, more stringent effluent limits for oil to sea interfaces and for exhaust gas scrubber wash water and an annual report in place of the current one-time report.</w:t>
      </w:r>
    </w:p>
    <w:p>
      <w:pPr>
        <w:spacing w:after="0" w:line="18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There remains a patchwork of partly inconsistent ballast water management and hull cleaning regulations across the various U.S. states, some containing requirements more stringent than IMO, such as California, which requires vessels exceeding 300 gross tons operating in its waters to perform, record and report regular hull cleaning and limits the number of living organisms of different categories that may be discharged.</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Changes in ballast water management rules and regulations, either in the U.S. or internationally (See “—International Maritime Organization” above), could increase the cost of compliance for ocean carriers, including requiring installation of equipment of ballast water treatment systems on vessels at substantial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In December 2009, the EPA issued more stringent emission standards for new Category 3 marine engines. The standards are consistent with the amendments to Annex VI of MARPOL discussed above. Certain emission standards took effect early as 2011. We may incur costs to install equipment in these vessels to comply.</w:t>
      </w:r>
    </w:p>
    <w:p>
      <w:pPr>
        <w:spacing w:after="0" w:line="178"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nautical miles of the California coast and require operators to use low sulphur fuels. The Office of Administrative Law approved the rulemaking and filed it with the Secretary of State on May 29, 2009. The regulation became effective on June 28, 2009. The implementation date for the second phase of the program, which further reduced permissible levels of sulphur in fuel was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Fleet operators were required to submit or update their plans and reduction of at berth emissions by half on average has been required since January 1, 2014. These requirements may increase operating costs while in California ports.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waters of the European Union, or the EU, our vessels are subject to regulation EU-level Directives implemented by the various nations through laws and regulations of these requirements and EU Regulations that have direct effect in EU member states. These laws and regulations prescribe measures to prevent pollution, protect the environment, and support maritime safety and set out criminal penalties which are being progressively incorporated into domestic legislation.</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Port State Control, for instance, the EU has adopted directives (1999/35/EC &amp; 2009/16/EC)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73"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EU Directive 2009/16/EC introduced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vessels are also required to be inspected by an appropriate classification society. Classification societies typically establish and maintain standards for the construction and classification of vessels, supervise that construction is according to these standards, and carry out regular surveys of ships in service to ensure compliance with the standards as well as flag state regulations.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EU’s directive on the sulphur content of fuels restricts the maximum sulphur content of marine fuels used in vessels operating in EU member states’ territorial seas, exclusive economic zones and pollution control zones. The directive provides for more stringent rules on maximum sulphur content of marine fuels applicable in specific Sulphur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sulphur fuel content limits in the marine fuel our vessels use in order to avoid delays or other obstructions to their operations, as well as for any enforcement measures which may be imposed by the relevant member states for non-compliance with the provisions of the directive. We also may need to make other expenditures (such as expenditures related to treating exhaust gases) to comply with relevant limitations on sulphur oxide emissions levels. Another more recent, directive of the European Parliament and the European Council has entered into force, which amends the previous directive to bring the above requirements in line with Annex VI of MARPOL. It also makes certain of these requirements more stringent. These and other related requirements may require additional capital expenditures and increase our operating costs.</w:t>
      </w:r>
    </w:p>
    <w:p>
      <w:pPr>
        <w:spacing w:after="0" w:line="16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Another EU directive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w:t>
      </w:r>
    </w:p>
    <w:p>
      <w:pPr>
        <w:spacing w:after="0" w:line="18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254" w:lineRule="auto"/>
        <w:rPr>
          <w:sz w:val="20"/>
          <w:szCs w:val="20"/>
          <w:color w:val="auto"/>
        </w:rPr>
      </w:pPr>
      <w:r>
        <w:rPr>
          <w:rFonts w:ascii="Arial" w:cs="Arial" w:eastAsia="Arial" w:hAnsi="Arial"/>
          <w:sz w:val="18"/>
          <w:szCs w:val="18"/>
          <w:color w:val="auto"/>
        </w:rPr>
        <w:t>The EU is currently considering other proposals to further regulate vessel operations. The EU has adopted an Integrated Maritime Policy for the purposes of achieving a more coherent approach to maritime issues. The EU Commission’s proposals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w:t>
      </w:r>
    </w:p>
    <w:p>
      <w:pPr>
        <w:spacing w:after="0" w:line="19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regulations would incorporate elements of the Hong Kong International Convention on the Safe and Environmentally Sound Recycling of Ships, appropriate for the global approach to ship dismantling and elements of the Basel Convention to the in situ treatment of materials from dismantling. On November 15, 2013 an EU Regulation on Ship Recycling was adopted requiring vessels to carry an inventory of hazardous materials within seven years for existing ships. Further regulations are expected to promote the use of shore-side electricity by ships at berth in EU ports to reduce air emissions, and other options for EU legislation to reduce greenhouse gas emissions from maritime transport.</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 in Europe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From October 1, 2012, a voluntary ballast water management regime has been operating in the Mediterranean Sea, NE Atlantic &amp; Baltic, and in-between. The regime, which effectively urges ships to undertake ballast water exchange before entering those areas, is to remain in place until the BWM Convention comes into 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environmental protection regimes in other relatively high-income countries, such as Canada, resemble those of the U.S..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Greenhouse Gas Legislation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may have to contribute to the Green Climate Fund agreed at the latter as it has been recognized by the UN and G20 that shipping is a potential major source of funds. The G20 has suggested a contribution as high as US$25 billion per year.</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U.S.,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July 2011, parties to MARPOL Annex VI adopted mandatory measures to reduce emissions of greenhouse gases from international shipping. The amendments will make the Energy Efficiency Design Index (EEDI) mandatory for new ships and the Ship Energy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Efficiency Management Plan (SEEMP) mandatory for all ships. The EEDI details required energy efficiency levels and the SEEMP details a mechanism for improving efficiency. The regulations became effective from January 1, 2013 and, with any other climate control legislation or other regulatory initiatives by the IMO, European Union, or individual countries where we operate that restrict emissions of greenhouse gases from vessels, could require us to incur additional compliance costs and make significant financial expenditures we cannot predict with certainty at this time.</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With regard to greenhouse gas emissions, there have been discussions in the IMO for the adoption of a market-based mechanism for the reduction of carbon emissions from vessels, such as an emissions trading system or an international greenhouse gas contribution fund, with contributions being based on bunker fuel purchases.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U.S. Coast Guard in July 2003 issued regulations requiring the implementation of certain security requirements aboard vessels operating in waters subject to the jurisdiction of the U.S..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70"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U.S. Coast Guard regulations are intended to align with international maritime security standards and they exempt non-U.S. vessels from MTSA vessel security measures provided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Laws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U.S. Foreign Corrupt Practices Act (the “FCPA”), the UK Bribery Act 2010 (the “Bribery Act”), and the anti-corruption laws of any jurisdiction applicable to us.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FCPA, passed in 1977, prohibits providing, offering, promising, or authorizing the offer, promise or payment, directly or indirectly, anything of value to government officials, political parties, or political candidates for the purposes of obtaining or retaining business. The Bribery Act 2010, which came into force in July 2011, created four main offenses of (i) making bribes, (ii) receiving bribes, (iii) bribing foreign public officials, and (iv) failing as a commercial organization to prevent bribery when an ‘associated person’ bribes another on its behalf absent adequate procedures to prevent. The Bribery Act extends beyond bribery of government officials and applies to both offenses committed in the United Kingdom and overseas where the offense is committed by a person with a close connection to the United Kingdom, and fines are potentially unlimited. In addition, the U.K. Serious Fraud Office has identified the shipping industry as one of the most high risk industries likely to be affected by the Bribery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U.S., has made liability insurance more expensive for ship owners and operators trading in the U.S. market.</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As required by the terms of our revolving credit facility and the notes, we will assign these insurance policies to our lenders under the revolving credit facility and the holders of the notes and will be subject to restrictions on our use of any proceeds there from.</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not obtained loss-of-hire insurance covering the loss of revenue during extended off-hire periods. We will evaluate the need for such coverage on an ongoing basis, taking into account insurance market conditions and the employment of our vessels.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We intend to remain a member of a P&amp;I Association that is a member of the International Group, and as such, we will be subject to calls payable to the other P&amp;I Associations based on the International Group’s claim records as well as the claim records of all other members of the individual P&amp;I Associations.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Property, Plants and Equipment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only material properties are the vessels in our fleet, which are described in Item 4.B. “Information on the Company—Business Overview”. We do not own any real property.</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Part I.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currently own 17 vessels with a total capacity of 66,349 TEU with an average age, weighted by TEU capacity, at December 31, 2013 of 9.8 years. All of the vessels are fixed on charters, mainly long term, to CMA CGM with an average remaining term of 5.2 years, or 6.5 years on a weighted by capacity basis.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acquired 10 secondhand vessels in December 2007, two newly built vessels in January 2008, three secondhand vessels and one newly built vessel in December 2008 and a further second-hand vessel in August 2009 from CMA CGM. All 17 vessels are chartered to CMA CGM under fixed-rate time charters, with staggered expirations, for initial terms that ranged from five years to 17 years. Two of the initial charters have expired and on expiry new charters were entered into with the earliest expiration date being May 1, 2013. Those charters were further renewed from May 1, 2013 and expire as early as April 2014. On January 31, 2014, CMA CGM has reserved its right to re-deliver these two vessels in the first half of April 2014. Each initial charter commenced on the delivery of the relevant vessel to us.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ship management agreements with CMA Ships for the day-to-day technical management of our current fleet of vessels. See Item 4.B.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the Company—Business Overview—Ship Management Agreements” for a more detailed description of our ship management agreements.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are largely driven by the following factors:</w:t>
      </w:r>
    </w:p>
    <w:p>
      <w:pPr>
        <w:spacing w:after="0" w:line="131"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under which we will recharter our vessels once the existing time charters have expired, including the two vessels whose existing charters expire as early as April 2014;</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130" w:lineRule="exact"/>
        <w:rPr>
          <w:rFonts w:ascii="Arial" w:cs="Arial" w:eastAsia="Arial" w:hAnsi="Arial"/>
          <w:sz w:val="18"/>
          <w:szCs w:val="18"/>
          <w:color w:val="auto"/>
        </w:rPr>
      </w:pPr>
    </w:p>
    <w:p>
      <w:pPr>
        <w:ind w:left="1480" w:right="180" w:hanging="446"/>
        <w:spacing w:after="0" w:line="264"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market value of our interest rate derivatives;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 to, and the pricing and other terms of, our revolving credit facility.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entered into mainly long-term fixed rate time charters for all of our vessels. We expect that our base revenue will be largely fixed until (a) any of our charters expire or otherwise terminate when we will need to seek a renewal or recharter, at possibly a significantly different rate depending on market conditions at the time, or (b) we acquire additional vessels. Our shortest time charter agreements expire as early as April 2014 on two vessels. We have received redelivery notice for these vessels. The charter rate that we would be able to achieve on renewal will be affected by market conditions at that time. As discussed further below, operational matters such as off-hire days for planned maintenance or for unexpected accidents and incidents affect the actual amount of revenues we receive.</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CMA CGM is currently our only customer and charter payments from CMA CGM are our sole source of operating cash flow. At any given time in the future, the cash resources of CMA CGM may be diminished or exhausted, and we cannot assure you that CMA CGM will be able to make charter payments to us. The container shipping industry suffered a cyclical downturn in 2011 and many container shipping companies reported substantial losses. Financial performance of container shipping companies improved in 2012 however, the industry remains under pressure due to oversupply of container ship capacity. CMA CGM announced on February 12, 2013 that it had finalized its financial restructuring launched in 2012 including a new covenant package taking into account the container shipping industry’s volatility. We were not involved in these discussions. Further, we have experienced continued and, from time to time, increased delays in receiving charterhire payments from CMA CGM, where, in the year ended December 31, 2013, between one and three installments have been outstanding at any one time, which under the charter contracts are due to be paid every 15 days in advance. As at December 31, 2013, one period of charterhire was outstanding, amounting to $6.1 million. If CMA CGM is unable to make charter payments to us, our results of operations and financial condition will be materially adversely affected. If our existing charters with CMA CGM were terminated and we were required to recharter at lower rates or if we were unable to find new charters due to market conditions, our results of operations and financial condition would be materially adversely affected.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March 19, 2014, we completed a private placement of $420.0 million aggregate principal amount of 10.000% first priority secured notes due 2019. In connection with the private placement, on March 19, 2014, we also entered into a $40.0 million senior secured revolving credit facility. See “—Liquidity and Capital Resources—Liquidity, working capital and dividends—Indebtedness”. We used a portion of the net proceeds of the notes to repay all outstanding borrowings under, and terminate, our Previous Credit Facility, to terminate our interest rate swap agreements and to pay related fees and expenses. We intend to use the remaining net proceeds of the notes for general corporate purposes.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which expired in September 2013. CMA CGM received consideration consisting of 6,778,650 Class A common shares, 3,934,050 Class B common shares, 12,375,000 Class C common shares (which converted into Class A common shares in accordance with their terms on January 1, 2009), 1,000 Series A preferred shares with $48,000,000 of aggregate liquidation preference, warrants to acquire 3,131,900 Class A common shares at an exercise price of $9.25 which expired in September 2013, and $18,570,135 in cash.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a further description of our material accounting policies, please see note 3 to the consolidated financial statements included at Item 18.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and similar transactions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Vessels represent our most significant tangible assets. Up to the date of the Merger, vessels were recorded in the financial statements at their purchase price, less an amount allocated to a drydock component and less accumulated depreciation. Vessels owned at the date of the Merger were subsequently recorded at their fair value at the date of the Merger, less a proportion of the negative goodwill arising at the time of the Merger allocated to these vessels and less accumulated depreciation. Vessels purchased subsequent to the Merger are stated at purchase price, which consists of the contract price and any material expenses incurred upon acquisition (initial repairs, improvements and delivery expenses, interest and on-site supervision costs incurred during the construction periods and drydock component, where relevant). Expenditures for conversions and major improvements are also capitalized when they appreciably extend the life, increase the earning capacity or improve the efficiency or safety of the vessels.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Costs directly associated with the required regulatory inspection of each vessel, its hull and its machinery and for the defouling and repainting of the hull (typically referred to as “drydocking”) are capitalized as they are incurred and are depreciated on a straight line basis over the period between drydocks, which is typically five years. Upon initial purchase, an element of the cost of a vessel is allocated to a drydock component which is amortized on a straight line basis to the anticipated next drydocking date. We depreciate our vessels based on a straight line basis over the expected useful life of each vessel, which is 30 years from the date of their initial delivery from the shipyard, which we believe is within industry standards and represents the most reasonable useful life for each of our vessels. Depreciation is based on the cost (or fair value, where relevant) of the vessel less its estimated residual value. The drydock component is amortized on a straight line basis to the anticipated next drydocking date.</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Borrowing costs incurred during the construction of vessels or as part of the prefinancing of the acquisition of vessels are capitalized. Other borrowing costs are expensed as incurred.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first delivery from the shipyard.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Prepayments and costs directly related to the future acquisition of vessels are presented in the consolidated balance sheet as vessel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Drydocking</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14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Two drydockings were completed in 2013 for a total cost of $2.1 million, excluding offhire. There were six dry dockings in 2012 for a total cost of $7.1 million, six in 2011 for a total cost of $7.9 million and none in 2010.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accordance with ASC Topic 360, “Accounting for the Impairment or Disposal of Long-Lived Assets” our long-lived assets are regularly reviewed for impairment. We perform the impairment test at the individual vessel level pursuant to paragraph 10 of ASC Topic 360 when events or changes in circumstances indicate that their carrying amounts may not be recoverable.</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Fixed assets such as vessels are reviewed individually for impairment.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net present value of future cash flows discounted by an appropriate discount rate.</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decline in charter free vessel values due to poor industry conditions was seen as an indicator of potential impairment of the carrying value of our vessels. Accordingly, an impairment test, based on expected undiscounted cash flows by vessel, was performed as at December 31, 2011. Tests of impairment were also undertaken at September 30, 2011. No impairment was identified.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agreement of new charters which came into effect in September 2012 of two of our vessels at rates substantially below the previous rates was seen as an indicator of potential impairment of their carrying value. Accordingly, an impairment test, based on expected undiscounted cash flows by vessel, was performed for these two vessels as at September 30, 2012. No impairment was identified.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continuing poor industry conditions, a further impairment test on a vessel by vessel basis was performed as at December 31, 2012. No impairment was identified.</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charters of the two vessels noted above expired with effect from April 30, 2013 and further new charters were entered into, again at rates below the previous rates. Accordingly, a further impairment test was performed for these two vessels as at March 31, 2013. No impairment was identified.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continuing poor industry conditions, a further impairment test on a vessel by vessel basis was performed as at December 31, 2013. No impairment was identified.</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assumptions used involve a considerable degree of estimation on the part of our management.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w:t>
      </w:r>
    </w:p>
    <w:p>
      <w:pPr>
        <w:spacing w:after="0" w:line="87" w:lineRule="exact"/>
        <w:rPr>
          <w:sz w:val="20"/>
          <w:szCs w:val="20"/>
          <w:color w:val="auto"/>
        </w:rPr>
      </w:pPr>
    </w:p>
    <w:p>
      <w:pPr>
        <w:ind w:left="1480" w:right="12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charter rates on expiry of existing charters, which are based on a reversion to the historical mean for each category of vessel, adjusted to reflect current and expected market conditions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off-hire days, which are based on actual off-hire statistics for our fleet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costs, based on current levels escalated over time based on long term trends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dry docking frequency, duration and cost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estimated useful life which is assessed as a total of 30 years from first delivery from the shipyard.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an indication of impairment, the results of a recoverability test would also be sensitive to the discount rate applied.</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Whenever the sum of the undiscounted future cash flows for each vessel less operating expenses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Based on the assumptions made, the expected undiscounted future cash flows exceeded each of the vessel’s carrying amounts at each of the test dates disclosed above and accordingly no impairment has been recognized.</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we currently intend to continue to hold and operate our vessels, the following table presents information with respect to the carrying value of our vessels and indicates whether their estimated market values based on the charter attached valuations prepared by Howe Robinson Marine Evaluations Limited are below their carrying values as at December 31, 2013. The carrying value of each of the vessels does not necessarily represent its fair market value or the amount that could be obtained if the vessel were sold. We would not record an impairment for any of the vessels for which the market value based on charter attached valuations is below its carrying value unless and until we either determine to sell the vessel for a loss or determine that the vessel’s carrying amount is not recoverable. We believe that the undiscounted cash flows over the estimated remaining useful lives for those vessels that show estimated market values below their carrying values, exceed such vessels’ carrying values as at December 31, 2013, and accordingly have not recorded an impairment charge.</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3"/>
              </w:rPr>
              <w:t>Capacity in</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7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Purchase Price</w:t>
            </w:r>
            <w:r>
              <w:rPr>
                <w:rFonts w:ascii="Arial" w:cs="Arial" w:eastAsia="Arial" w:hAnsi="Arial"/>
                <w:sz w:val="12"/>
                <w:szCs w:val="12"/>
                <w:b w:val="1"/>
                <w:bCs w:val="1"/>
                <w:color w:val="auto"/>
                <w:w w:val="89"/>
              </w:rPr>
              <w:t>(1)</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Carrying Value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270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TEU</w:t>
            </w: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Built</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7"/>
              </w:rPr>
              <w:t>U.S. dollars)</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7"/>
              </w:rPr>
              <w:t>U.S. dollars)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1997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3040" w:type="dxa"/>
            <w:vAlign w:val="bottom"/>
            <w:gridSpan w:val="3"/>
          </w:tcPr>
          <w:p>
            <w:pPr>
              <w:jc w:val="right"/>
              <w:ind w:right="660"/>
              <w:spacing w:after="0"/>
              <w:rPr>
                <w:sz w:val="20"/>
                <w:szCs w:val="20"/>
                <w:color w:val="auto"/>
              </w:rPr>
            </w:pPr>
            <w:r>
              <w:rPr>
                <w:rFonts w:ascii="Arial" w:cs="Arial" w:eastAsia="Arial" w:hAnsi="Arial"/>
                <w:sz w:val="18"/>
                <w:szCs w:val="18"/>
                <w:color w:val="auto"/>
              </w:rPr>
              <w:t>4,113</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Matisse(G)*</w:t>
            </w:r>
          </w:p>
        </w:tc>
        <w:tc>
          <w:tcPr>
            <w:tcW w:w="30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2,262</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80" w:type="dxa"/>
            <w:vAlign w:val="bottom"/>
            <w:gridSpan w:val="2"/>
          </w:tcPr>
          <w:p>
            <w:pPr>
              <w:jc w:val="right"/>
              <w:ind w:right="462"/>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3"/>
              </w:rPr>
              <w:t>Capacity in</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Purchase Price</w:t>
            </w:r>
            <w:r>
              <w:rPr>
                <w:rFonts w:ascii="Arial" w:cs="Arial" w:eastAsia="Arial" w:hAnsi="Arial"/>
                <w:sz w:val="12"/>
                <w:szCs w:val="12"/>
                <w:b w:val="1"/>
                <w:bCs w:val="1"/>
                <w:color w:val="auto"/>
                <w:w w:val="91"/>
              </w:rPr>
              <w:t>(1)</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Carrying 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49"/>
        </w:trPr>
        <w:tc>
          <w:tcPr>
            <w:tcW w:w="5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Vessel Name</w:t>
            </w:r>
          </w:p>
        </w:tc>
        <w:tc>
          <w:tcPr>
            <w:tcW w:w="13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0" w:type="dxa"/>
            <w:vAlign w:val="bottom"/>
          </w:tcPr>
          <w:p>
            <w:pPr>
              <w:spacing w:after="0"/>
              <w:rPr>
                <w:sz w:val="1"/>
                <w:szCs w:val="1"/>
                <w:color w:val="auto"/>
              </w:rPr>
            </w:pPr>
          </w:p>
        </w:tc>
      </w:tr>
      <w:tr>
        <w:trPr>
          <w:trHeight w:val="171"/>
        </w:trPr>
        <w:tc>
          <w:tcPr>
            <w:tcW w:w="5780" w:type="dxa"/>
            <w:vAlign w:val="bottom"/>
            <w:gridSpan w:val="4"/>
            <w:vMerge w:val="continue"/>
          </w:tcPr>
          <w:p>
            <w:pPr>
              <w:spacing w:after="0"/>
              <w:rPr>
                <w:sz w:val="14"/>
                <w:szCs w:val="1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TEU</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0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U.S. dollars)</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 dollars)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CMA CGM</w:t>
            </w:r>
          </w:p>
        </w:tc>
        <w:tc>
          <w:tcPr>
            <w:tcW w:w="4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Utrillo(G)*</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1999</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Delmas Keta(G)*</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2,207</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Julie Delmas(G*)</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2,207</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Kumasi(G)*</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2,207</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Marie Delmas(G)*</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2,207</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CMA CGM La Tour(G)*</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2,272</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Manet(G)*</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2,272</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CMA CGM Alcazar*</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5,089</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Château d’If*</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5,089</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CMA CGM Thalassa*</w:t>
            </w:r>
          </w:p>
        </w:tc>
        <w:tc>
          <w:tcPr>
            <w:tcW w:w="720" w:type="dxa"/>
            <w:vAlign w:val="bottom"/>
          </w:tcPr>
          <w:p>
            <w:pPr>
              <w:jc w:val="right"/>
              <w:spacing w:after="0"/>
              <w:rPr>
                <w:sz w:val="20"/>
                <w:szCs w:val="20"/>
                <w:color w:val="auto"/>
              </w:rPr>
            </w:pPr>
            <w:r>
              <w:rPr>
                <w:rFonts w:ascii="Arial" w:cs="Arial" w:eastAsia="Arial" w:hAnsi="Arial"/>
                <w:sz w:val="18"/>
                <w:szCs w:val="18"/>
                <w:color w:val="auto"/>
              </w:rPr>
              <w:t>11,040</w:t>
            </w:r>
          </w:p>
        </w:tc>
        <w:tc>
          <w:tcPr>
            <w:tcW w:w="6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Jamaica*</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4,298</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CMA CGM Sambhar*</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4,045</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America*</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4,045</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CMA CGM Berlioz*</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6,621</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 price includes an element allocated to a drydock component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at December 31, 2013, including unamortized drydocking costs</w:t>
      </w:r>
    </w:p>
    <w:p>
      <w:pPr>
        <w:spacing w:after="0" w:line="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geared vessel</w:t>
      </w:r>
    </w:p>
    <w:p>
      <w:pPr>
        <w:spacing w:after="0" w:line="9" w:lineRule="exact"/>
        <w:rPr>
          <w:sz w:val="20"/>
          <w:szCs w:val="20"/>
          <w:color w:val="auto"/>
        </w:rPr>
      </w:pPr>
    </w:p>
    <w:p>
      <w:pPr>
        <w:ind w:left="46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vessels for which we believe, as at December 31, 2013, the market value based on charter attached valuations was lower than the vessel’s carrying value. We believe that the aggregate carrying value of these vessels exceeded their aggregate market value based on charter attached valuations by approximately $169.9 million at December 31, 2013.</w:t>
      </w:r>
    </w:p>
    <w:p>
      <w:pPr>
        <w:spacing w:after="0" w:line="1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Purchase price consists of the contract price and any material expenses incurred upon acquisition, initial repairs, improvements and delivery expenses, interest and on-site supervision costs incurred during the construction periods, where relevant. An element of the purchase price is allocated to a drydock component.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connection with our Previous Credit Facility and as part of overall risk management, we entered into interest rate swap agreements to reduce our exposure to cash flow risks from floating interest rates. The swaps are not accounted for as hedging instruments as they have not been designated as such and are not effective in mitigating the risks of changes in interest rates under U.S. GAAP. As such swaps are not accounted for as hedging instruments, we recognize them on our balance sheet at fair value with the non-cash changes in the fair value of these derivative instruments (mark to market adjustment) recognized in the statement of income. The swap agreements were terminated as part of the Transactions on March 19, 2014. We will not hold or issue derivative financial instruments for trading or other speculative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awarded restricted stock units to certain of our employees which vest, based on service conditions only, over a period of time up to three years from the award date. In addition, a portion of the base compensation paid to the directors for 2013, 2012 and 2011 was in the form of restricted stock units which vest,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which if currently adopted, would have a material impact on our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jc w:val="center"/>
              <w:ind w:left="335"/>
              <w:spacing w:after="0" w:line="119" w:lineRule="exact"/>
              <w:rPr>
                <w:sz w:val="20"/>
                <w:szCs w:val="20"/>
                <w:color w:val="auto"/>
              </w:rPr>
            </w:pPr>
            <w:r>
              <w:rPr>
                <w:rFonts w:ascii="Arial" w:cs="Arial" w:eastAsia="Arial" w:hAnsi="Arial"/>
                <w:sz w:val="13"/>
                <w:szCs w:val="13"/>
                <w:b w:val="1"/>
                <w:bCs w:val="1"/>
                <w:color w:val="auto"/>
              </w:rPr>
              <w:t>(unaudited)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(in millions of U.S. dollars)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Time charter revenue</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143.2</w:t>
            </w:r>
          </w:p>
        </w:tc>
        <w:tc>
          <w:tcPr>
            <w:tcW w:w="3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3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5</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operating revenue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Operating revenue reflects income under fixed rate time charters in effect and was $143.2 million in the year ended December 31, 2013, down $10.0 million on revenue of $153.2 million for the comparative period in 2012. The decrease in revenue is due to reduced revenue from two charters which were renewed in September 2012 and May 2013 at successively lower rates and an aggregate of 17 fewer ownership days as 2012 was a leap year, offset by lower offhire. There were 6,205 ownership days in the year ended December 31, 2013 with 28 days offhire (including 21 days for planned drydockings) giving utilization of 99.5%. In the comparative period of 2012, there were 98 days offhire (including 82 days for planned drydockings) representing utilization of 98.4%.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expenses totaled $92.1 million for the year ended December 31, 2013 (or 64% of operating revenue) compared to $91.4 million for the year ended December 31, 2012 (or 60% of operating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1480" w:right="300" w:hanging="446"/>
        <w:spacing w:after="0" w:line="312" w:lineRule="auto"/>
        <w:tabs>
          <w:tab w:leader="none" w:pos="14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$46.0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(or 32% of operating revenue) compared to $45.6 million for the comparative period in 2012 (or30% of operating revenue). The average cost per ownership day was $7,421, up $94 or 1.2% from $7,327 for the comparative period in 2012.</w:t>
      </w:r>
    </w:p>
    <w:p>
      <w:pPr>
        <w:spacing w:after="0" w:line="52" w:lineRule="exact"/>
        <w:rPr>
          <w:rFonts w:ascii="Arial" w:cs="Arial" w:eastAsia="Arial" w:hAnsi="Arial"/>
          <w:sz w:val="16"/>
          <w:szCs w:val="16"/>
          <w:color w:val="auto"/>
        </w:rPr>
      </w:pPr>
    </w:p>
    <w:p>
      <w:pPr>
        <w:ind w:left="1480" w:right="34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$40.4 million (or 28% of operating revenue) for the year ended December 31, 2013, slightly up from</w:t>
      </w:r>
      <w:r>
        <w:rPr>
          <w:rFonts w:ascii="Arial" w:cs="Arial" w:eastAsia="Arial" w:hAnsi="Arial"/>
          <w:sz w:val="18"/>
          <w:szCs w:val="18"/>
          <w:i w:val="1"/>
          <w:iCs w:val="1"/>
          <w:color w:val="auto"/>
        </w:rPr>
        <w:t xml:space="preserve"> </w:t>
      </w:r>
      <w:r>
        <w:rPr>
          <w:rFonts w:ascii="Arial" w:cs="Arial" w:eastAsia="Arial" w:hAnsi="Arial"/>
          <w:sz w:val="18"/>
          <w:szCs w:val="18"/>
          <w:color w:val="auto"/>
        </w:rPr>
        <w:t>$40.3 million in the comparative period (or 26% of operating revenue) in 2012.</w:t>
      </w:r>
    </w:p>
    <w:p>
      <w:pPr>
        <w:spacing w:after="0" w:line="75"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costs incurred were $6.0 million (or 4% of operating revenue)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compared to $5.8 million (or 4% of operating revenue) in the comparative period in 2012.</w:t>
      </w:r>
    </w:p>
    <w:p>
      <w:pPr>
        <w:spacing w:after="0" w:line="75" w:lineRule="exact"/>
        <w:rPr>
          <w:rFonts w:ascii="Arial" w:cs="Arial" w:eastAsia="Arial" w:hAnsi="Arial"/>
          <w:sz w:val="18"/>
          <w:szCs w:val="18"/>
          <w:color w:val="auto"/>
        </w:rPr>
      </w:pPr>
    </w:p>
    <w:p>
      <w:pPr>
        <w:jc w:val="both"/>
        <w:ind w:left="1480" w:right="480" w:hanging="446"/>
        <w:spacing w:after="0" w:line="264"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expense: </w:t>
      </w:r>
      <w:r>
        <w:rPr>
          <w:rFonts w:ascii="Arial" w:cs="Arial" w:eastAsia="Arial" w:hAnsi="Arial"/>
          <w:sz w:val="18"/>
          <w:szCs w:val="18"/>
          <w:color w:val="auto"/>
        </w:rPr>
        <w:t>Other operating income represents miscellaneous revenue mainly from carrying passengers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sundry recharges under the time charters. In the year ended December 31, 2013 it was $0.4 million, compared to $0.3 million in the comparative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consequence of all preceding items, operating income was $51.2 million (or 36% of operating revenue) for the year ended December 31, 2013 compared to $61.8 million (or 40% of operating revenue) in the comparative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held by us for the year ended December 31, 2014 was $44,000 compared to $79,000 for the previous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for the year ended December 31, 2013 was $18.8 million (or 13% of operating revenue). Total average borrowings, including the preferred shares, through the year ended December 31, 2013 was $450.1 million. Interest expense in the comparative period in 2012 was $21.2 million (or 14% of operating revenue) on average borrowings, including the preferred shares, of $509.6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 on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total of $580.0 million of interest rate derivatives at a weighted average rate of 3.59% was outstanding from January 1, 2013 to March 17, 2013, when</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$253.0 million of interest rate derivatives expired. The remaining $327 million of interest rate derivatives were at a weighted average rate of 3.74%. A further $50 million of interest rate derivatives expired on November 29, 2013. The remaining $277 million of interest rate derivatives were at an average rate of 3.82%. Our interest rate derivatives were terminated as part of the Transactions on March 19, 2014.</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derivative hedging instruments gave a realized loss of $18.8 million (or 13% of operating revenue) in the year ended December 31, 2013 for settlements in the period, as current USD LIBOR rates were lower than the average fixed rate. This compares to a realized loss of $21.2 million (or 14% of operating revenue) in the year ended December 31, 2012. The reduction in realized loss is due mainly to the expiration of $253.0 million of cover in March 2013. These interest rate derivatives do not qualify for hedge accounting under U.S. GAAP, and were marked to market at each period end with any change in the fair value being booked to the income and expenditure account. There was a $14.3 million unrealized gain in the year ended December 31, 2013 for revaluation of the balance sheet position given current USD LIBOR and movements in the forward curve for interest rates. This compares to an unrealized gain of $9.7 million in the comparative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had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year ended December 31, 2013 and the year ended December 31, 2012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Net income for the year ended December 31, 2013 was $32.5 million including $14.3 million non-cash interest rate derivative mark-to-market gain. For the year ended December 31, 2012 net income was $31.9 million, including $9.7 million non-cash interest rate derivative mark-to-market gain. Reduced interest charges in 2013 on lower average outstanding debt, together with lower realized losses on interest rate derivatives as the outstanding cover was reduced and increased unrealized gains on interest rate derivatives largely offset reduced revenue from revised charter arrangements on two vessels.</w:t>
      </w:r>
    </w:p>
    <w:p>
      <w:pPr>
        <w:spacing w:after="0" w:line="258" w:lineRule="exact"/>
        <w:rPr>
          <w:sz w:val="20"/>
          <w:szCs w:val="20"/>
          <w:color w:val="auto"/>
        </w:rPr>
      </w:pPr>
    </w:p>
    <w:p>
      <w:pPr>
        <w:ind w:right="5600"/>
        <w:spacing w:after="0" w:line="378" w:lineRule="auto"/>
        <w:rPr>
          <w:sz w:val="20"/>
          <w:szCs w:val="20"/>
          <w:color w:val="auto"/>
        </w:rPr>
      </w:pPr>
      <w:r>
        <w:rPr>
          <w:rFonts w:ascii="Arial" w:cs="Arial" w:eastAsia="Arial" w:hAnsi="Arial"/>
          <w:sz w:val="18"/>
          <w:szCs w:val="18"/>
          <w:b w:val="1"/>
          <w:bCs w:val="1"/>
          <w:color w:val="auto"/>
        </w:rPr>
        <w:t xml:space="preserve">Year ended December 31, 2012 Compared to Year ended December 31, 2011 </w:t>
      </w:r>
      <w:r>
        <w:rPr>
          <w:rFonts w:ascii="Arial" w:cs="Arial" w:eastAsia="Arial" w:hAnsi="Arial"/>
          <w:sz w:val="18"/>
          <w:szCs w:val="18"/>
          <w:i w:val="1"/>
          <w:iCs w:val="1"/>
          <w:color w:val="auto"/>
        </w:rPr>
        <w:t>Total operating revenue</w:t>
      </w:r>
    </w:p>
    <w:p>
      <w:pPr>
        <w:ind w:right="180"/>
        <w:spacing w:after="0" w:line="257" w:lineRule="auto"/>
        <w:rPr>
          <w:sz w:val="20"/>
          <w:szCs w:val="20"/>
          <w:color w:val="auto"/>
        </w:rPr>
      </w:pPr>
      <w:r>
        <w:rPr>
          <w:rFonts w:ascii="Arial" w:cs="Arial" w:eastAsia="Arial" w:hAnsi="Arial"/>
          <w:sz w:val="18"/>
          <w:szCs w:val="18"/>
          <w:color w:val="auto"/>
        </w:rPr>
        <w:t>Operating revenue reflects income under the fixed rate time charters in effect and was $153.2 million for the year ended December 31, 2012 compared to $156.3 million for the year ended December 31, 2011. The 2% reduction in revenue is due mainly to lower charter rates in effect from September 21, 2012 and September 20, 2012 respectively for two vessels on the commencement of new charters at $9,962 per day per vessel, compared to $28,500 per day per vessel previously. There were 82 days offhire associated with six vessels being drydocked in 2012, compared to 95 days for drydocking in 2011. Unplanned offhire for 2012 was 16 days compared to 11 in 2011.</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totaled $91.4 million for the year ended December 31, 2012 (or 60% of operating revenue) compared to $106.3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(or 68% of operating revenue). Operating expenses for the year ended December 31, 2011 included $13.6 million impairment charge.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Excluding this, operating expenses were 59% of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1480" w:right="200" w:hanging="446"/>
        <w:spacing w:after="0" w:line="264"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Vessel expenses: </w:t>
      </w:r>
      <w:r>
        <w:rPr>
          <w:rFonts w:ascii="Arial" w:cs="Arial" w:eastAsia="Arial" w:hAnsi="Arial"/>
          <w:sz w:val="18"/>
          <w:szCs w:val="18"/>
          <w:color w:val="auto"/>
        </w:rPr>
        <w:t>Vessel expenses, which relate to the operation of the vessels themselves, were $45.6 million for 2012 (or 30%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revenue) or an average of $7,327 per day compared to $45.5 million for 2011 (or 29% of operating revenue) or an average of $7,336 per day. The decrease in daily cost was $9 per day.</w:t>
      </w:r>
    </w:p>
    <w:p>
      <w:pPr>
        <w:spacing w:after="0" w:line="86"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With a stable fleet, depreciation was $40.3 million for 2012 (or 26% of operating revenue) up $0.2 million from $40.1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26% of operating revenue) in 2011.</w:t>
      </w:r>
    </w:p>
    <w:p>
      <w:pPr>
        <w:spacing w:after="0" w:line="75" w:lineRule="exact"/>
        <w:rPr>
          <w:rFonts w:ascii="Arial" w:cs="Arial" w:eastAsia="Arial" w:hAnsi="Arial"/>
          <w:sz w:val="18"/>
          <w:szCs w:val="18"/>
          <w:color w:val="auto"/>
        </w:rPr>
      </w:pPr>
    </w:p>
    <w:p>
      <w:pPr>
        <w:ind w:left="1480" w:right="180" w:hanging="446"/>
        <w:spacing w:after="0" w:line="342"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 2012 were $5.8 million (or 4% of operating revenue)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$7.4 million for 2011 (or 5% of operating revenue) mainly due to reduced professional fees for legal and consulting services.</w:t>
      </w:r>
    </w:p>
    <w:p>
      <w:pPr>
        <w:spacing w:after="0" w:line="29" w:lineRule="exact"/>
        <w:rPr>
          <w:rFonts w:ascii="Arial" w:cs="Arial" w:eastAsia="Arial" w:hAnsi="Arial"/>
          <w:sz w:val="16"/>
          <w:szCs w:val="16"/>
          <w:color w:val="auto"/>
        </w:rPr>
      </w:pPr>
    </w:p>
    <w:p>
      <w:pPr>
        <w:ind w:left="1480" w:hanging="446"/>
        <w:spacing w:after="0" w:line="271" w:lineRule="auto"/>
        <w:tabs>
          <w:tab w:leader="none" w:pos="14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Impairment charge in 2011: </w:t>
      </w:r>
      <w:r>
        <w:rPr>
          <w:rFonts w:ascii="Arial" w:cs="Arial" w:eastAsia="Arial" w:hAnsi="Arial"/>
          <w:sz w:val="17"/>
          <w:szCs w:val="17"/>
          <w:color w:val="auto"/>
        </w:rPr>
        <w:t>On November 8, 2010, we signed agreements with the sellers of two 4,250 TEU container vessels which</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our purchase obligations which totaled $154.8 million. Under the agreements, we (i) released deposits, including accrued interest and totaling approximately $8.1 million per vessel, to the sellers, (ii) made a further cash payment of approximately $6.1 million per vessel and (iii) transferred to the sellers certain supplies purchased for the vessels which were valued at approximately $0.5 million per vessel. The total value of these items was $29.4 million or $14.7 million per vessel. In exchange, we acquired purchase options giving us the right, but not the obligation, to purchase each vessel on the first anniversary of its delivery by the builder to the seller, for a final payment of $61.25 million per vessel. Each purchase option was to be exercised no later than 270 days after the delivery of the vessel by the builder to the seller, which was expected to be in December 2010 for both vessels.</w:t>
      </w:r>
    </w:p>
    <w:p>
      <w:pPr>
        <w:spacing w:after="0" w:line="70" w:lineRule="exact"/>
        <w:rPr>
          <w:rFonts w:ascii="Arial" w:cs="Arial" w:eastAsia="Arial" w:hAnsi="Arial"/>
          <w:sz w:val="17"/>
          <w:szCs w:val="17"/>
          <w:color w:val="auto"/>
        </w:rPr>
      </w:pPr>
    </w:p>
    <w:p>
      <w:pPr>
        <w:ind w:left="1500" w:right="20"/>
        <w:spacing w:after="0" w:line="276" w:lineRule="auto"/>
        <w:rPr>
          <w:rFonts w:ascii="Arial" w:cs="Arial" w:eastAsia="Arial" w:hAnsi="Arial"/>
          <w:sz w:val="17"/>
          <w:szCs w:val="17"/>
          <w:color w:val="auto"/>
        </w:rPr>
      </w:pPr>
      <w:r>
        <w:rPr>
          <w:rFonts w:ascii="Arial" w:cs="Arial" w:eastAsia="Arial" w:hAnsi="Arial"/>
          <w:sz w:val="17"/>
          <w:szCs w:val="17"/>
          <w:color w:val="auto"/>
        </w:rPr>
        <w:t>The purchase of these vessels was always predicated on achieving a strong return for shareholders by acquiring the vessels, which had time charters attached, at an attractive price and with financing on favorable terms. As we considered it unlikely that we would be able to obtain committed finance on acceptable terms before the expiry of the options on September 16, 2011 for one vessel and October 4, 2011 for the other, intangible assets totaling $13.6 million (or 9% of operating revenue) relating to these options were written off in the second quarter 2011. Both purchase options were allowed to expire.</w:t>
      </w:r>
    </w:p>
    <w:p>
      <w:pPr>
        <w:spacing w:after="0" w:line="77" w:lineRule="exact"/>
        <w:rPr>
          <w:rFonts w:ascii="Arial" w:cs="Arial" w:eastAsia="Arial" w:hAnsi="Arial"/>
          <w:sz w:val="17"/>
          <w:szCs w:val="17"/>
          <w:color w:val="auto"/>
        </w:rPr>
      </w:pPr>
    </w:p>
    <w:p>
      <w:pPr>
        <w:ind w:left="1480" w:right="300" w:hanging="446"/>
        <w:spacing w:after="0" w:line="342"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w:t>
      </w:r>
      <w:r>
        <w:rPr>
          <w:rFonts w:ascii="Arial" w:cs="Arial" w:eastAsia="Arial" w:hAnsi="Arial"/>
          <w:sz w:val="16"/>
          <w:szCs w:val="16"/>
          <w:color w:val="auto"/>
        </w:rPr>
        <w:t>Other operating income was $0.3 million in 2012 the same as in 2011. Other operating income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charter business is miscellaneous revenue mainly from carrying passengers and sundry recharges under the time charters.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a consequence of all preceding items, operating income was $61.8 million (or 40% of operating revenue) in 2012 compared to $49.9 million (or 32% of operating revenue) in 2011. Operating income for 2011 before the impairment charge was $63.5 million (or 41% of operating revenue).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held by us in 2012 was $0.1 million, unchanged from $0.1 million in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was $21.2 million (or 14% of operating revenue) in 2012. Borrowings under our Previous Credit Facility together with the preferred shares averaged $509.6 million during the year. Interest expense in 2011 was $20.6 million (or 13% of operating revenue), based on weighted average by day borrowings including the preferred shares of $562.8 million in the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total of $580.0 million interest rate derivatives at a weighted average rate of 3.59% was outstanding through 2012.</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None of the interest rate agreements qualified for hedge accounting, therefore, the net changes in the fair value of the interest rate derivative assets and liabilities at each reporting period are reflected in the financial statements as unrealized gains or losses on derivatives. Cash flows related to interest rate derivatives (initial payments of derivatives and periodic cash settlements) are included within cash flows from investing activities in the consolidated statement of cash flows. Realized gains or losses from interest rate derivatives are recognized in the statement of income concurrent with cash settlements. In addition, the interest rate derivatives are “marked to market” each reporting period to determine the fair values which generate unrealized non-cash gains or losses.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U.S. $ LIBOR remained low in 2012, the interest rate derivatives have been “out-of-the-money” and have shown realized losses, based on the difference between prevailing U.S. $ LIBOR and the average fixed rate of 3.59%. In 2012, the realized loss was $18.4 million (or 12% of operating revenue) similar conditions existed in 2011 giving a realized loss of $19.4 million (or 12% of operating revenue).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Taken as a whole, the market experienced an upward movement in the U.S. $ LIBOR forward yield curve through 2012 compared to slight downward movements in 2011. Consequently our interest rate derivatives appreciated in value in 2012 by $9.7 million (or 6% of operating revenue) compared to a slight deterioration of $0.9 million (less than 1% of operating revenue) in 2011.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for 2012 were $0.1 million, unchanged from $0.1 million in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consequence of all preceding items the net income was $31.9 million for 2012 compared to net income of $9.1 million for 2011. The improved performance in 2012 is explained mostly by there being no impairment charge – compared to a $13.6 million charge in 2011 – and an improvement of $10.6 million in the unrealized gain on interest rate derivatives.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general and administrative expenses, interest and other financing costs including the settlement of interest rate derivatives. In addition, each of our vessels is subject to a drydock every five years. The average cost of the 16 drydockings completed in 2009-2013 was $1.2 million with an average loss of revenue of $0.3 million whilst the relevant vessel was offhire. Two vessels completed their scheduled drydockings in 2013. Two regulatory drydockings are scheduled in 2014 and none in 2015. We have included a schedule of the next anticipated drydocking date for each of our vessels in “Business—Inspection by Classification Societies.”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January 1, 2010 through March 19, 2014, all of our cash in excess of $20 million measured at the end of the month prior to each quarter end, has been swept at the quarter end to repay drawings under the Previous Credit Facility. As a consequence, cash and cash equivalents on hand at the end of each quarter has not varied significantly. The main factor affecting cashflow in a period is the timing of the receipt of charterhire, which is due to be paid every 15 days in advance on the 1st and 16th of each month.</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than cost for drydocking, there are no other material current commitments for capital expenditures or other known and reasonably likely material cash requirements. However, changes to the regulatory environment may lead to additional capital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expenditure. For example, compliance with environmental regulations regarding ballast water management may require us to fit ballast water management systems to our vessels, although not before the first scheduled drydocking after January 1, 2016. See Item 4.B. “Information on the Company—Business Overview—Environmental and Other Regulations—Ballast Water Management.”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other longer term liquidity requirements include redemptions of the $45.0 million preferred shares, which are mandatorily redeemable at par by quarterly installments of approximately $4.0 million commencing August 31, 2016 with a final payment on May 31, 2019.</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policies in place to control treasury activities within the group. For example, all new funding must be approved by our Board of Directors and cash deposits can only be made with institutions meeting certain credit metrics.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Previous Credit Facility required us to hedge at least 50% of our floating rate debt. This was achieved by entering into interest rate derivatives. As at December 31, 2013 we had $277.0 million of swaps in place to hedge our exposure to the impact of interest rate changes on our floating rate debt. Total floating rate debt, including the preferred shares, at December 31, 2013 was $411.3 million, leaving $134.4 million unhedged floating rate debt. The average fixed rate inherent in the $277.0 million of swaps is 3.82%. All our interest rate derivative agreements were terminated as part of the Transactions. We do not enter into derivatives for speculative purposes.</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Upon consummation of the Transactions, our only floating rate debt will be $45.0 million of preferred shares and any drawings under our revolving credit facility. We may enter into hedging instruments, including new interest rate swap agreements, in future to hedge our cash flows.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our revenues are denominated in U.S. dollars and a portion of our expenses are denominated in currencies other than U.S. dollars. Our cash and cash equivalents are mainly held in U.S. dollars, with relatively small amounts of UK pounds sterling and Euros.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liquidity and sources of cash will change significantly as a result of the Transactions. See “—Post-Transactions” below for a description of these changes.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20"/>
                <w:szCs w:val="20"/>
                <w:color w:val="auto"/>
              </w:rPr>
            </w:pPr>
            <w:r>
              <w:rPr>
                <w:rFonts w:ascii="Arial" w:cs="Arial" w:eastAsia="Arial" w:hAnsi="Arial"/>
                <w:sz w:val="14"/>
                <w:szCs w:val="14"/>
                <w:b w:val="1"/>
                <w:bCs w:val="1"/>
                <w:color w:val="auto"/>
              </w:rPr>
              <w:t>(in millions of U.S. dollars)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$ 32.5</w:t>
            </w:r>
          </w:p>
        </w:tc>
        <w:tc>
          <w:tcPr>
            <w:tcW w:w="16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$ 31.9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$ 40.4</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Impairment charge</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(14.3)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Movement in working capital</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$(14.0)</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(19.4)</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Acquisition of vessel purchase options</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 of vessels, vessel prepayments and vessel deposits</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(27.3)</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$(59.3)</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(49.2)</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Issuance costs of debt</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Repayment of preferred shares</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(50.2)</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30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59" w:right="2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was $74.3 million for the year ended December 31, 2013 reflecting mainly net income of $32.5 million, adjusted for depreciation of $40.4 million, amortization of deferred charges of $1.4 million, settlement of hedges which do not qualify for hedge accounting of $14.0 million, share based compensation of $0.4 million and movements in working capital of $2.1 million less change in fair value of derivatives of $14.3 million and amortization of intangible liabilities of $2.1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cash settlement of interest rate derivatives was $14.0 million and $2.6 million was expended on drydocking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debt repayments of $59.3 million were made in the year ended December 31, 2013.</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was a net reduction in cash and cash equivalents of $1.6 million in the year ended December 31, 2013, resulting in closing cash of $24.5 million compared to closing cash of $26.1 million at December 31, 2012. There is little variability in quarter or year end cash due to the required cash sweep under the Previous Credit Facility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operating activities was $83.7 million in 2012 reflecting mainly net income of $31.9 million, depreciation of $40.3 million, amortization of deferred charges of $1.3 million, settlement of hedges which do not qualify for hedge accounting of $18.4 million, share based compensation of $0.5 million and increase in payables of $4.0 million less change in fair value of derivatives of $9.7 million, amortization of intangible liabilities of $2.1 million and increase in receivables of $0.8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cash settlement of interest rate derivatives was $18.4 million and $5.9 million was paid for drydockings.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Total repayments of $57.9 million were made in respect of the Previous Credit Facility during 2012 and $1.1 million was paid in respect of obtaining on November 9, 2012 a waiver of the requirement under the Previous Credit Facility to perform a leverage ratio test until December 1, 2014. $3.0 million of the preferred shares were redeemed using $3.0 million of restricted cash for which the sole use is to redeem these preferred shares.</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net increase in cash and cash equivalents during 2012 was $0.3 million resulting in closing cash of $26.1 million at December 31, 2012 compared to closing cash of $25.8 million at December 31, 2011. There is little variability in quarter end cash due to the required cash sweep under our Previous Credit Facility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 and the Indenture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notes were issued under an indenture, dated as of March 19, 2014, among the Company, the guarantors party thereto and Deutsche Bank Trust Company Americas, as trustee and as security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notes bear interest at 10.000% per annum and mature on April 1, 2019. Interest is payable semi-annually on April 1 and October 1 of each year, beginning on October 1, 2014, to holders of record at the close of business on March 15 or September 15, as the case may be, immediately preceding each such interest payment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notes are secured by first priority ship mortgages on 17 vessels owned by certain subsidiary guarantors (the “Mortgaged Vessels”) and certain other associated property, contract rights and bank accounts, as well as share pledges over the subsidiary guarantors that own the Mortgaged Vessels (together with the Mortgaged Vessels, the “Initial Collateral”). In the future, vessels, shipping containers and container shipping-related assets and certain other associated property and contract rights may be pledged in addition to or in substitution for Initial Collateral. As used herein, “Collateral” refers to the Initial Collateral and any such additional or substitute collateral.</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Collateral also secures on a first priority basis up to $40.0 million of indebtedness which may be incurred under the revolving credit facility, which is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notes are fully and unconditionally guaranteed, jointly and severally, on a senior basis, by Global Ship Lease Services Limited (“GSL Limited”) and each of our 17 subsidiaries that own Mortgaged Vessels. In the future, the notes will be guaranteed by our existing and future restricted subsidiaries in the circumstances provided in the indenture governing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may redeem the notes in whole or in part, at our option, at any time before April 1, 2016, at a redemption price equal to 100% of the principal amount plus a make-whole premium as provided in the indenture governing the notes. We may redeem the notes in whole or in part, at our option, at any time on or after April 1, 2016, at the redemption prices (expressed as percentages of principal amount) set forth below plus accrued and unpaid interest, if any, on the notes redeemed, to the applicable redemption date, if redeemed during the twelve-month period beginning on April 1 of the years indicated below, subject to the rights of holders of notes on the relevant record date to receive interest on the relevant interest payment date:</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32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2016</w:t>
            </w:r>
          </w:p>
        </w:tc>
        <w:tc>
          <w:tcPr>
            <w:tcW w:w="33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2017</w:t>
            </w:r>
          </w:p>
        </w:tc>
        <w:tc>
          <w:tcPr>
            <w:tcW w:w="4140" w:type="dxa"/>
            <w:vAlign w:val="bottom"/>
            <w:gridSpan w:val="3"/>
          </w:tcPr>
          <w:p>
            <w:pPr>
              <w:jc w:val="right"/>
              <w:ind w:right="60"/>
              <w:spacing w:after="0"/>
              <w:rPr>
                <w:sz w:val="20"/>
                <w:szCs w:val="20"/>
                <w:color w:val="auto"/>
              </w:rPr>
            </w:pPr>
            <w:r>
              <w:rPr>
                <w:rFonts w:ascii="Arial" w:cs="Arial" w:eastAsia="Arial" w:hAnsi="Arial"/>
                <w:sz w:val="18"/>
                <w:szCs w:val="18"/>
                <w:color w:val="auto"/>
              </w:rPr>
              <w:t>102.500%</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4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at any time before April 1, 2016, we may redeem up to 35% of the aggregate principal amount of the notes with the net proceeds of an equity offering at 110.000% of the principal amount of the notes, plus accrued and unpaid interest, if any, so long as at least 65% of the originally issued aggregate principal amount of the notes remains outstanding after such redemption.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Amounts and Redemption for Changes in Withholding Taxes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as required by law, we will make payments on the notes free of withholding or deduction for taxes. If withholding or deduction is required, we will, subject to certain customary exceptions, be required to pay additional amounts so that the net amounts holders of the notes receive will equal the amount holders of the notes would have received if withholding or deduction had not been imposed. If, as a result of a change in law, we are required to pay such additional amounts, we may redeem the notes in whole but not in part, at any time at 100% of their principal amount, plus accrued and unpaid interest, if any, to the redemption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the occurrence of certain change of control events, holders of the notes will have the right to require us to repurchase some or all of their notes at 101% of their face amount, plus accrued and unpaid interest to the repurchase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of Asset Sales and Events of Loss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will be obligated in certain instances to make offers to purchase outstanding notes with the net proceeds of certain sales or other dispositions of assets or upon the occurrence of an event of loss with respect to Collateral. The purchase price of the notes will be 102% of their principal amount plus accrued and unpaid interest, if 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have at least $1.0 million of Excess Cash Flow (as defined in the indenture governing the notes) for each fiscal year, commencing in respect of the year ended December 31, 2014, we will be required to make an offer to repurchase a maximum principal amount of notes per annum equal to the lesser of (a) the Excess Cash Flow for such fiscal year and (b) $20.0 million, at a price equal to 102% of the aggregate principal amount of notes repurchased plus accrued and unpaid interest, if any, on the notes.</w:t>
      </w:r>
    </w:p>
    <w:p>
      <w:pPr>
        <w:sectPr>
          <w:pgSz w:w="11900" w:h="16838" w:orient="portrait"/>
          <w:cols w:equalWidth="0" w:num="1">
            <w:col w:w="11420"/>
          </w:cols>
          <w:pgMar w:left="240" w:top="459" w:right="239" w:bottom="1041"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041"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governing the notes contains covenants that, among other things, limit our ability and the ability of our restricted subsidiaries to:</w:t>
      </w:r>
    </w:p>
    <w:p>
      <w:pPr>
        <w:spacing w:after="0" w:line="131" w:lineRule="exact"/>
        <w:rPr>
          <w:sz w:val="20"/>
          <w:szCs w:val="20"/>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dividends on, redeem or repurchase their capital stock or make other restricted payments and investments;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are subject to important exceptions and qualifications, which are provided in the indenture governing the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private placement of notes, we and GSL Limited, as initial borrowers, and together with each of our 17 subsidiaries that own Mortgaged Vessels, as initial guarantors, entered into a new credit agreement dated as of March 19, 2014, with Citibank, N.A., London Branch, as original lender, lead arranger and book-runner, Citibank International plc, as facility agent and Deutsche Bank Trust Company Americas, as security agent, together with security and other agreements, which provide for our revolving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revolving credit facility provides for aggregate commitments of $40.0 million, which shall be reduced to $25.0 million if on any testing date, our debt service coverage ratio in respect of the preceding six months is less than 1:1. Debt service coverage will be tested on December 31, 2016, June 30, 2017 and December 31, 2017. Subject to customary conditions precedent, certain of our subsidiaries may borrow under the revolving credit facility to finance (or refinance) the acquisition of vessels and may also borrow amounts not to exceed, at any time outstanding, $5.0 million for general corporate purposes. To the extent that borrowings under the revolving credit facility are applied towards all or part of the acquisition cost (or the refinancing thereof) of a vessel, we will be required to pledge, on a first-priority basis, such vessel, together with certain other associated property, contract rights and bank accounts, and the capital stock of the applicable vessel-owning subsidiary, as additional Collateral securing the obligations under the revolving credit facility and the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Borrowings under the revolving credit facility bear interest at LIBOR plus a margin of 3.25% per annum, payable quarterly in arrears or at the end of certain other interest payment periods.</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addition to paying interest on outstanding principal under the revolving credit facility, we are required to pay a quarterly commitment fee of 1.30% per annum to the lenders under the revolving credit facility in respect of the unutilized commitments thereunder. We also pay certain other customary fees.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final maturity date of the revolving credit facility is October 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revolving credit facility will require us to prepay outstanding loans, subject to certain exceptions, with the net cash proceeds of certain sales or other dispositions of Collateral or upon the occurrence of an event of loss with respect to Collateral and upon a change of control.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will be able to voluntarily prepay outstanding loans under the revolving credit facility at any time, subject to certain notice requirements.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Guarantees will be jointly and severally provided by us and the same subsidiaries guaranteeing the notes. In addition, any subsidiaries who become borrowers under the revolving credit facility will also provide a guarantee. Our obligations under the revolving credit facility will be secured by first-priority security interests (subject to certain permitted liens) over the Collateral that will rank equal with the security interest of the notes, subject to the right of the finance parties under the revolving credit facility to receive the net proceeds of any foreclosure on the Collateral before the holders of the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will be required to maintain minimum cash and cash equivalents in an amount ranging from $15.0 million to $20.0 million, as provided in the credit agreement governing our revolving credit facility.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the revolving credit facility contains negative covenants that, among other things and subject to certain significant exceptions, limit our ability and the ability of our restricted subsidiaries to:</w:t>
      </w:r>
    </w:p>
    <w:p>
      <w:pPr>
        <w:spacing w:after="0" w:line="76" w:lineRule="exact"/>
        <w:rPr>
          <w:sz w:val="20"/>
          <w:szCs w:val="20"/>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agreement governing our revolving credit facility also contains certain customary representations and warranties, affirmative covenants and events of default. If an event of default occurs, the lenders under the revolving credit facility will be entitled to take various actions, including the acceleration of amounts due under the revolving credit facility and actions customarily permitted to be taken by a secured creditor. Amendments and waivers of the covenants described above or any other provisions which affect solely the revolving credit facility will require the consent of lenders holding all or the majority of the commitments and loans under the revolving credit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Credit Facility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Previous Credit Facility with ABN AMRO Bank N.V. (also the “Agent”) and the other parties thereto from time to time was entered into in 2007 and was originally an $800.0 million revolving facility, non-amortizing for five years and with a term of eight years. All of our vessel owning subsidiaries and GSL Limited were borrowers and guarantors jointly and severally guaranteeing our obligations under the Previous Credit Facility. As described above, we used a portion of the net proceeds of the private placement of notes to repay all outstanding borrowings under, and terminate, our Previous Credit Facility on March 19,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Post-Transactions</w:t>
      </w:r>
    </w:p>
    <w:p>
      <w:pPr>
        <w:spacing w:after="0" w:line="11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After the consummation of the Transactions, we are highly leveraged. As at December 31, 2013, after giving effect to the Transactions, we would have had approximately $465.0 million of total debt and other long term liabilities outstanding, including $420.0 million of secured indebtedness (all of which would have been represented by our notes) and $45.0 million aggregate liquidation preference of our preferred shares, and we would have had availability of $40.0 million under our revolving credit facility. The revolving credit facility was undrawn on March 19, 2014.</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liquidity requirements are significant, primarily due to debt service requirements. After giving effect to the Transactions (based on the interest rate on the notes) as if they had occurred on January 1, 2013, our cash interest expense for the year ended December 31, 2013 would have been $43.6 million.</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believe that amounts available through our revolving credit facility, together with funds generated by the business and retained, will be sufficient to meet our operating needs for the next twelve months, including working capital requirements, debt repayment obligations and to purchase additional vessels.</w:t>
      </w:r>
    </w:p>
    <w:p>
      <w:pPr>
        <w:spacing w:after="0" w:line="12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market conditions warrant, we may from time to time, depending upon market conditions, seek to repurchase debt securities that we have issued or loans that we have borrowed, including the notes and borrowings under our revolving credit facility, in privately negotiated or open market transactions, by tender offer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dividends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net cash flows from operating activities corresponds directly with the number of vessels under charter, days on-hire, vessel charter rates, operating expenses, drydock costs, interest and other financing costs and general and administrative expenses. Pursuant to our ship management agreements, we have agreed to pay our ship manager an annual management fee of $123,000 per vessel and to reimburse it for operating costs it incurs on our behalf up to a quarterly cap pursuant to the global expense agreement (other than drydocking expenses and insurance premiums which will not be subject to the cap). Charterhire is payable by CMA CGM 15 days in advance and estimated ship management costs are payable monthly in advance. Although we can provide no assurances (see Item 3.D. “Key Information—Risk Factors—Risks Related to our Business—We are highly dependent on charter payments from CMA CGM”), we expect that our cash flow from our chartering arrangements will be sufficient to cover our ship management costs and fees, interest payments, and other financing costs under our credit facility, insurance premiums, vessel taxes, general and administrative expenses and other costs and any other working capital requirements for the short and medium term and planned drydocking expenses.</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$45.0 million of preferred shares are mandatorily redeemable at par by quarterly installments of approximately $4.0 million commencing August 31, 2016.</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estimate that the average cost of the 16 drydockings completed between 2009 to 2013 was approximately $1.2 million, with an average loss of revenue of $0.3 million from offhire. We have included a schedule of the next anticipated drydocking date for each of our vessels in the section of this Annual Report entitled Item 4.B. “Information on the Company—Business Overview—Inspection by Classification Societies.”</w:t>
      </w:r>
    </w:p>
    <w:p>
      <w:pPr>
        <w:spacing w:after="0" w:line="181"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Our other liquidity requirements include repaying the remaining principal balance of the notes at the stated maturity date on April 1, 2019.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notes.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Maritime Strategies International Ltd. (“MSI”) has provided certain statistical and graphical information contained in this Annual Report in Item 5.D. “Trend Information.” MSI has advised that (i) some information in MSI’s database is derived from estimates derived from industry sources or subjective judgments, (ii) the information in the databases of other maritime data collection agencies may differ from the information in MSI’s database, (iii) whilst MSI has taken reasonable care in the compilation of the statistical and graphical information and believes it to be accurate and correct, data compilation is subject to limited audit and validation procedures and may accordingly contain errors, (iv) MSI, its agents, officers and employees cannot accept liability for any loss suffered in consequence of reliance on such information or in any other manner, and (v) the provision of such information does not obviate any need to make appropriate further enquiries.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container shipping industry is one of the younger shipping sectors, with the first containerized cargoes shipped in the mid-1950s. Containerization is the most convenient and cost-effective way to transport a huge range of cargoes, predominantly a diverse selection of consumer and manufactured goods, and as such has been a significant driver of globalization.</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1993 through 2008, containerized trade grew at a compound annual rate of over 9%. 2009 saw the only year of negative growth in the industry’s history, on the back of the global economic slowdown, with volumes shrinking 8%. Volumes recovered in 2010, posting growth of 15%. 2011 growth exceeded 7%, but slowed in 2012 to around 4%. Containerized trade volumes in 2012 were 161 million TEU and, based on data available as at December 31, 2013, are estimated at 166 million TEU in 2013.</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containerized supply chain extends throughout the world. However the most important trades are those linking the major manufacturing economies in Asia and, in particular, China with the major consuming economies in North America and Europe and, increasingly, the intra-Asian trades connecting that region’s rapidly growing markets. Growth in containerized trade is linked to demand for manufactured goods and thereby to regional economic growth. However, historically this underlying growth has been boosted by both the containerization of breakbulk goods, including refrigerated cargoes, and the outsourcing of manufacturing from Europe and North America.</w:t>
      </w:r>
    </w:p>
    <w:p>
      <w:pPr>
        <w:spacing w:after="0" w:line="188"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rapid expansion in containerized trade has also led to a rapid expansion in the global liner fleet, of which the vast majority of vessels are fully cellular containerships (vessels fitted with cell guides for containers throughout the ship, improving container stowage and significantly enhancing the efficiency of load and discharge operations). Between 1994 and 2013, the nominal carrying capacity of the fully cellular fleet grew by a compound annual rate of over 10% and, as at December 31, 2013, stood at 17.5 million TEU, aboard a total of 5,182 vessels.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Within the container shipping industry, key participants include shippers, liner companies and charter-owners. Shippers are the senders and receivers of containerized cargo. Liner companies are logistics service providers responsible for the seaborne, and often also inland, transportation of containerized goods; they negotiate freight rates with shippers themselves, or with third parties such as freight forwarders/consolidators. Liner companies either operate vessels that they themselves own, or lease vessels from charter-owners. Charter-owners (also referred to as containership owners and containership lessors) provide the function of owning containerships and leasing, or chartering, them out to liner companies. Today, around half of the operated fleet, measured by TEU capacity, is provided by charter-owners—up from an estimated 16% in 1995.</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containership charter market, leases are most often structured as time charters. Under a time charter, with the exception of fuel (which is paid for by the lessee), most operating costs of the vessel are borne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lessor. Charter periods can vary in length: the spot market generally refers to charter fixtures of 12 months or less, while term charters cover longer fixtures, with periods of 10 years or more not uncommon.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Global container trade predominantly involves the movement of manufactured and semi-manufactured goods. Containerized trade has both facilitated and been driven by globalization. Growth drivers include the increasing consumption of manufactured goods, expansion of containerization into other cargo modes, the outsourcing of manufacturing and consumer demand for global product. Consequently, containerized trade has tended to expand at a multiple of both global gross domestic product growth and total seaborne trade growth (see Chart 1). In 2012, global containerized trade volumes amounted to 161 million TEU and, based on data available as at December 31, 2013, 2013 volumes are estimated at approximately 166 million TEU.</w:t>
      </w:r>
    </w:p>
    <w:p>
      <w:pPr>
        <w:spacing w:after="0" w:line="2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Chart 1: Year-on-Year Growth of World Gross Domestic Product, Seaborne Trade and Container Trade (2013 Estimated Based on Data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131445</wp:posOffset>
            </wp:positionV>
            <wp:extent cx="5111115" cy="3138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1111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60"/>
          </w:cols>
          <w:pgMar w:left="240" w:top="459" w:right="3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Chart 2 shows the breakdown of containerized trade by region. China accounts for 36% of global container port throughput, the Far East (excluding China) accounts for another 19% and Europe is in third place with a 14% share. Since the downturn of 2009, containerized trade growth has tended to be concentrated in the emerging markets of Asia (including China), Africa and the Middle East (see Table 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2: Container Port Throughput by Region, Full Year 2013 Estimated (Based on Data Available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172085</wp:posOffset>
            </wp:positionV>
            <wp:extent cx="4690745" cy="3310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9074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 Regional Container Port Throughput: Compound Annual Growth Rates (Based on Data Available as at December 31, 2013)</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8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1993-2008</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2010-2012</w:t>
            </w:r>
          </w:p>
        </w:tc>
        <w:tc>
          <w:tcPr>
            <w:tcW w:w="126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2013E</w:t>
            </w:r>
          </w:p>
        </w:tc>
      </w:tr>
      <w:tr>
        <w:trPr>
          <w:trHeight w:val="216"/>
        </w:trPr>
        <w:tc>
          <w:tcPr>
            <w:tcW w:w="2820" w:type="dxa"/>
            <w:vAlign w:val="bottom"/>
            <w:tcBorders>
              <w:left w:val="single" w:sz="8" w:color="auto"/>
              <w:bottom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North America</w:t>
            </w:r>
          </w:p>
        </w:tc>
        <w:tc>
          <w:tcPr>
            <w:tcW w:w="11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6%</w:t>
            </w:r>
          </w:p>
        </w:tc>
        <w:tc>
          <w:tcPr>
            <w:tcW w:w="10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5"/>
              </w:rPr>
              <w:t>-12%</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5%</w:t>
            </w:r>
          </w:p>
        </w:tc>
        <w:tc>
          <w:tcPr>
            <w:tcW w:w="1260" w:type="dxa"/>
            <w:vAlign w:val="bottom"/>
            <w:tcBorders>
              <w:bottom w:val="single" w:sz="8" w:color="auto"/>
              <w:right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2"/>
              </w:rPr>
              <w:t>3%</w:t>
            </w:r>
          </w:p>
        </w:tc>
      </w:tr>
      <w:tr>
        <w:trPr>
          <w:trHeight w:val="210"/>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Latin America</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12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r>
      <w:tr>
        <w:trPr>
          <w:trHeight w:val="210"/>
        </w:trPr>
        <w:tc>
          <w:tcPr>
            <w:tcW w:w="2820" w:type="dxa"/>
            <w:vAlign w:val="bottom"/>
            <w:tcBorders>
              <w:left w:val="single" w:sz="8" w:color="auto"/>
              <w:bottom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Western Europe</w:t>
            </w:r>
          </w:p>
        </w:tc>
        <w:tc>
          <w:tcPr>
            <w:tcW w:w="11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7%</w:t>
            </w:r>
          </w:p>
        </w:tc>
        <w:tc>
          <w:tcPr>
            <w:tcW w:w="10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-9%</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7%</w:t>
            </w:r>
          </w:p>
        </w:tc>
        <w:tc>
          <w:tcPr>
            <w:tcW w:w="1260" w:type="dxa"/>
            <w:vAlign w:val="bottom"/>
            <w:tcBorders>
              <w:bottom w:val="single" w:sz="8" w:color="auto"/>
              <w:right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2"/>
              </w:rPr>
              <w:t>0%</w:t>
            </w:r>
          </w:p>
        </w:tc>
      </w:tr>
      <w:tr>
        <w:trPr>
          <w:trHeight w:val="210"/>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Eastern Europe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w:t>
            </w:r>
          </w:p>
        </w:tc>
        <w:tc>
          <w:tcPr>
            <w:tcW w:w="12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r>
      <w:tr>
        <w:trPr>
          <w:trHeight w:val="210"/>
        </w:trPr>
        <w:tc>
          <w:tcPr>
            <w:tcW w:w="2820" w:type="dxa"/>
            <w:vAlign w:val="bottom"/>
            <w:tcBorders>
              <w:left w:val="single" w:sz="8" w:color="auto"/>
              <w:bottom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Africa</w:t>
            </w:r>
          </w:p>
        </w:tc>
        <w:tc>
          <w:tcPr>
            <w:tcW w:w="11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4"/>
              </w:rPr>
              <w:t>11%</w:t>
            </w:r>
          </w:p>
        </w:tc>
        <w:tc>
          <w:tcPr>
            <w:tcW w:w="10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5%</w:t>
            </w:r>
          </w:p>
        </w:tc>
        <w:tc>
          <w:tcPr>
            <w:tcW w:w="1260" w:type="dxa"/>
            <w:vAlign w:val="bottom"/>
            <w:tcBorders>
              <w:bottom w:val="single" w:sz="8" w:color="auto"/>
              <w:right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2"/>
              </w:rPr>
              <w:t>4%</w:t>
            </w:r>
          </w:p>
        </w:tc>
      </w:tr>
      <w:tr>
        <w:trPr>
          <w:trHeight w:val="210"/>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Middle East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12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r>
      <w:tr>
        <w:trPr>
          <w:trHeight w:val="210"/>
        </w:trPr>
        <w:tc>
          <w:tcPr>
            <w:tcW w:w="2820" w:type="dxa"/>
            <w:vAlign w:val="bottom"/>
            <w:tcBorders>
              <w:left w:val="single" w:sz="8" w:color="auto"/>
              <w:bottom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South Asia</w:t>
            </w:r>
          </w:p>
        </w:tc>
        <w:tc>
          <w:tcPr>
            <w:tcW w:w="11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4"/>
              </w:rPr>
              <w:t>13%</w:t>
            </w:r>
          </w:p>
        </w:tc>
        <w:tc>
          <w:tcPr>
            <w:tcW w:w="10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-7%</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4"/>
              </w:rPr>
              <w:t>10%</w:t>
            </w:r>
          </w:p>
        </w:tc>
        <w:tc>
          <w:tcPr>
            <w:tcW w:w="1260" w:type="dxa"/>
            <w:vAlign w:val="bottom"/>
            <w:tcBorders>
              <w:bottom w:val="single" w:sz="8" w:color="auto"/>
              <w:right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2"/>
              </w:rPr>
              <w:t>0%</w:t>
            </w:r>
          </w:p>
        </w:tc>
      </w:tr>
      <w:tr>
        <w:trPr>
          <w:trHeight w:val="210"/>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South East Asia</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w:t>
            </w:r>
          </w:p>
        </w:tc>
        <w:tc>
          <w:tcPr>
            <w:tcW w:w="12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r>
      <w:tr>
        <w:trPr>
          <w:trHeight w:val="210"/>
        </w:trPr>
        <w:tc>
          <w:tcPr>
            <w:tcW w:w="2820" w:type="dxa"/>
            <w:vAlign w:val="bottom"/>
            <w:tcBorders>
              <w:left w:val="single" w:sz="8" w:color="auto"/>
              <w:bottom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China</w:t>
            </w:r>
          </w:p>
        </w:tc>
        <w:tc>
          <w:tcPr>
            <w:tcW w:w="11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4"/>
              </w:rPr>
              <w:t>17%</w:t>
            </w:r>
          </w:p>
        </w:tc>
        <w:tc>
          <w:tcPr>
            <w:tcW w:w="10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-4%</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8"/>
              </w:rPr>
              <w:t>11%</w:t>
            </w:r>
          </w:p>
        </w:tc>
        <w:tc>
          <w:tcPr>
            <w:tcW w:w="1260" w:type="dxa"/>
            <w:vAlign w:val="bottom"/>
            <w:tcBorders>
              <w:bottom w:val="single" w:sz="8" w:color="auto"/>
              <w:right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2"/>
              </w:rPr>
              <w:t>5%</w:t>
            </w:r>
          </w:p>
        </w:tc>
      </w:tr>
      <w:tr>
        <w:trPr>
          <w:trHeight w:val="210"/>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Other Asia</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12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r>
      <w:tr>
        <w:trPr>
          <w:trHeight w:val="217"/>
        </w:trPr>
        <w:tc>
          <w:tcPr>
            <w:tcW w:w="2820" w:type="dxa"/>
            <w:vAlign w:val="bottom"/>
            <w:tcBorders>
              <w:left w:val="single" w:sz="8" w:color="auto"/>
              <w:bottom w:val="single" w:sz="8" w:color="auto"/>
              <w:right w:val="single" w:sz="8" w:color="auto"/>
            </w:tcBorders>
            <w:shd w:val="clear" w:color="auto" w:fill="CCCCCC"/>
          </w:tcPr>
          <w:p>
            <w:pPr>
              <w:ind w:left="160"/>
              <w:spacing w:after="0"/>
              <w:rPr>
                <w:sz w:val="20"/>
                <w:szCs w:val="20"/>
                <w:color w:val="auto"/>
              </w:rPr>
            </w:pPr>
            <w:r>
              <w:rPr>
                <w:rFonts w:ascii="Arial" w:cs="Arial" w:eastAsia="Arial" w:hAnsi="Arial"/>
                <w:sz w:val="18"/>
                <w:szCs w:val="18"/>
                <w:b w:val="1"/>
                <w:bCs w:val="1"/>
                <w:color w:val="auto"/>
              </w:rPr>
              <w:t>Oceania</w:t>
            </w:r>
          </w:p>
        </w:tc>
        <w:tc>
          <w:tcPr>
            <w:tcW w:w="11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8%</w:t>
            </w:r>
          </w:p>
        </w:tc>
        <w:tc>
          <w:tcPr>
            <w:tcW w:w="10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-8%</w:t>
            </w:r>
          </w:p>
        </w:tc>
        <w:tc>
          <w:tcPr>
            <w:tcW w:w="114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6%</w:t>
            </w:r>
          </w:p>
        </w:tc>
        <w:tc>
          <w:tcPr>
            <w:tcW w:w="1260" w:type="dxa"/>
            <w:vAlign w:val="bottom"/>
            <w:tcBorders>
              <w:bottom w:val="single" w:sz="8" w:color="auto"/>
              <w:right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2"/>
              </w:rPr>
              <w:t>5%</w:t>
            </w:r>
          </w:p>
        </w:tc>
      </w:tr>
      <w:tr>
        <w:trPr>
          <w:trHeight w:val="216"/>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WORLD</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12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3%</w:t>
            </w:r>
          </w:p>
        </w:tc>
      </w:tr>
      <w:tr>
        <w:trPr>
          <w:trHeight w:val="358"/>
        </w:trPr>
        <w:tc>
          <w:tcPr>
            <w:tcW w:w="2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60</w:t>
            </w:r>
          </w:p>
        </w:tc>
        <w:tc>
          <w:tcPr>
            <w:tcW w:w="126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Traditionally, global container trade has been separated into four different trade groupings: the arterial East-West Trades (“mainlanes”), the non-mainlane East-West trades, North-South trades and intra-regional trades.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mainlane trades are the major East-West routes connecting Asia, North America and Europe. Transpacific (commonly taken to refer to all cargoes moved between Asia and North America, regardless of whether they cross the Pacific or go via the Suez Canal) and Asia-Europe are the largest long-haul container trades. The distances associated with these tradelanes mean that their impact upon vessel demand is disproportionately higher than their absolute size by volume alone would imply; this is the “TEU-mile” effect. Cargoes on the Transpacific and Asia-Europe trades are normally carried on the largest vessels (over 10,000 TEU) since the length and high cargo volumes of these trades, combined with well-developed port infrastructure, allow such vessels to maximize their economies of scale.</w:t>
      </w:r>
    </w:p>
    <w:p>
      <w:pPr>
        <w:spacing w:after="0" w:line="19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Although during the mid-2000s the Asia-Europe and Transpacific trades saw rapid growth, particularly on the stronger Asian export leg, more recently the compound average growth rate for all the mainlane trades fell to 6% over the period 2010-2012, and for 2013 is estimated to be 4%.</w:t>
      </w:r>
    </w:p>
    <w:p>
      <w:pPr>
        <w:spacing w:after="0" w:line="14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The non-mainlane East-West trades are those which link the Middle East and Indian Subcontinent to Asia, Europe and North America. Of these, the most significant is the Westbound Asia-Middle East/Indian Subcontinent trade, which in 2013 is projected to represent nearly 6% of global volumes. While historically these trades have been served by smaller vessels than those deployed on the mainlane trades, the combination of relatively high cargo volumes and good port infrastructure has meant that they can also accommodate vessels over 10,000 TEU.</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North-South trades are those which connect North America, Europe and Asia with Central and South America, Africa and Oceania. North-South trades grew by a compound annual rate of 8% from 2010-2012 and the largest of them—the Southbound Asia-Latin America trade—is projected to total five million TEU in 2013. Vessels serving these trades are typically between 2,900 TEU and 7,600 TEU, in part due to the lower volumes on some tradelanes and in part as a consequence of physical port restrictions preventing significantly larger vessels being deployed on the trade. However, the combination of strong volume growth and improved infrastructure in selected ports has meant that certain services to Latin-America are being upgraded to vessels over 7,600 TEU.</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Intra-regional trades are the largest trade grouping and include the intra-Asian, intra-European and intra-Latin America and Caribbean trades. Of these, the largest is the intra-Asian trade, representing approximately one third of global containerized volumes. Each intra-regional trade is made up of many different sub-trades, which may have very different characteristics. Consequently, intra-regional trades are served by a wide range of vessels, ranging from containerships under 1,000 TEU up to vessels in excess of 5,200 TEU. However, for a majority of the intra-regional sub-trades either low freight volumes, short distances or port restrictions make them most suited to smaller vessels; in some cases only smaller vessels equipped with gear (i.e. those with their own cranes to load and unload containers) are viable.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Chart 3 breaks down estimated global containerized volumes by trade grouping in 2013, while Chart 4 shows estimated annual growth by trade grouping 2008 through 2013.</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Chart 3: Global Container Trade by Trade Grouping, Full Year 2013 Estimated (Based on Data Available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179070</wp:posOffset>
            </wp:positionV>
            <wp:extent cx="4159250" cy="3704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59250"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780"/>
          </w:cols>
          <w:pgMar w:left="240" w:top="459" w:right="8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 4: Annual Container Trade Growth (2013 Estimated Based on Data Available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186690</wp:posOffset>
            </wp:positionV>
            <wp:extent cx="5145405" cy="3112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at December 31, 2013, 5,182 containerships with a nominal capacity totaling 17.5 million TEU were on the water. A further 3.8 million TEU were on order, for delivery through 2016. Growth of the containership fleet (see Chart 5) has been driven by anticipated growth in containerized trade, adjusted for the TEU-mile effect, together with the increasing size of vessels to achieve scale economies. The fleet has expanded by a compound annual rate of a little over 10% over the last 20 years, with nominal capacity increasing by 80% between 2006 and 2013. Growth rates have slowed somewhat since 2009, falling to approximately 9% in 2010 and 2011 and to 6% in 2012 and a little over 5% in 2013. The orderbook-to-fleet ratio peaked at over 60% in 2007. As at December 31, 2013, it was only 22%. In recent years, ordering has been heavily weighted towards larger vessels, and consequently the orderbook, both in absolute terms and as a percentage of the existing fleet, is highest in the segment for vessels over 12,000 TEU (see Chart 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5: Historical Development of the Containership Fleet (2013 Estimated Based on Data Available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45405" cy="3112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 6: Estimated Capacity on Order and Orderbook as a Percentage of the Fleet, by Segment,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186690</wp:posOffset>
            </wp:positionV>
            <wp:extent cx="5171440" cy="3241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7144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pursuit of economies of scale and consequent focus of the orderbook on ever larger units means that, on average, vessels in the smaller size segments of the containership fleet are significantly older than those in the larger size segments (see Chart 7). Approximately 52% of the fleet under 1,300 TEU by capacity is more than ten years old and 14% is at least 20 years old. In contrast, no vessel over 12,000 TEU is more than eight years old; no ship larger than 5,200 TEU is more than 20 years old. The average economic life expectancy of a containership is 30 years.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7: Containership Fleet by Size and Age Bands, Estimated,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248920</wp:posOffset>
            </wp:positionV>
            <wp:extent cx="5137150" cy="3224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3715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line="302" w:lineRule="auto"/>
        <w:rPr>
          <w:sz w:val="20"/>
          <w:szCs w:val="20"/>
          <w:color w:val="auto"/>
        </w:rPr>
      </w:pPr>
      <w:r>
        <w:rPr>
          <w:rFonts w:ascii="Arial" w:cs="Arial" w:eastAsia="Arial" w:hAnsi="Arial"/>
          <w:sz w:val="16"/>
          <w:szCs w:val="16"/>
          <w:color w:val="auto"/>
        </w:rPr>
        <w:t>The size of vessels has increased over time as liner companies seek to reduce unit cost by increasing economies of scale. However, the potential economies associated with deploying larger vessels can only be unlocked if the utilization levels on those vessels (a function of total available cargo volume, market share and service frequency on a particular route) reaches a certain point. Other factors include voyage length (larger vessels tend to be most efficient on longer trades) and physical constraints (ports need to be sufficiently deep and equipped with appropriate shoreside infrastructure to handle larger vessels).</w:t>
      </w:r>
    </w:p>
    <w:p>
      <w:pPr>
        <w:spacing w:after="0" w:line="15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There is considerable overlap in trading patterns for each size segment of the containership fleet (see Chart 8), and these patterns have evolved, and continue to evolve, over time. Since 2008, the tonnage cascade (which refers to the process of the deployment of larger vessels, which displace smaller vessels which, in turn, displace even smaller vessels onto other tradelanes) has accelerated due to the top-heavy orderbook and comparatively weaker recent volume growth on the mainlanes. As at December 31, 2013, 84% of capacity over 7,600 TEU was deployed on mainlane trades.</w:t>
      </w:r>
    </w:p>
    <w:p>
      <w:pPr>
        <w:spacing w:after="0" w:line="15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Deployment for the 5,200-7,600 TEU and 3,900-5,200 TEU fleet segments is evenly split between mainlane trades and non-mainlane East-West and North-South trades (with a small amount of capacity being deployed on intra-regional trades). Non-mainlane East-West and North-South trades provide employment to half of the 2,900-3,900 TEU fleet segment, while vessels below 2,900 TEU are most commonly employed on intra-regional trades.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With the exception of services transiting the Panama Canal (which will be able to accommodate larger vessels beginning approximately 2016) vessel deployment on mainlane trades is not generally subject to vessel size restrictions. However, deployment on non-mainlane trades is often subject to physical constraints such as shallow draft and/or limited shoreside infrastructure. Factors such as these can be compounded by liner companies’ desire not to tie up their larger, strategic vessels in congested or otherwise inefficient ports. Under-developed shoreside infrastructure also creates a requirement for geared vessels with their own cranes to load and unload cargo. Although port development projects tend to loosen these constraints over time, this is offset by the increasing range of ports which can receive containerships as markets continue to emerge. As at December 31, 2013, 14% of the global fleet (by TEU capacity) was geared, while geared tonnage represented only 6% of the orderbook. The simple average age of the geared fleet was 12.3 years.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major ports in the Middle East and Latin America are often able to manage vessels over 5,200 TEU, secondary ports are frequently not able to do so. Infrastructure limitations in the Indian Subcontinent and Africa are yet more pronounced.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8: Containership Deployment by Trade, as at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Five factors significantly mitigate effective supply (which refers to the carrying capacity of the containership fleet as it is deployed and operated):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scrapping, orderbook cancellation (or delay), vessel idling, slow steaming and funding availability.</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2000-2008, only 340,000 TEU of capacity was scrapped in total. In 2009, the market downturn led owners to demolish 400,000 TEU. Scrapping volumes fell to 160,000 TEU in 2010 and 90,000 TEU in 2011, but in 2012 increased to 350,000 TEU and are estimated at 440,000 TEU in 2013. To date, scrapping activity has been confined to vessels below 5,200 TEU.</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Prior to 2008, the cancellation of containership orders was relatively rare, while the delivery of newbuildings after their scheduled delivery date was generally associated with technical issues rather than commercial requirements. However, with the industry downturn from the end of 2008, both slippage and cancellation had a significant impact on reducing and delaying delivery of the containership orderbook. In 2009, 0.6 million TEU of capacity was cancelled, which declined to 0.2 million TEU in 2010 and 40,000 TEU in 2011, but increased to 0.2 million TEU in 2012. Cancellations are estimated to have been 0.2 million TEU in 2013.</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well as increasing cancellations and delaying deliveries, the industry has combatted oversupply by idling vessels. Total idle capacity rose from 70,000 TEU in September 2008 to a peak of over 1.5 million TEU, representing 11% of the global fleet, in October 2009. Idle capacity subsequently fell to 110,000 TEU in mid-2011, before peaking again at 840,000 TEU in December 2012. At December 31, 2013, idle capacity was estimated at 797,000 TEU, or 5% of the global fleet. Idle capacity varies by fleet segment (see Chart 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9: Estimated Idle Fleet Breakdown,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172085</wp:posOffset>
            </wp:positionV>
            <wp:extent cx="5154295" cy="3112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5429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Slow steaming has also been a significant development in restraining effective capacity growth. It was first introduced in 2008, as a response to high fuel prices as the relationship between vessel speed and fuel consumption is non-linear. Slow steaming typically leads to additional vessels being inserted into an existing service, to maintain a given service frequency, while each vessel steams at a lower speed. It is most easily and effectively applied to longer trades and was pioneered on the Asia-Europe trade. In 2007, a standard Asia-Europe service was maintained with eight vessels on an eight week rotation; by the end of 2013 eleven and twelve vessel strings, on eleven or twelve week rotations, had become typical. High bunker prices have also seen slow steaming extended to other long distance, high-volume trades such as the Transpacific, Asia-Latin America and Asia-Middle East trades. While the nominal capacity of the containership fleet expanded by 34% from 2008-2012, adjusting for slow steaming reduced this growth rate to 19%.</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Since late 2008, container shipping has been capital-constrained. This is a product of the retrenchment of shipping banks (particularly those based in Europe) and the decline of the KG environment. This has limited the ordering of new containerships, resulting in the current below-trend orderbook-to-fleet ratio. Alternative capital providers, including private equity, are known to be exploring opportunities within the sector.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Vessel Ordering</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Containership newbuildings are either contracted by a liner company intending to operate the vessel, or by an independent charter-owner planning to charter it to a line. Charter-owners either order vessels with pre-arranged term charters to a liner company (often referred to as a “back-to-back” arrangement) or on a speculative basis, hoping to fix the vessel on the open market once it is delivered. Prior to 2008, charter-owner orders of vessels of over 5,200 TEU tended to be on a back-to-back basis, against term charters of five years or more.</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Since 2008, the ordering of new containerships has been by the liner companies themselves and by relatively few charter-owners with access to capital. Notwithstanding some modest recent speculative ordering, most newbuilding commitments made by charter-owners have been back-to-back with long term charters to established liner operators. Recent ordering activity has tended to be focused on the larger vessel sizes. In 2012, approximately $4.2 billion of containership newbuildings were contracted; in 2007 the figure was almost ten times higher. Orders placed in 2013 are estimated at $16.5 billion.</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weighting of the orderbook towards larger vessels also implies that the near term impact, if any, of the new generation of fuel-efficient “eco-ships” (referring to new designs of vessels which are configured to offer reduced fuel consumption and are able to operate at lower speeds) may be more pronounced in the larger size segments. Furthermore, the contracting of such tonnage by liner companies or, on a back-to-back basis, by charter-owners implies that such vessels are unlikely to be significantly exposed to the spot charter market for some time. With more limited newbuilding activity for smaller vessels, it is expected that those eco-ships that do appear on the spot charter market will earn a premium but will be unlikely to more generally define vessel earnings until they account for a larger proportion of the market. At December 31, 2013, the orderbook for tonnage under 5,200 TEU stood at 6% of existing tonnage, implying a relatively slow rate of fleet replacement.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Containership Leasing</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Fully cellular fleet ownership is split between liner companies and charter owners. Liner companies are logistics service providers. They are responsible for the seaborne transportation of containerized cargo, its handling at load and discharge ports and also often inland transportation between those ports and the container’s origin/destination. While there are more than a hundred liner companies, over 47% of fully cellular capacity is controlled by the top five lines. 87% of capacity is controlled by the top twenty lines.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Liner companies have increasingly disaggregated vessel operation from vessel ownership. In a highly capital intensive industry, chartering vessels allows liner companies to outsource their capital requirements while also giving them a platform to scale operating capacity up and down in line with fluctuations in demand. As at December 31, 2013, 50% of containership capacity deployed by the top 25 lines was chartered in from containership lessors. 48% of the total capacity operated by all liner companies was chartered in. Of the charter owner fleet, 26% is provided by the top five charter-owners and 63% by the top 25. In 1995 it has been reported that only 16% of the liner fleet was chartered in. German charter-owners remain the largest suppliers of chartered tonnage, collectively representing 60% of all chartered capacity as at December 31, 2013 (see Chart 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10: Ownership of Containership Fleet Capacity,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172085</wp:posOffset>
            </wp:positionV>
            <wp:extent cx="3902075" cy="2795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0207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Chart 11 shows the fleet and orderbook of the top 25 liner companies, as well as highlighting the percentage of their capacity which is chartered in.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11: Top 25 Liner Companies,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172085</wp:posOffset>
            </wp:positionV>
            <wp:extent cx="5154295" cy="32670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54295"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the KG system was the principal source of equity for many German owners. The system has been employed as an investment vehicle for high net worth individuals (primarily German) in various asset classes, including shipping assets. In addition to the returns from their investments, investors in ship-oriented KGs also gain various tax benefits (although since 2005 these tax benefits have been reduced). Since 2008 the KG environment for ship investments has been significantly constrained, with limited new capital raised.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12: Top 25 Charter-Owners,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172085</wp:posOffset>
            </wp:positionV>
            <wp:extent cx="5154295" cy="3215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5429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charter-owners are represented throughout the containership fleet, they are particularly prominent in the market for smaller vessels, controlling over half the tonnage in every fleet segment below 5,200 TEU. Overall, the charter owner fleet totaled nearly nine million TEU as at December 31, 2013, of which over five million TEU was composed of vessels under 5,200 TEU.</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13: The Charter Owner Fleet by Vessel Size Segment,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172085</wp:posOffset>
            </wp:positionV>
            <wp:extent cx="4999990" cy="3155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9999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Containership Leasing (Charter)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Liner companies charter vessels in from independent charter-owners. Charters can either be on a time charter or a bareboat basis.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a time charter, with the exception of fuel (which is paid for by the lessee), most operating costs of the vessel, including crewing and provisioning, maintenance and repair, lubricating oils and insurances, are borne by the lessor. The lessor must also cover capital expenditure associated with maintaining the vessel, including that for periodic drydocking. Time charters are broadly analogous to wet leases.</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Under a bareboat charter, all operating expenses (including fuel) are borne by the lessee. The lessee must also typically cover required capital expenditure on the vessel during the lifetime of the lease. Bareboat charters are effectively financing transactions.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Shipping industry bodies, such as the Baltic and International Maritime Council (“BIMCO”), have developed standard contractual forms as the bases for time charter and bareboat charter agreements. These forms have been widely adopted by the industry.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charters tend to be more common than bareboat charters in the containership charter market.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Charter periods can vary in length. The spot market generally refers to charters of 12 months or less. Term charters cover longer fixtures, with periods of 10 years or more not uncommon.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Charter contracts with international liner operators tend to be denominated in United States Dollars.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60"/>
          </w:cols>
          <w:pgMar w:left="24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containership charter market has evolved with the containership fleet, with a liquid charter market only developing for a given vessel size segment once the fleet of vessels on the charter market for that segment reaches a critical mass—from speculative orders, from liner companies selling vessels to charter-owners and from the expiry of initial back-to-back charters. Consequently, the charter market for the smaller sizes of containerships has a longer pedigree than for larger vessels. Today, there is a liquid charter market for vessels up to around 5,200 TEU. Although there are larger ships on the charter market, transaction volumes are currently limited.</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volume of containership charter fixtures varies according to the demand for ships and the average length of charter. Chart 14 shows the evolution of reported containership fixtures. In 2005-2006 the total volume of charter fixtures fell as average charter length increased. Conversely, fixtures in 2012 reached their highest level ever, in part a result of shorter charter periods as well as the larger charter owner fleet.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14: Reported Annual Containership Fixture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171450</wp:posOffset>
            </wp:positionV>
            <wp:extent cx="5145405" cy="3112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the spot, or short term, charter market, rates are driven by the dynamics of supply and demand (see Chart 15), which may differ by fleet segment. From 1998-2008, 6-12 month time charter rates for a theoretical 3,500 TEU gearless containership averaged $23,000/day. However, at the end of 2008 demand for containerships fell along with trade volumes, putting charter rates under pressure. An earnings recovery in 2010 and early 2011 proved short-lived. As at December 31, 2013, prevailing spot market rates for the theoretical 3,500 TEU vessel were somewhat over $7,000/day. Chart 16 shows the evolution of containership time charter rates for selected vessel sizes in the short term (6-12 months) charter market.</w:t>
      </w:r>
    </w:p>
    <w:p>
      <w:pPr>
        <w:spacing w:after="0" w:line="2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Chart 15: Containership Earnings in the Spot Charter Market are Shaped by Supply and Demand Fundamentals (2013 Estimated Based on Data Available as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137150" cy="31216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3715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Containership Spot Market Charter Rate Index in Chart 15 is calculated using weighted average charter rates of vessels from seven different fleet segments, with the weighting assigned according to the relative capacity (in TEU) of those fleet segments in a given year.</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16: Evolution of Containership Time Charter Rates in the Short Term Charter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172085</wp:posOffset>
            </wp:positionV>
            <wp:extent cx="4999990" cy="3147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999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Generally, liner operators are the containership lessees. Operating results for the liners have tended to be cyclical (see Chart 17) and strongly influenced by fluctuations in underlying supply and demand. However, during 2012 and 2013, liners have endeavored, with periodic success, to decouple freight rates from industry fundamentals. This has been through a combination of capacity management and pricing discipline, including the implementation of general rate increases.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 17: Average Quarterly EBITDA Margins for Selected Liner Companies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157595" cy="3232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759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0" w:hanging="452"/>
        <w:spacing w:after="0" w:line="29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Average EBITDA Margins shown in the chart are based on the simple average of EBITDA results published by Maersk Line, Hapag-Lloyd, APL, CSAV, CCNI and RCL, representing a selection of global, East-West, North-South and intra-regional / niche liner operators of varying sizes.</w:t>
      </w:r>
    </w:p>
    <w:p>
      <w:pPr>
        <w:ind w:left="460" w:hanging="452"/>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CMA CGM’s EBITDA margins are shown since the first quarter of 2012, since this information was not publicly available prior to such time.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Prices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Containership newbuilding prices are dictated by the global supply and demand of shipyard capacity, together with the input costs faced by the shipyards themselves (principally steel, labour, equipment and energy). In the years prior to 2008, containership newbuilding prices were very strong, driven up not only by demand from containership owners and operators but also through competition for shipyard berths from other sectors. The shipbuilding industry responded to high demand by increasing supply, with China in particular being a source of significant new capacity.</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After the financial crisis of 2008, demand for the three major ship types (oil tankers, dry bulk carriers and containerships) decreased significantly, and vessel newbuilding prices came under pressure. The newbuilding price has been further undermined by increased productivity at shipyards, which has partially offset rising input costs.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secondhand market for containerships has grown along with the container shipping industry, particularly as charter-owners have increased their share of the fleet, driving an increase in the number of transactions. Secondhand containership sales can either be on a charter-free basis, where the vessel is delivered as is, or with a charter contract attached. The latter is particularly common when liner companies are selling a vessel: charter-owners often find a sale and leaseback structure attractive for the contracted cashflow during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0"/>
          </w:cols>
          <w:pgMar w:left="24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leaseback period, while liner companies take an asset off their balance sheet and release equity. The economics for such a transaction are negotiated as a function of purchase price, charter rate, expected residual value of the vessel and counterparty risk.</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Charter-free containership values between 2003 and 2008 were at elevated levels, driven up by strong earnings and high newbuilding prices. However as the earnings environment deteriorated at the end of 2008, asset values also came under pressure. 2010-11 saw a brief recovery in prices, but the current combination of depressed earnings in the short term charter market and downward pressure on newbuilding prices put asset values under further pressure.</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at December 31, 2013, the newbuilding price for a theoretical 4,400 TEU vessel was $48 million, down from a 2008 peak of almost $77 million. Combined with the poor earnings environment, this has pushed asset values down, with a theoretical fifteen year old 4,400 TEU vessel valued at a little over $11 million, down from over $50 million at the start of 2008 and over 60% below the 10 year historic average of $29 million. The scrap price for such a vessel would be approximately $7 million. Chart 18 below shows the evolution of benchmark prices for a 4,400 TEU vessel.</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 18: 4,400 TEU Vessel Price Benchmarks for Newbuildings, Existing Tonnage (Five Year Old Vessels and 15 Year Old Vessels) and Scrap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80"/>
          </w:cols>
          <w:pgMar w:left="240" w:top="459"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described under “—Contractual Obligations” and Item 11. “Quantitative and Qualitative Disclosure About Market Risk”, we do not have any other transactions, obligations or relationships that could be considered material off-balance sheet arrangements.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Contractual Obligations</w:t>
      </w:r>
    </w:p>
    <w:p>
      <w:pPr>
        <w:spacing w:after="0" w:line="121"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The contractual obligations presented below represent our estimates of future payments under fixed contractual obligations and commitments as at December 31, 2013.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Less</w:t>
            </w: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3-5</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More</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7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than</w:t>
            </w: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than</w:t>
            </w:r>
          </w:p>
        </w:tc>
        <w:tc>
          <w:tcPr>
            <w:tcW w:w="3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1year</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years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5 years</w:t>
            </w: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63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millions of U.S. dollars)</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 obligations, excluding interest(1)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$50.1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$316.3</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Interest on long term debt obligations(1)(2)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obligation under interest rate swaps(3)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Ship management agreements(4)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Mandatorily Redeemable Preferred Shares including interest(5)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354.5</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33.0</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5.2</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Previous Credit Facility was repaid in connection with the Transactions.</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estimated contractual interest obligation has been calculated using an assumed interest rate of 4.25%, which represents estimated USD LIBOR of 0.50% plus a spread of 3.75%, which was the applicable margin under the Previous Credit Facility at least until April 30, 2015. For periods after April 30, 2015, we have assumed an interest rate of 3.50%, representing estimated USD LIBOR of 0.50% plus a reduced margin of 3.00% on the basis that our leverage ratio becomes 75% or less. The Previous Credit Facility contemplated a combination of a margin of 3.50% if the leverage ratio remained above 75%.</w:t>
      </w:r>
    </w:p>
    <w:p>
      <w:pPr>
        <w:spacing w:after="0" w:line="2"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estimated net obligations under our interest rate swaps have been calculated using a USD LIBOR of 0.50%. The interest rate swaps were terminated in connection with the Transactions.</w:t>
      </w:r>
    </w:p>
    <w:p>
      <w:pPr>
        <w:ind w:left="460" w:right="3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the management fee payable for the two month notice period required in connection with a termination under each of our ship management contracts. This amount is based on the annual management fee of $123,000 per vessel. These obligations do not include any amount for the reimbursement of daily operating costs incurred by the Ship Manager on our behalf.</w:t>
      </w:r>
    </w:p>
    <w:p>
      <w:pPr>
        <w:spacing w:after="0" w:line="1" w:lineRule="exact"/>
        <w:rPr>
          <w:rFonts w:ascii="Arial" w:cs="Arial" w:eastAsia="Arial" w:hAnsi="Arial"/>
          <w:sz w:val="18"/>
          <w:szCs w:val="18"/>
          <w:color w:val="auto"/>
        </w:rPr>
      </w:pPr>
    </w:p>
    <w:p>
      <w:pPr>
        <w:ind w:left="460" w:right="20" w:hanging="452"/>
        <w:spacing w:after="0" w:line="323"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Series A preferred shares are mandatorily redeemable at par by quarterly installments of approximately $4.0 million commencing August 31, 2016. The interest obligation has been determined using an all in rate of 2.50% being estimated USD LIBOR of 0.50% plus the contractual margin of 2.00%.</w:t>
      </w:r>
    </w:p>
    <w:p>
      <w:pPr>
        <w:spacing w:after="0" w:line="30" w:lineRule="exact"/>
        <w:rPr>
          <w:rFonts w:ascii="Arial" w:cs="Arial" w:eastAsia="Arial" w:hAnsi="Arial"/>
          <w:sz w:val="16"/>
          <w:szCs w:val="16"/>
          <w:color w:val="auto"/>
        </w:rPr>
      </w:pPr>
    </w:p>
    <w:p>
      <w:pPr>
        <w:ind w:left="460" w:right="420"/>
        <w:spacing w:after="0" w:line="342" w:lineRule="auto"/>
        <w:rPr>
          <w:rFonts w:ascii="Arial" w:cs="Arial" w:eastAsia="Arial" w:hAnsi="Arial"/>
          <w:sz w:val="16"/>
          <w:szCs w:val="16"/>
          <w:color w:val="auto"/>
        </w:rPr>
      </w:pPr>
      <w:r>
        <w:rPr>
          <w:rFonts w:ascii="Arial" w:cs="Arial" w:eastAsia="Arial" w:hAnsi="Arial"/>
          <w:sz w:val="16"/>
          <w:szCs w:val="16"/>
          <w:color w:val="auto"/>
        </w:rPr>
        <w:t>In addition to the scheduled repayments commencing August 31, 2016, the Series A preferred shares provide for mandatory redemptions upon the occurrence of certain events, including the issuance of equity, issuance of unsecured debt, sale of a vessel and a change of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Adjusted Contractual Obligations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contractual obligations as at December 31, 2013 after giving effect to the Transactions.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Less</w:t>
            </w:r>
          </w:p>
        </w:tc>
        <w:tc>
          <w:tcPr>
            <w:tcW w:w="4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1-3</w:t>
            </w:r>
          </w:p>
        </w:tc>
        <w:tc>
          <w:tcPr>
            <w:tcW w:w="300" w:type="dxa"/>
            <w:vAlign w:val="bottom"/>
          </w:tcPr>
          <w:p>
            <w:pPr>
              <w:spacing w:after="0"/>
              <w:rPr>
                <w:sz w:val="14"/>
                <w:szCs w:val="14"/>
                <w:color w:val="auto"/>
              </w:rPr>
            </w:pPr>
          </w:p>
        </w:tc>
        <w:tc>
          <w:tcPr>
            <w:tcW w:w="5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3-5</w:t>
            </w: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More</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than</w:t>
            </w: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than</w:t>
            </w:r>
          </w:p>
        </w:tc>
        <w:tc>
          <w:tcPr>
            <w:tcW w:w="30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years</w:t>
            </w: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5 years</w:t>
            </w: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63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17"/>
              <w:spacing w:after="0" w:line="142" w:lineRule="exact"/>
              <w:rPr>
                <w:sz w:val="20"/>
                <w:szCs w:val="20"/>
                <w:color w:val="auto"/>
              </w:rPr>
            </w:pPr>
            <w:r>
              <w:rPr>
                <w:rFonts w:ascii="Arial" w:cs="Arial" w:eastAsia="Arial" w:hAnsi="Arial"/>
                <w:sz w:val="14"/>
                <w:szCs w:val="14"/>
                <w:b w:val="1"/>
                <w:bCs w:val="1"/>
                <w:color w:val="auto"/>
              </w:rPr>
              <w:t>(in millions of U.S. dollars)</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 obligations, excluding interest(1)</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Interest on long term debt(2)</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43.8</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87.6</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87.6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Ship management agreements(3)</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Mandatorily Redeemable Preferred Shares including interest(4)</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33.0</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45.2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$420.0 million aggregate principal amount of the notes.</w:t>
      </w:r>
    </w:p>
    <w:p>
      <w:pPr>
        <w:spacing w:after="0" w:line="23"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aggregate interest payments on the $420.0 million aggregate principal amount of the notes, as well as commitment fees at 130 basis points for our revolving credit facility. It does not reflect interest payments in respect of borrowings under our revolving credit facility. Assuming the borrowing of all amounts available under our revolving credit facility (based on an assumed USD LIBOR rate of 0.5% for the periods presented), our annualized interest expense would increase by $0.2 million.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0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the management fee payable for two month notice period required in connection with a termination under all of our ship management contracts. This amount is based on the annual management fee of $123,000 per vessel. These obligations do not include any amount for the reimbursement of daily operating costs incurred by the Ship Manager on our behalf.</w:t>
      </w:r>
    </w:p>
    <w:p>
      <w:pPr>
        <w:ind w:left="460" w:hanging="452"/>
        <w:spacing w:after="0" w:line="323"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Series A preferred shares are mandatorily redeemable at par by quarterly installments of approximately $4.0 million commencing August 31, 2016. The interest obligation has been determined using an all in rate of 2.50% being estimated USD LIBOR of 0.50% plus the contractual margin of 2.00%.</w:t>
      </w:r>
    </w:p>
    <w:p>
      <w:pPr>
        <w:spacing w:after="0" w:line="30" w:lineRule="exact"/>
        <w:rPr>
          <w:rFonts w:ascii="Arial" w:cs="Arial" w:eastAsia="Arial" w:hAnsi="Arial"/>
          <w:sz w:val="16"/>
          <w:szCs w:val="16"/>
          <w:color w:val="auto"/>
        </w:rPr>
      </w:pPr>
    </w:p>
    <w:p>
      <w:pPr>
        <w:ind w:left="460" w:right="400"/>
        <w:spacing w:after="0" w:line="342" w:lineRule="auto"/>
        <w:rPr>
          <w:rFonts w:ascii="Arial" w:cs="Arial" w:eastAsia="Arial" w:hAnsi="Arial"/>
          <w:sz w:val="16"/>
          <w:szCs w:val="16"/>
          <w:color w:val="auto"/>
        </w:rPr>
      </w:pPr>
      <w:r>
        <w:rPr>
          <w:rFonts w:ascii="Arial" w:cs="Arial" w:eastAsia="Arial" w:hAnsi="Arial"/>
          <w:sz w:val="16"/>
          <w:szCs w:val="16"/>
          <w:color w:val="auto"/>
        </w:rPr>
        <w:t>In addition to the scheduled repayments commencing August 31, 2016, the Series A preferred shares provide for mandatory redemptions upon the occurrence of certain events, including the issuance of equity, issuance of unsecured debt, sale of a vessel and a change of control.</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2013 are listed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12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60" w:type="dxa"/>
            <w:vAlign w:val="bottom"/>
            <w:tcBorders>
              <w:bottom w:val="single" w:sz="8" w:color="CCEEFF"/>
            </w:tcBorders>
          </w:tcPr>
          <w:p>
            <w:pPr>
              <w:spacing w:after="0"/>
              <w:rPr>
                <w:sz w:val="16"/>
                <w:szCs w:val="16"/>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S. Gross</w:t>
            </w:r>
          </w:p>
        </w:tc>
        <w:tc>
          <w:tcPr>
            <w:tcW w:w="22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Chairman of the Board</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760" w:type="dxa"/>
            <w:vAlign w:val="bottom"/>
            <w:gridSpan w:val="3"/>
          </w:tcPr>
          <w:p>
            <w:pPr>
              <w:jc w:val="right"/>
              <w:ind w:right="300"/>
              <w:spacing w:after="0"/>
              <w:rPr>
                <w:sz w:val="20"/>
                <w:szCs w:val="20"/>
                <w:color w:val="auto"/>
              </w:rPr>
            </w:pPr>
            <w:r>
              <w:rPr>
                <w:rFonts w:ascii="Arial" w:cs="Arial" w:eastAsia="Arial" w:hAnsi="Arial"/>
                <w:sz w:val="18"/>
                <w:szCs w:val="18"/>
                <w:color w:val="auto"/>
              </w:rPr>
              <w:t>69</w:t>
            </w: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760" w:type="dxa"/>
            <w:vAlign w:val="bottom"/>
            <w:gridSpan w:val="3"/>
          </w:tcPr>
          <w:p>
            <w:pPr>
              <w:jc w:val="right"/>
              <w:ind w:right="300"/>
              <w:spacing w:after="0"/>
              <w:rPr>
                <w:sz w:val="20"/>
                <w:szCs w:val="20"/>
                <w:color w:val="auto"/>
              </w:rPr>
            </w:pPr>
            <w:r>
              <w:rPr>
                <w:rFonts w:ascii="Arial" w:cs="Arial" w:eastAsia="Arial" w:hAnsi="Arial"/>
                <w:sz w:val="18"/>
                <w:szCs w:val="18"/>
                <w:color w:val="auto"/>
              </w:rPr>
              <w:t>64</w:t>
            </w: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w:t>
            </w:r>
          </w:p>
        </w:tc>
        <w:tc>
          <w:tcPr>
            <w:tcW w:w="2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Susan J. Cook</w:t>
            </w:r>
          </w:p>
        </w:tc>
        <w:tc>
          <w:tcPr>
            <w:tcW w:w="2760" w:type="dxa"/>
            <w:vAlign w:val="bottom"/>
            <w:gridSpan w:val="3"/>
          </w:tcPr>
          <w:p>
            <w:pPr>
              <w:jc w:val="right"/>
              <w:ind w:right="300"/>
              <w:spacing w:after="0"/>
              <w:rPr>
                <w:sz w:val="20"/>
                <w:szCs w:val="20"/>
                <w:color w:val="auto"/>
              </w:rPr>
            </w:pPr>
            <w:r>
              <w:rPr>
                <w:rFonts w:ascii="Arial" w:cs="Arial" w:eastAsia="Arial" w:hAnsi="Arial"/>
                <w:sz w:val="18"/>
                <w:szCs w:val="18"/>
                <w:color w:val="auto"/>
              </w:rPr>
              <w:t>57</w:t>
            </w:r>
          </w:p>
        </w:tc>
        <w:tc>
          <w:tcPr>
            <w:tcW w:w="5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Lister</w:t>
            </w:r>
          </w:p>
        </w:tc>
        <w:tc>
          <w:tcPr>
            <w:tcW w:w="2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Commercial Officer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Vivek Puri</w:t>
            </w:r>
          </w:p>
        </w:tc>
        <w:tc>
          <w:tcPr>
            <w:tcW w:w="276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516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r>
    </w:tbl>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Michael S. Gross. </w:t>
      </w:r>
      <w:r>
        <w:rPr>
          <w:rFonts w:ascii="Arial" w:cs="Arial" w:eastAsia="Arial" w:hAnsi="Arial"/>
          <w:sz w:val="17"/>
          <w:szCs w:val="17"/>
          <w:color w:val="auto"/>
        </w:rPr>
        <w:t>Mr. Gross has been a director since inception and was appointed Chairman in September 2008. Since December 2010, Mr., Gross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Chairman of the board of directors, Chief Executive Officer and President of Solar Senior Capital Ltd. Since December 2007, Mr. Gross has served as the Chairman and Chief Executive Officer of Solar Capital Ltd, a finance company focusing on debt and equity investments in leveraged companies. From July 2006 through approximately the first quarter 2009, Mr. Gross was a partner in Magnetar Capital Partners LP, the holding company for Magnetar Financial LLC. Mr. Gross was the Chairman, Chief Executive Officer, and Secretary of Marathon Acquisition Corp. from April 2006 to August 2008. Between February 2004 and February 2006, Mr. Gross was the President and Chief Executive Officer of Apollo Investment Corporation (“AIC”), a publicly traded business development company, and was the managing partner of Apollo Investment Management, L.P. (“AIM”), a leading private equity firm which he founded in 1990 and the investment adviser to AIC. From 1990 to February 2006, Mr. Gross was a senior partner at AIM. Mr. Gross currently serves on the board of directors of Jarden Corporation.</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Howard Boyd. </w:t>
      </w:r>
      <w:r>
        <w:rPr>
          <w:rFonts w:ascii="Arial" w:cs="Arial" w:eastAsia="Arial" w:hAnsi="Arial"/>
          <w:sz w:val="17"/>
          <w:szCs w:val="17"/>
          <w:color w:val="auto"/>
        </w:rPr>
        <w:t>Mr. Boyd has been a director since August 2008. In 1996, Mr. Boyd was named chief executive officer of Safmarine, a container liner</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Mr. Frew has been a director since August 2008. He was appointed Secretary General of BIMCO in October 2013. Previously, Mr. Frew was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 the UK Chamber of Shipping since July 2009. Mr. Frew was 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6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our Chief Executive Officer. From 1979 to 1996, Mr. Webber worked for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80"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Susan J. Cook. </w:t>
      </w:r>
      <w:r>
        <w:rPr>
          <w:rFonts w:ascii="Arial" w:cs="Arial" w:eastAsia="Arial" w:hAnsi="Arial"/>
          <w:sz w:val="16"/>
          <w:szCs w:val="16"/>
          <w:color w:val="auto"/>
        </w:rPr>
        <w:t>Upon the completion of the Merger, Ms. Cook became our Chief Financial Officer. From 1986 to 2006, Ms. Cook worked for The Peninsular</w:t>
      </w:r>
      <w:r>
        <w:rPr>
          <w:rFonts w:ascii="Arial" w:cs="Arial" w:eastAsia="Arial" w:hAnsi="Arial"/>
          <w:sz w:val="16"/>
          <w:szCs w:val="16"/>
          <w:b w:val="1"/>
          <w:bCs w:val="1"/>
          <w:color w:val="auto"/>
        </w:rPr>
        <w:t xml:space="preserve"> </w:t>
      </w:r>
      <w:r>
        <w:rPr>
          <w:rFonts w:ascii="Arial" w:cs="Arial" w:eastAsia="Arial" w:hAnsi="Arial"/>
          <w:sz w:val="16"/>
          <w:szCs w:val="16"/>
          <w:color w:val="auto"/>
        </w:rPr>
        <w:t>and 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15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Thomas A. Lister. </w:t>
      </w:r>
      <w:r>
        <w:rPr>
          <w:rFonts w:ascii="Arial" w:cs="Arial" w:eastAsia="Arial" w:hAnsi="Arial"/>
          <w:sz w:val="18"/>
          <w:szCs w:val="18"/>
          <w:color w:val="auto"/>
        </w:rPr>
        <w:t>Upon the completion of the Merger, Mr. Lister became our Chief Commercial Officer. From 2005 until 2007, Mr. Lister was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at DVB Group Merchant Bank (Asia) Ltd, responsible for developing DVB’s Singapore ship fund and leasing project. Before that, from 2004 to 2005, he worked for the German KG financier and ship owning group Nordcapital as Director of Business Development. From 1991 to 2002, Mr. Lister worked for a number of shipping companies in both South America and the U.S. Mr. Lister graduated from Durham University and holds an MBA from INSEAD.</w:t>
      </w:r>
    </w:p>
    <w:p>
      <w:pPr>
        <w:spacing w:after="0" w:line="18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our Chief Technical Officer. Prior to joining us, Mr. Puri was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Global Ship Lease Services Limited, our wholly owned subsidiary, has entered into an employment agreement with Mr. Webber and, pursuant to the terms of an inter-company agreement between us and Global Ship Lease Services Limited, Mr. Webber serves as our Chief Executive Officer. Pursuant to his employment agreement, Mr. Webber receives an annual salary of £298,700 and is eligible to receive a bonus payment up to an annual maximum of 60% of his salary at the discretion of Global Ship Lease Services Limited.</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Global Ship Lease Services Limited has entered into an employment agreement with Ms. Cook and, pursuant to the inter-company agreement, Ms. Cook serves as our Chief Financial Officer. Pursuant to her employment agreement, Ms. Cook receives an annual salary of £170,000 and is eligible to receive a bonus payment up to an annual maximum of 40% of her salary at the discretion of Global Ship Lease Services Limited.</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Global Ship Lease Services Limited has entered into an employment agreement with Mr. Lister and, pursuant to the inter-company agreement, Mr. Lister serves as our Chief Commercial Officer. Pursuant to his employment agreement, Mr. Lister receives an annual salary of £180,250 and is eligible to receive a bonus payment up to an annual maximum of 40% of his salary at the discretion of Global Ship Lease Services Limited.</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Global Ship Lease Services Limited has entered into an employment agreement with Mr. Puri and, pursuant to the inter-company agreement, Mr. Puri serves as our Chief Technical Officer. Pursuant to his employment agreement, Mr. Puri receives an annual salary of £134,000 and is eligible to receive a bonus payment up to an annual maximum of 40% of his salary at the discretion of Global Ship Lease Services Limited.</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Chairman of our board of directors receives an annual fee of $157,500 which for 2013 consisted of $126,000 in cash and a restricted stock grant with a grant date value of $31,500. The restricted stock vested in January 2014. Our other directors receive an annual fee of $105,000, consisting in 2013 of $84,000 in cash and a restricted stock grant with a grant date value of $21,000. The restricted stock vested in January 2014.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adopted the 2008 Equity Incentive Plan (the “Plan”), which entitles our and our subsidiaries’ employees, consultants and directors to receive options, stock appreciation rights, stock grants, stock units and dividend equivalents. The following description of the Plan is a summary of the material terms of the Plan.</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Plan is administered by our board of directors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event that we are subject to a change of control, the Plan administrator in its discretion may make such adjustments and other substitutions to the Plan and outstanding awards under the Plan as it deems equitable or desirable in its sole discretion.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other Class A common shareholders. The Plan administrator may provide a participant who holds stock grants with dividends or dividend equivalents payable in cash, Class A common shares or other property.</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70"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Plan, which were expected to vest over a three-year period. One third of the award vested over 20 business days commencing mid September 2009, one third vested over 20 business days commencing mid September 2010 and one third vested over 20 business days commencing mid September 2011. In November 2008, Mr. Puri was granted 80,000 restricted shares, half of which vested over 20 business days commencing mid September 2009 and half vested over 20 business days commencing mid September 2010. In March 2011, Mr. Puri was granted 15,000 restricted shares which vested over 20 business days commencing mid September 2011. In September 2011, Mr. Webber was granted 55,000 restricted shares, Ms. Cook 34,000 restricted shares, Mr. Lister 34,000 restricted shares and Mr. Puri 27,000 restricted shares, which were expected to vest over a two-year period. One half of the award was expected to vest over 20 business days commencing mid September 2012, and one half over 20 business days commencing mid September 2013. In March 2012, the grants made in September 2011 were amended and restated to provide that vesting would occur only when the individual leaves employment, for whatever reason, provided that this is after September 30, 2012 in respect of half of the grant and September 30, 2013 for the other half of the grant. In March 2012, Mr. Webber was granted 27,500 restricted shares, Ms. Cook 17,000 restricted shares, Mr. Lister 17,000 restricted shares and</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Mr. Puri 13,500 restricted shares, which are expected to vest when the individual leaves employment provided that this is after September 30, 2014 and is not as a result of resignation or termination for cause. No further awards have been made. In March 2013, Mr. Webber was granted 27,500 restricted shares, Ms. Cook 17,000 restricted shares, Mr. Lister 17,000 restricted shares and Mr. Puri 13,500 restricted shares, which are expected to vest when the individual leaves employment provided that this is after September 30, 2014 and is not as a result of resignation or termination for cause. Other than the annual awards of restricted stock units as part of the compensation of our board of directors, no other awards have been made.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Board Practices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of directors is divided into three classes with one class of directors being elected in each year and each class serving a three-year term. The term of office of the first class of directors, consisting of Mr. Morel and Mr. Jeffrey Pribor, expired at the fourth annual meeting of stockholders held in July 2012. They were re-elected to serve until the Annual Meeting to be held in 2015. As of March 8, 2013, Jeffrey Pribor stepped down as a Director of the Company in order to dedicate his time and attention to his new role at Jefferies &amp; Co. as Global Head of Maritime Investment Banking. Following the resignation of Mr. Pribor, the first class of directors consists of Mr. Morel.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term of office of the second class of directors, consisting of Mr. Boyd and Mr. Frew, expired at the second annual meeting of stockholders held in July 2012. They were reelected to serve until the Annual Meeting held in 2013 when they were further reelected to serve until the Annual Meeting to be held in 2016.</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term of office of the third class of directors, consisting of Mr. Gross, expired at the third annual meeting of stockholders held in August 2011. He was reelected to serve until the Annual Meeting to be held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None of our directors have service contracts with us or any of our subsidiaries providing for benefits upon the termination of their employment.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board of directors has determined that Messrs. Gross, Boyd, Frew and Morel are “independent directors” as such term is defined in Rule 10A-3 of the Exchange Act and the rules of the NYSE.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established an Audit Committee, comprised of three members of our board of directors, who, as directed by our written Audit Committee Charter, are responsible for developing and maintaining our systems of internal accounting and financial controls, preparing our financial statements, recommending to the board of directors the engagement of our independent auditors, and pre-approving audit and audit-related services and fees. Our audit committee consists of Messrs. Boyd, Frew and Morel, each of whom is “independent” as defined in Rule 10A-3 of the Exchange Act and the rules of the NYSE. In addition, our board of directors has determined that Mr. Frew is an “audit committee financial expert” as that term is defined under Item 401 of Regulation S-K of the Securities Exchange Act of 1934, as amended.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we have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Frew satisfies the NYSE’s definition of financial sophistication and also qualifies as an “audit committee financial expert,” as defined under rules and regulations of the SEC.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and Gross.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the members of our board and senior executives. It also assesses the adequacy and effectiveness of our corporate governance guidelines, reviewing and recommending changes to the board whenever necessary.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have adopted a code of business conduct and ethics (“Code of Ethics”) that applies to our officers, employees and directors. More information on the Code of Ethics and board committee charters is available on our website (www.globalshiplease.com) and in print to any investor upon request.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52" w:lineRule="exact"/>
        <w:rPr>
          <w:sz w:val="20"/>
          <w:szCs w:val="20"/>
          <w:color w:val="auto"/>
        </w:rPr>
      </w:pPr>
    </w:p>
    <w:p>
      <w:pPr>
        <w:ind w:left="1480" w:right="140" w:hanging="446"/>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75" w:lineRule="exact"/>
        <w:rPr>
          <w:rFonts w:ascii="Arial" w:cs="Arial" w:eastAsia="Arial" w:hAnsi="Arial"/>
          <w:sz w:val="18"/>
          <w:szCs w:val="18"/>
          <w:color w:val="auto"/>
        </w:rPr>
      </w:pPr>
    </w:p>
    <w:p>
      <w:pPr>
        <w:ind w:left="1480" w:right="300" w:hanging="446"/>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lieu of obtaining shareholder approval prior to the adoption of equity compensation plans, the full board of directors approves such adoption.</w:t>
      </w:r>
    </w:p>
    <w:p>
      <w:pPr>
        <w:spacing w:after="0" w:line="274" w:lineRule="exact"/>
        <w:rPr>
          <w:rFonts w:ascii="Arial" w:cs="Arial" w:eastAsia="Arial" w:hAnsi="Arial"/>
          <w:sz w:val="18"/>
          <w:szCs w:val="18"/>
          <w:color w:val="auto"/>
        </w:rPr>
      </w:pPr>
    </w:p>
    <w:p>
      <w:pPr>
        <w:ind w:left="680" w:hanging="216"/>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we had eight employees.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Item 7.A. “Major Shareholders and Related Party Transactions—Major Shareholders” for information regarding beneficial ownership by our directors and executive officers.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Major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March 31, 2014 by:</w:t>
      </w:r>
    </w:p>
    <w:p>
      <w:pPr>
        <w:spacing w:after="0" w:line="131" w:lineRule="exact"/>
        <w:rPr>
          <w:sz w:val="20"/>
          <w:szCs w:val="20"/>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of our common shares shown as beneficially owned, subject to applicable community property laws. As of March 31, 2014, an aggregate of 54,947,440 Class A and Class B common shares were issued and outstanding.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Class A common shares and the Class B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2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 of Beneficial Ownership</w:t>
            </w:r>
          </w:p>
        </w:tc>
        <w:tc>
          <w:tcPr>
            <w:tcW w:w="2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Approximate Percentage of Outstanding</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20"/>
        </w:trPr>
        <w:tc>
          <w:tcPr>
            <w:tcW w:w="262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10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10,737,004</w:t>
            </w:r>
          </w:p>
        </w:tc>
        <w:tc>
          <w:tcPr>
            <w:tcW w:w="160" w:type="dxa"/>
            <w:vAlign w:val="bottom"/>
            <w:vMerge w:val="continue"/>
            <w:shd w:val="clear" w:color="auto" w:fill="CCEEFF"/>
          </w:tcPr>
          <w:p>
            <w:pPr>
              <w:spacing w:after="0"/>
              <w:rPr>
                <w:sz w:val="18"/>
                <w:szCs w:val="18"/>
                <w:color w:val="auto"/>
              </w:rPr>
            </w:pP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Howard Boyd (3)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59,862</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 (3)</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59,862</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Guy Morel (3)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59,862</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 (4)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204,800</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Susan J. Cook (5)</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103,600</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Lister (6)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103,600</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Vivek Puri (7)</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49,400</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All directors and executive officers as a group (8</w:t>
            </w:r>
          </w:p>
        </w:tc>
        <w:tc>
          <w:tcPr>
            <w:tcW w:w="1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11,377,990</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CMA CGM S.A. (8)</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24,412,700</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DePrince, Race &amp; Zollo, Inc (9)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6,401,808</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individuals is c/o Portland House, Stag Place, London SW1E 5RS, United Kingdom.</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Marathon Founders, LLC is the record holder of 6,217,712 Class A and Class B common shares. Marathon Founders, LLC is owned and controlled by Mr. Gross. As a result, Mr. Gross may be deemed to beneficially own the shares held by Marathon Founders, LLC. The business address of Mr. Gross is c/o Marathon Founders, LLC, 500 Park Avenue, New York, New York 10022.</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March 31, 2014, Mr. Webber held 110,000 restricted stock units scheduled to vest after August 30, 2014 which are not included in the table above.</w:t>
      </w:r>
    </w:p>
    <w:p>
      <w:pPr>
        <w:ind w:left="460" w:right="2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Cook serves as our Chief Financial Officer and Secretary. At March 31, 2014, Ms. Cook held 68,000 restricted stock units scheduled to vest after August 30, 2014 which are not included in the table above.</w:t>
      </w:r>
    </w:p>
    <w:p>
      <w:pPr>
        <w:ind w:left="460" w:right="1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Lister serves as our Chief Commercial Officer. At March 31, 2014, Mr. Lister held 68,000 restricted stock units scheduled to vest after August 30, 2014 which are not included in the table above.</w:t>
      </w:r>
    </w:p>
    <w:p>
      <w:pPr>
        <w:ind w:left="460" w:right="18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Puri serves as our Chief Technical Officer. At March 31, 2014, Mr. Puri held 54,000 restricted stock units scheduled to vest after August 30, 2014 which are not included in the table above.</w:t>
      </w:r>
    </w:p>
    <w:p>
      <w:pPr>
        <w:ind w:left="460" w:right="1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CMA CGM S.A.is the record holder of 24,412,700 Class A and Class B common shares. The business address of CMA CGM S.A. is 4, quai d’Arenc, 13235 Marseille Cedex 02, France.</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with the SEC on February 13, 2014</w:t>
      </w:r>
    </w:p>
    <w:p>
      <w:pPr>
        <w:spacing w:after="0" w:line="21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As of March 31, 2014, we had 15 shareholders of record, seven of which were located in the United States and held an aggregate of 31,231,754 of our Class A and Class B common shares, representing 56.8% of our outstanding common shares. However, one of the U.S. shareholders of record is CEDE &amp; CO., a nominee of The Depository Trust Company, which held 24,818,607 of our common shares as of March 31, 2014. We believe that the shares held by CEDE &amp; CO. include common shares beneficially owned by both holders in the United States and non-U.S. beneficial owners. We are not aware of any arrangements the operation of which may at a subsequent date result in our change of control.</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See Item 4.B. “Information on the Company—Business Overview” for a discussion of our commercial transactions and agreements with CMA CGM.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the time of the Merger, we entered into a registration rights agreement with CMA CGM, Marathon Investors, LLC, Marathon Founders, LLC and the other initial stockholders of Marathon common stock (including Michael Gross), pursuant to which we agreed to register for resale on a registration statement under the Securities Act and applicable state securities laws, the common shares issued to such shareholders pursuant to the Merger or upon exercise of warrants.</w:t>
      </w:r>
    </w:p>
    <w:p>
      <w:pPr>
        <w:ind w:right="300"/>
        <w:spacing w:after="0" w:line="287" w:lineRule="auto"/>
        <w:rPr>
          <w:sz w:val="20"/>
          <w:szCs w:val="20"/>
          <w:color w:val="auto"/>
        </w:rPr>
      </w:pPr>
      <w:r>
        <w:rPr>
          <w:rFonts w:ascii="Arial" w:cs="Arial" w:eastAsia="Arial" w:hAnsi="Arial"/>
          <w:sz w:val="16"/>
          <w:szCs w:val="16"/>
          <w:color w:val="auto"/>
        </w:rPr>
        <w:t>CMA CGM has the right to demand up to three registrations and the Marathon initial stockholders will have the right to demand up to two registrations. These shareholders also have the right to request that we file a shelf registration statement with respect to their common shares as soon as the applicable transfer restrictions under the stockholders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 An amendment to the registration rights agreement was agreed on February 11, 2013 in the context of CMA CGM desiring to pledge their holdings of our Class A common shares and Class B common shares as security for a new facility agreement. The amendment provides that if we have received a notice of pledge in respect of these shares, then we may not file a registration statement in respect of them, essentially unless the pledgors agree. We received a notice of pledge on February 11, 2013.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“Financial Statements”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47,513,934 Class A common shares outstanding at December 31, 2013, there were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88"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for that quarter;</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dividend for that quarter;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7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revolving credit facility and the indenture that governs our notes,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paying a dividend on our common shares.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ability to pay dividends may be subject to constraints under our revolving credit facility or the indenture governing our notes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3.D. “Key Information—Risk Factors” for a discussion of the risks associated with our ability to pay dividends.</w:t>
      </w:r>
    </w:p>
    <w:p>
      <w:pPr>
        <w:spacing w:after="0" w:line="16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12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believe that, under current U.S. federal income tax law, some portion of the distributions you receive from us will constitute dividends and, if you are an individual that is a citizen or resident of the U.S. and that meets certain holding period and other requirements, such dividends will be treated as “qualified dividend income” subject to tax at preferential rates. See Item. 10.E. “Additional Information—Taxation—Tax Consequences of Holding Class A Common Shares—Taxation of dividends paid on Class A common shares” for information regarding the eligibility requirements for “qualified dividend income” and for a discussion of proposed legislation that, if enacted, would prevent dividends paid by us from constituting qualified dividend income.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August 15, 2008, our Class A common shares began trading on the NYSE under the symbol “GSL”.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high and low closing sales price of our Class A common shares as reported on the NYSE for the periods shown: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Shares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 w:type="dxa"/>
            <w:vAlign w:val="bottom"/>
          </w:tcPr>
          <w:p>
            <w:pPr>
              <w:spacing w:after="0"/>
              <w:rPr>
                <w:sz w:val="16"/>
                <w:szCs w:val="16"/>
                <w:color w:val="auto"/>
              </w:rPr>
            </w:pPr>
          </w:p>
        </w:tc>
        <w:tc>
          <w:tcPr>
            <w:tcW w:w="574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w:t>
            </w:r>
          </w:p>
        </w:tc>
        <w:tc>
          <w:tcPr>
            <w:tcW w:w="2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6"/>
                <w:szCs w:val="16"/>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December</w:t>
            </w:r>
          </w:p>
        </w:tc>
        <w:tc>
          <w:tcPr>
            <w:tcW w:w="4460" w:type="dxa"/>
            <w:vAlign w:val="bottom"/>
            <w:tcBorders>
              <w:top w:val="single" w:sz="8" w:color="CCEEFF"/>
            </w:tcBorders>
            <w:gridSpan w:val="3"/>
            <w:shd w:val="clear" w:color="auto" w:fill="CCEEFF"/>
          </w:tcPr>
          <w:p>
            <w:pPr>
              <w:jc w:val="right"/>
              <w:ind w:right="2020"/>
              <w:spacing w:after="0"/>
              <w:rPr>
                <w:sz w:val="20"/>
                <w:szCs w:val="20"/>
                <w:color w:val="auto"/>
              </w:rPr>
            </w:pPr>
            <w:r>
              <w:rPr>
                <w:rFonts w:ascii="Arial" w:cs="Arial" w:eastAsia="Arial" w:hAnsi="Arial"/>
                <w:sz w:val="18"/>
                <w:szCs w:val="18"/>
                <w:color w:val="auto"/>
                <w:w w:val="91"/>
              </w:rPr>
              <w:t>31, 2008 (since August 15, 2008)</w:t>
            </w:r>
          </w:p>
        </w:tc>
        <w:tc>
          <w:tcPr>
            <w:tcW w:w="2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$7.64</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December 31, 2009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December 31, 2011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December 31, 2013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40" w:type="dxa"/>
            <w:vAlign w:val="bottom"/>
          </w:tcPr>
          <w:p>
            <w:pPr>
              <w:spacing w:after="0"/>
              <w:rPr>
                <w:sz w:val="24"/>
                <w:szCs w:val="24"/>
                <w:color w:val="auto"/>
              </w:rPr>
            </w:pPr>
          </w:p>
        </w:tc>
        <w:tc>
          <w:tcPr>
            <w:tcW w:w="5740" w:type="dxa"/>
            <w:vAlign w:val="bottom"/>
            <w:gridSpan w:val="5"/>
          </w:tcPr>
          <w:p>
            <w:pPr>
              <w:ind w:left="540"/>
              <w:spacing w:after="0"/>
              <w:rPr>
                <w:sz w:val="20"/>
                <w:szCs w:val="20"/>
                <w:color w:val="auto"/>
              </w:rPr>
            </w:pPr>
            <w:r>
              <w:rPr>
                <w:rFonts w:ascii="Arial" w:cs="Arial" w:eastAsia="Arial" w:hAnsi="Arial"/>
                <w:sz w:val="14"/>
                <w:szCs w:val="14"/>
                <w:b w:val="1"/>
                <w:bCs w:val="1"/>
                <w:color w:val="auto"/>
              </w:rPr>
              <w:t>Quarter Ended</w:t>
            </w:r>
          </w:p>
        </w:tc>
        <w:tc>
          <w:tcPr>
            <w:tcW w:w="2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2012</w:t>
            </w:r>
          </w:p>
        </w:tc>
        <w:tc>
          <w:tcPr>
            <w:tcW w:w="20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w:t>
            </w:r>
          </w:p>
        </w:tc>
        <w:tc>
          <w:tcPr>
            <w:tcW w:w="5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June 30, 2012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December 31, 2012</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2013</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June 30, 2013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December 31, 2013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40" w:type="dxa"/>
            <w:vAlign w:val="bottom"/>
          </w:tcPr>
          <w:p>
            <w:pPr>
              <w:spacing w:after="0"/>
              <w:rPr>
                <w:sz w:val="24"/>
                <w:szCs w:val="24"/>
                <w:color w:val="auto"/>
              </w:rPr>
            </w:pPr>
          </w:p>
        </w:tc>
        <w:tc>
          <w:tcPr>
            <w:tcW w:w="5740" w:type="dxa"/>
            <w:vAlign w:val="bottom"/>
            <w:gridSpan w:val="5"/>
          </w:tcPr>
          <w:p>
            <w:pPr>
              <w:ind w:left="540"/>
              <w:spacing w:after="0"/>
              <w:rPr>
                <w:sz w:val="20"/>
                <w:szCs w:val="20"/>
                <w:color w:val="auto"/>
              </w:rPr>
            </w:pPr>
            <w:r>
              <w:rPr>
                <w:rFonts w:ascii="Arial" w:cs="Arial" w:eastAsia="Arial" w:hAnsi="Arial"/>
                <w:sz w:val="14"/>
                <w:szCs w:val="14"/>
                <w:b w:val="1"/>
                <w:bCs w:val="1"/>
                <w:color w:val="auto"/>
              </w:rPr>
              <w:t>Month Ended</w:t>
            </w:r>
          </w:p>
        </w:tc>
        <w:tc>
          <w:tcPr>
            <w:tcW w:w="2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5"/>
              </w:rPr>
              <w:t>September</w:t>
            </w:r>
          </w:p>
        </w:tc>
        <w:tc>
          <w:tcPr>
            <w:tcW w:w="4340" w:type="dxa"/>
            <w:vAlign w:val="bottom"/>
            <w:tcBorders>
              <w:top w:val="single" w:sz="8" w:color="CCEEFF"/>
            </w:tcBorders>
            <w:gridSpan w:val="2"/>
            <w:shd w:val="clear" w:color="auto" w:fill="CCEEFF"/>
          </w:tcPr>
          <w:p>
            <w:pPr>
              <w:jc w:val="right"/>
              <w:ind w:right="3760"/>
              <w:spacing w:after="0"/>
              <w:rPr>
                <w:sz w:val="20"/>
                <w:szCs w:val="20"/>
                <w:color w:val="auto"/>
              </w:rPr>
            </w:pPr>
            <w:r>
              <w:rPr>
                <w:rFonts w:ascii="Arial" w:cs="Arial" w:eastAsia="Arial" w:hAnsi="Arial"/>
                <w:sz w:val="18"/>
                <w:szCs w:val="18"/>
                <w:color w:val="auto"/>
                <w:w w:val="79"/>
              </w:rPr>
              <w:t>30, 2013</w:t>
            </w:r>
          </w:p>
        </w:tc>
        <w:tc>
          <w:tcPr>
            <w:tcW w:w="20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$5.18</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October 31, 2013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30, 2013</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December 31, 2013</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31,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tcPr>
          <w:p>
            <w:pPr>
              <w:spacing w:after="0"/>
              <w:rPr>
                <w:sz w:val="20"/>
                <w:szCs w:val="20"/>
                <w:color w:val="auto"/>
              </w:rPr>
            </w:pPr>
            <w:r>
              <w:rPr>
                <w:rFonts w:ascii="Arial" w:cs="Arial" w:eastAsia="Arial" w:hAnsi="Arial"/>
                <w:sz w:val="18"/>
                <w:szCs w:val="18"/>
                <w:color w:val="auto"/>
              </w:rPr>
              <w:t>February 28, 2014</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940" w:type="dxa"/>
            <w:vAlign w:val="bottom"/>
            <w:gridSpan w:val="2"/>
          </w:tcPr>
          <w:p>
            <w:pPr>
              <w:jc w:val="center"/>
              <w:ind w:left="430"/>
              <w:spacing w:after="0"/>
              <w:rPr>
                <w:sz w:val="20"/>
                <w:szCs w:val="20"/>
                <w:color w:val="auto"/>
              </w:rPr>
            </w:pPr>
            <w:r>
              <w:rPr>
                <w:rFonts w:ascii="Arial" w:cs="Arial" w:eastAsia="Arial" w:hAnsi="Arial"/>
                <w:sz w:val="18"/>
                <w:szCs w:val="18"/>
                <w:color w:val="auto"/>
                <w:w w:val="93"/>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9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3"/>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8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5740" w:type="dxa"/>
            <w:vAlign w:val="bottom"/>
            <w:gridSpan w:val="5"/>
          </w:tcPr>
          <w:p>
            <w:pPr>
              <w:ind w:left="200"/>
              <w:spacing w:after="0"/>
              <w:rPr>
                <w:sz w:val="20"/>
                <w:szCs w:val="20"/>
                <w:color w:val="auto"/>
              </w:rPr>
            </w:pPr>
            <w:r>
              <w:rPr>
                <w:rFonts w:ascii="Arial" w:cs="Arial" w:eastAsia="Arial" w:hAnsi="Arial"/>
                <w:sz w:val="18"/>
                <w:szCs w:val="18"/>
                <w:b w:val="1"/>
                <w:bCs w:val="1"/>
                <w:color w:val="auto"/>
              </w:rPr>
              <w:t>Additional Information</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Incorporation have previously been filed as Exhibit C to Exhibit 2.1 of Marathon Acquisition Corp.’s Current Report on Form 8-K (File</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Reference is made to Item 4.B. “Information on the Company—Business Overview” for a description of the time charters, the ship management agreements and the global expense agreement, which are incorporated herein by reference. Reference is made to Item 5.B. “Operating and Financial Review and Prospects—Liquidity and Capital Resources—Liquidity, working capital and dividends—Indebtedness” for a description of the credit agreement governing our revolving credit facility and the indenture governing our notes, which are incorporated herein by reference. Reference is made to Item 6.B. “Directors, Senior Management and Employees—Compensation” for a description of employment agreements, which is incorporated herein by reference. Reference is made to Item 7.B. “Major Shareholders and Related Party Transactions—Related Party Transactions” for a description of the registration rights agreement, which is incorporated herein by reference.</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 Taxation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24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12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60" w:lineRule="exact"/>
        <w:rPr>
          <w:sz w:val="20"/>
          <w:szCs w:val="20"/>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taxpayers who hold Class A common shares as part of a straddle, hedge, conversion transaction or other integrated transaction;</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should consult their tax advisors regarding the specific tax consequences to them of the acquisition, holding or disposition of our Class A common shares, in light of their particular circumstances.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foreign corporations not engaged in a U.S. trade or business, the U.S.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includes time charter and bareboat charter income). The U.S. source portion of transportation income includes 50% of the income attributable to voyages that begin or end (but not both) in the U.S.. Generally, no amount of the income from voyages that begin and end outside the U.S. is treated as U.S. source, and consequently none of the transportation income attributable to such voyages is subject to this 4% tax. Although the entire amount of transportation income from voyages that begin and end in the U.S. would be U.S. source, we do not expect to have any transportation income from voyages that begin and end in the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do not expect to engage in any activities in the U.S. or otherwise have a fixed place of business in the U.S. Nonetheless, if this situation were to change or we were to be treated as engaged in a U.S. trade or business, all or a portion of our taxable income, including gain from the sale of vessels, could be treated as effectively connected with the conduct of this U.S.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52" w:lineRule="exact"/>
        <w:rPr>
          <w:sz w:val="20"/>
          <w:szCs w:val="20"/>
          <w:color w:val="auto"/>
        </w:rPr>
      </w:pPr>
    </w:p>
    <w:p>
      <w:pPr>
        <w:ind w:left="1480" w:right="120" w:hanging="446"/>
        <w:spacing w:after="0" w:line="277"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organized in a jurisdiction outside the U.S. that grants an equivalent exemption from tax to corporations organized in the U.S., which we call an Equivalent Exemption;</w:t>
      </w:r>
    </w:p>
    <w:p>
      <w:pPr>
        <w:spacing w:after="0" w:line="75" w:lineRule="exact"/>
        <w:rPr>
          <w:rFonts w:ascii="Arial" w:cs="Arial" w:eastAsia="Arial" w:hAnsi="Arial"/>
          <w:sz w:val="18"/>
          <w:szCs w:val="18"/>
          <w:color w:val="auto"/>
        </w:rPr>
      </w:pPr>
    </w:p>
    <w:p>
      <w:pPr>
        <w:ind w:left="1480" w:right="580" w:hanging="446"/>
        <w:spacing w:after="0" w:line="308" w:lineRule="auto"/>
        <w:tabs>
          <w:tab w:leader="none" w:pos="1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satisfy one of the following three ownership tests (discussed in more detail below): (1) the more than 50% ownership test, or 50% Ownership Test, (2) the controlled foreign corporation test, or CFC Test or (3) the “Publicly Traded Test”; and</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U.S. income tax returns).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organized under the laws of the Marshall Islands. Each of the vessels in the fleet is owned by a separate wholly owned subsidiary organized either in the Marshall Islands or Cyprus. The U.S. Treasury Department recognizes both the Marshall Islands and Cyprus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order to satisfy the 50% Ownership Test, a non-U.S.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U.S., that grant an Equivalent Exemption, (2) non-U.S. corporations that meet the Publicly Traded Test of the Section 883 Regulations and are organized in countries that grant an Equivalent Exemption, or</w:t>
      </w:r>
    </w:p>
    <w:p>
      <w:pPr>
        <w:spacing w:after="0" w:line="2" w:lineRule="exact"/>
        <w:rPr>
          <w:sz w:val="20"/>
          <w:szCs w:val="20"/>
          <w:color w:val="auto"/>
        </w:rPr>
      </w:pPr>
    </w:p>
    <w:p>
      <w:pPr>
        <w:ind w:right="680" w:firstLine="8"/>
        <w:spacing w:after="0" w:line="261"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foreign governments, non-profit organizations, and certain beneficiaries of foreign pension funds. A corporation claiming the Section 883 exemption based on the 50%</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may not currently be able to satisfy the 50% Ownership Test due to our lack of knowledge of the direct and indirect owners of entities which own our Class A common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CFC Test requires that the non-U.S.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Publicly Traded Test requires that one or more classes of equity representing more than 50% of the voting power and value in a non-U.S. corporation be “primarily and regularly traded” on an established securities market either in the U.S. or in a foreign country that grants an Equivalent Exemption.</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U.S. Moreover, the Class A common shares represent more than 50% of both the voting power and value of all classes of our shares.</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6</w:t>
      </w:r>
      <w:r>
        <w:rPr>
          <w:rFonts w:ascii="Arial" w:cs="Arial" w:eastAsia="Arial" w:hAnsi="Arial"/>
          <w:sz w:val="17"/>
          <w:szCs w:val="17"/>
          <w:color w:val="auto"/>
        </w:rPr>
        <w:t xml:space="preserve">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Based on information that we have as to our shareholders and other matters, we believed that we qualified for the Section 883 exemption for 2013 under the Publicly Traded Test, and expect to so qualify for 2014. However, it is possible that our ownership may change such that qualified shareholders will not own, in the aggregate, a sufficient amount of our stock for more than half the days during the taxable year to preclude the non-qualifying 5% shareholders from owning 50% or more of the total value of our stock held by the 5% Shareholders group, causing the 5% Override Rule to apply. If the 5% Override Rule applies, we would fail the Publicly Traded Test, and may fail to qualify for the Section 883 exemption.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an ownership change, and certain other requirements for our stock to be treated as primarily and regularly traded on an established securities market, are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we were not to qualify for the Section 883 exemption in any year, the U.S.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has never been, engaged in a U.S. trade or business. Under certain circumstances, if we are so engaged, gain on sale of vessels could be subject to U.S. federal income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11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5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131" w:lineRule="exact"/>
        <w:rPr>
          <w:sz w:val="20"/>
          <w:szCs w:val="20"/>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U.S., any state thereof or the District of Columbia;</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480" w:right="400" w:hanging="446"/>
        <w:spacing w:after="0" w:line="264"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U.S. holder meets certain holding period and other requirements and we are not a PFIC in the taxable year in which the dividends are paid or in the immediately preceding taxable year. For dividends paid in taxable years beginning on or after January 1, 2013, the maximum rate is 20%. Special rules may apply to any “extraordinary dividend” paid by us. An extraordinary dividend is, generally, a dividend with respect to a share if the amount of the dividend is equal to or in excess of 10 percent of a shareholder’s adjusted basis (or fair market value in certain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circumstances) in such share.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tax on net investment income</w:t>
      </w:r>
    </w:p>
    <w:p>
      <w:pPr>
        <w:spacing w:after="0" w:line="117"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which constitute dividends and gain upon a sale, exchange or other disposition of our Class A common shares. This tax is in addition to any income taxes due on such investment income.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Subsequently, the IRS has stated that it disagrees with and will not acquiesce to the rental versus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services distinction in the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decision, and in its discussion stated that the time charters at issue in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would be treated as producing services income for PFIC purposes. The IRS’s statement with respect to </w:t>
      </w:r>
      <w:r>
        <w:rPr>
          <w:rFonts w:ascii="Arial" w:cs="Arial" w:eastAsia="Arial" w:hAnsi="Arial"/>
          <w:sz w:val="18"/>
          <w:szCs w:val="18"/>
          <w:i w:val="1"/>
          <w:iCs w:val="1"/>
          <w:color w:val="auto"/>
        </w:rPr>
        <w:t>Tidewater</w:t>
      </w:r>
      <w:r>
        <w:rPr>
          <w:rFonts w:ascii="Arial" w:cs="Arial" w:eastAsia="Arial" w:hAnsi="Arial"/>
          <w:sz w:val="18"/>
          <w:szCs w:val="18"/>
          <w:color w:val="auto"/>
        </w:rPr>
        <w:t xml:space="preserve"> cannot be relied upon or otherwise cited as precedent by taxpayers. Consequently, no assurance can be given that the IRS or a court of law would accept our position, and there is a risk that the IRS or a court of law could determine that the company is a PFIC.</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we were to be classified as a PFIC in any year, each U.S. holder of our Class A common shares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60" w:lineRule="exact"/>
        <w:rPr>
          <w:sz w:val="20"/>
          <w:szCs w:val="20"/>
          <w:color w:val="auto"/>
        </w:rPr>
      </w:pPr>
    </w:p>
    <w:p>
      <w:pPr>
        <w:ind w:left="1480" w:hanging="446"/>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75" w:lineRule="exact"/>
        <w:rPr>
          <w:rFonts w:ascii="Arial" w:cs="Arial" w:eastAsia="Arial" w:hAnsi="Arial"/>
          <w:sz w:val="18"/>
          <w:szCs w:val="18"/>
          <w:color w:val="auto"/>
        </w:rPr>
      </w:pPr>
    </w:p>
    <w:p>
      <w:pPr>
        <w:ind w:left="1480" w:right="60" w:hanging="446"/>
        <w:spacing w:after="0" w:line="286" w:lineRule="auto"/>
        <w:tabs>
          <w:tab w:leader="none" w:pos="1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each U.S. holder of our Class A common shares will be required to file an IRS Form 8621 if such U.S. holder holds its shares in any year in which we were classified as a PFIC.</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order to avoid the application of the PFIC rules,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preferential rates of tax on qualified dividends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Additionally, if we are treated as a CFC, gains realized by a U.S. 10% Holder on the sale or other disposition of Class A common shares may be treated as dividend income to the extent of our certain accumulated earnings and profits. Moreover, for taxable years of a U.S. 10% Holder in which we are a CFC, and our taxable years that end with or within such taxable years of such U.S. 10% Holders, we generally will not be treated as a PFIC with respect to Class A common shares held by such U.S. 10% Holder (but may be treated as a PFIC with respect to other U.S. holders).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U.S. trade or business.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are treated as a U.S. corporation pursuant to Section 7874 of the Code, non-U.S. holders generally will be subject to withholding tax at a rate of 30% on all dividends paid by us, unless a reduced rate of tax is available under a tax treaty.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are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 Statements by Experts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are exposed to the impact of interest rate changes primarily through our floating-rate borrowings under our revolving credit facility and our $45 million preferred shares. Significant increases in interest rates could adversely affect our results of operations and our ability to service our own debt. Details of the expected maturity of our borrowings are presented in Item 5.F. “Operating and Financial Review and Prospects—Contractual Obligations”.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borrowings under the revolving credit facility together with the preferred shares and ignoring cash on deposit as of March 31, 2014, a hypothetical 1% increase in LIBOR would have the impact of reducing our net income, before income taxes, by approximately $0.5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global expense agreement, under certain predefined circumstances, we will be able to recover a portion of our vessel operating costs above a pre-set threshold.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80"/>
          </w:cols>
          <w:pgMar w:left="240" w:top="459" w:right="27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2013, the end of the period covered by this report,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0" w:lineRule="exact"/>
        <w:rPr>
          <w:sz w:val="20"/>
          <w:szCs w:val="20"/>
          <w:color w:val="auto"/>
        </w:rPr>
      </w:pPr>
    </w:p>
    <w:p>
      <w:pPr>
        <w:ind w:left="1480" w:hanging="446"/>
        <w:spacing w:after="0"/>
        <w:tabs>
          <w:tab w:leader="none" w:pos="14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53" w:lineRule="exact"/>
        <w:rPr>
          <w:rFonts w:ascii="Arial" w:cs="Arial" w:eastAsia="Arial" w:hAnsi="Arial"/>
          <w:sz w:val="16"/>
          <w:szCs w:val="16"/>
          <w:color w:val="auto"/>
        </w:rPr>
      </w:pPr>
    </w:p>
    <w:p>
      <w:pPr>
        <w:ind w:left="1480" w:hanging="446"/>
        <w:spacing w:after="0" w:line="264"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Management evaluated the effectiveness of our internal control over financial reporting as of December 31, 2013 using the framework Internal Control— Integrated Framework (1992) issued by the Treadway Commission’s Committee of Sponsoring Organizations (1992). Based on the foregoing, management has concluded that internal control over financial reporting was effective as of December 31, 2013.</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effectiveness of our internal controls over financial reporting as of December 31, 2013 has been audited by PricewaterhouseCoopers Audit, France, the independent registered public accounting firm that audited our December 31, 2013 consolidated financial statements, as stated in their report which is included 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year ended December 31, 2013 there were no changes with regard to internal control over financial reporting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has determined that director and member of the Audit Committee, Angus Frew, qualifies as an audit committee financial expert and is independent under applicable NYSE and SEC standards.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2013 and 2012 was PricewaterhouseCoopers Audit, France, an independent registered public accounting firm.</w:t>
      </w:r>
    </w:p>
    <w:p>
      <w:pPr>
        <w:spacing w:after="0" w:line="329" w:lineRule="exact"/>
        <w:rPr>
          <w:sz w:val="20"/>
          <w:szCs w:val="20"/>
          <w:color w:val="auto"/>
        </w:rPr>
      </w:pPr>
    </w:p>
    <w:p>
      <w:pPr>
        <w:ind w:right="5140"/>
        <w:spacing w:after="0" w:line="488" w:lineRule="auto"/>
        <w:rPr>
          <w:sz w:val="20"/>
          <w:szCs w:val="20"/>
          <w:color w:val="auto"/>
        </w:rPr>
      </w:pPr>
      <w:r>
        <w:rPr>
          <w:rFonts w:ascii="Arial" w:cs="Arial" w:eastAsia="Arial" w:hAnsi="Arial"/>
          <w:sz w:val="16"/>
          <w:szCs w:val="16"/>
          <w:b w:val="1"/>
          <w:bCs w:val="1"/>
          <w:color w:val="auto"/>
        </w:rPr>
        <w:t xml:space="preserve">Fees Incurred by Global Ship Lease for PricewaterhouseCoopers Audit’s Services </w:t>
      </w:r>
      <w:r>
        <w:rPr>
          <w:rFonts w:ascii="Arial" w:cs="Arial" w:eastAsia="Arial" w:hAnsi="Arial"/>
          <w:sz w:val="16"/>
          <w:szCs w:val="16"/>
          <w:color w:val="auto"/>
        </w:rPr>
        <w:t>In 2013 and 2012 the fees for services rendered by the auditors were as follows:</w:t>
      </w: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$318,400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$325,400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Audit-Related Fees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4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504,775</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348,700</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2013 and 2012 are primarily for tax consultation services.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20"/>
        <w:spacing w:after="0" w:line="407" w:lineRule="auto"/>
        <w:rPr>
          <w:sz w:val="20"/>
          <w:szCs w:val="20"/>
          <w:color w:val="auto"/>
        </w:rPr>
      </w:pPr>
      <w:r>
        <w:rPr>
          <w:rFonts w:ascii="Arial" w:cs="Arial" w:eastAsia="Arial" w:hAnsi="Arial"/>
          <w:sz w:val="18"/>
          <w:szCs w:val="18"/>
          <w:b w:val="1"/>
          <w:bCs w:val="1"/>
          <w:color w:val="auto"/>
        </w:rPr>
        <w:t xml:space="preserve">Item 16.D. Exemptions from the Listing Standards for Audit Committees </w:t>
      </w:r>
      <w:r>
        <w:rPr>
          <w:rFonts w:ascii="Arial" w:cs="Arial" w:eastAsia="Arial" w:hAnsi="Arial"/>
          <w:sz w:val="18"/>
          <w:szCs w:val="18"/>
          <w:color w:val="auto"/>
        </w:rPr>
        <w:t>Not applicable.</w:t>
      </w:r>
    </w:p>
    <w:p>
      <w:pPr>
        <w:spacing w:after="0" w:line="203" w:lineRule="exact"/>
        <w:rPr>
          <w:sz w:val="20"/>
          <w:szCs w:val="20"/>
          <w:color w:val="auto"/>
        </w:rPr>
      </w:pPr>
    </w:p>
    <w:p>
      <w:pPr>
        <w:ind w:right="4800"/>
        <w:spacing w:after="0" w:line="407"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131" w:lineRule="exact"/>
        <w:rPr>
          <w:sz w:val="20"/>
          <w:szCs w:val="20"/>
          <w:color w:val="auto"/>
        </w:rPr>
      </w:pPr>
    </w:p>
    <w:p>
      <w:pPr>
        <w:ind w:left="1480" w:right="60" w:hanging="446"/>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75" w:lineRule="exact"/>
        <w:rPr>
          <w:rFonts w:ascii="Arial" w:cs="Arial" w:eastAsia="Arial" w:hAnsi="Arial"/>
          <w:sz w:val="18"/>
          <w:szCs w:val="18"/>
          <w:color w:val="auto"/>
        </w:rPr>
      </w:pPr>
    </w:p>
    <w:p>
      <w:pPr>
        <w:ind w:left="1480" w:right="220" w:hanging="446"/>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lieu of obtaining shareholder approval prior to the adoption of equity compensation plans, the full board of directors approves such adoption.</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300" w:type="dxa"/>
            <w:vAlign w:val="bottom"/>
            <w:gridSpan w:val="7"/>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020" w:type="dxa"/>
            <w:vAlign w:val="bottom"/>
            <w:gridSpan w:val="8"/>
          </w:tcPr>
          <w:p>
            <w:pPr>
              <w:spacing w:after="0"/>
              <w:rPr>
                <w:sz w:val="20"/>
                <w:szCs w:val="20"/>
                <w:color w:val="auto"/>
              </w:rPr>
            </w:pPr>
            <w:r>
              <w:rPr>
                <w:rFonts w:ascii="Arial" w:cs="Arial" w:eastAsia="Arial" w:hAnsi="Arial"/>
                <w:sz w:val="18"/>
                <w:szCs w:val="18"/>
                <w:color w:val="auto"/>
                <w:w w:val="98"/>
              </w:rPr>
              <w:t>The following financial statements, together with the report of PricewaterhouseCoopers Audit thereon, are filed as part of this Annual Report: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20" w:type="dxa"/>
            <w:vAlign w:val="bottom"/>
            <w:gridSpan w:val="8"/>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20" w:type="dxa"/>
            <w:vAlign w:val="bottom"/>
            <w:gridSpan w:val="8"/>
          </w:tcPr>
          <w:p>
            <w:pPr>
              <w:ind w:left="360"/>
              <w:spacing w:after="0"/>
              <w:rPr>
                <w:sz w:val="20"/>
                <w:szCs w:val="20"/>
                <w:color w:val="auto"/>
              </w:rPr>
            </w:pPr>
            <w:r>
              <w:rPr>
                <w:rFonts w:ascii="Arial" w:cs="Arial" w:eastAsia="Arial" w:hAnsi="Arial"/>
                <w:sz w:val="18"/>
                <w:szCs w:val="18"/>
                <w:i w:val="1"/>
                <w:iCs w:val="1"/>
                <w:color w:val="auto"/>
              </w:rPr>
              <w:t>Audited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10300" w:type="dxa"/>
            <w:vAlign w:val="bottom"/>
            <w:gridSpan w:val="7"/>
          </w:tcPr>
          <w:p>
            <w:pPr>
              <w:spacing w:after="0" w:line="190" w:lineRule="exact"/>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Consolidated Balance Sheets as at December 31, 2013 and 2012</w:t>
              </w:r>
            </w:hyperlink>
          </w:p>
        </w:tc>
        <w:tc>
          <w:tcPr>
            <w:tcW w:w="56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300" w:type="dxa"/>
            <w:vAlign w:val="bottom"/>
            <w:gridSpan w:val="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Income for the years ended December 31, 2013, 2012 and 2011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Consolidated Statements of Cash Flows for the years ended December 31, 2013, 2012 and 2011</w:t>
              </w:r>
            </w:hyperlink>
          </w:p>
        </w:tc>
        <w:tc>
          <w:tcPr>
            <w:tcW w:w="33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300" w:type="dxa"/>
            <w:vAlign w:val="bottom"/>
            <w:gridSpan w:val="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Consolidated Statements of Stockholders’ Equity for the years ended December 31, 2013, 2012 and 2011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Notes to the Consolidated Financial Statements</w:t>
              </w:r>
            </w:hyperlink>
          </w:p>
        </w:tc>
        <w:tc>
          <w:tcPr>
            <w:tcW w:w="2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3420" w:type="dxa"/>
            <w:vAlign w:val="bottom"/>
            <w:tcBorders>
              <w:top w:val="single" w:sz="8" w:color="0000EE"/>
            </w:tcBorders>
          </w:tcPr>
          <w:p>
            <w:pPr>
              <w:spacing w:after="0"/>
              <w:rPr>
                <w:sz w:val="24"/>
                <w:szCs w:val="24"/>
                <w:color w:val="auto"/>
              </w:rPr>
            </w:pPr>
          </w:p>
        </w:tc>
        <w:tc>
          <w:tcPr>
            <w:tcW w:w="3180" w:type="dxa"/>
            <w:vAlign w:val="bottom"/>
            <w:gridSpan w:val="3"/>
          </w:tcPr>
          <w:p>
            <w:pPr>
              <w:jc w:val="right"/>
              <w:ind w:right="148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14"/>
                <w:szCs w:val="14"/>
                <w:color w:val="auto"/>
              </w:rPr>
            </w:pPr>
          </w:p>
        </w:tc>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ind w:left="100"/>
              <w:spacing w:after="0"/>
              <w:rPr>
                <w:sz w:val="20"/>
                <w:szCs w:val="20"/>
                <w:color w:val="auto"/>
              </w:rPr>
            </w:pPr>
            <w:r>
              <w:rPr>
                <w:rFonts w:ascii="Arial" w:cs="Arial" w:eastAsia="Arial" w:hAnsi="Arial"/>
                <w:sz w:val="18"/>
                <w:szCs w:val="18"/>
                <w:color w:val="auto"/>
              </w:rPr>
              <w:t>1.1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8"/>
              </w:rPr>
              <w:t>Amended and Restated Articles of Incorporation of GSL Holdings, Inc. (incorporated by reference to Exhibit C to Exhibit 2.1 Marathon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1.2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6"/>
              </w:rPr>
              <w:t>Amended and Restated By-laws of GSL Holdings, Inc. (incorporated by reference to Exhibit 3.2 of Global Ship Lease, Inc.’s Registration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Statement on Form F-4 (File No. 333-150309) filed on April 18,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2.1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Specimen Class A common share certificate (incorporated by reference to Exhibit 4.2 of Global Ship Lease, Inc.’s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Form F-1 (File No. 333-153448) filed on September 12,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Agreement and Plan of Merger by and among Marathon Acquisition Corp., GSL Holdings, Inc., Global Ship Lease, Inc. and CMA CGM S.A.,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dated as of March 21, 2008 (incorporated by reference to Exhibit 2.1 of Marathon Acquisition Corp.’s Current Report on Form 8-K (File No.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001-32983) filed on March 25,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Amendment, dated as of June 2, 2008, to Agreement and Plan of Merger, dated as of March 21, 2008, among Marathon Acquisition Corp., GSL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Holdings, Inc., CMA CGM S.A. and Global Ship Lease, Inc. (incorporated by reference to Exhibit 2.1 of Marathon Acquisition Corp.’s Current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Report on Form 8-K (File No. 001-32983) filed on June 3,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Second Amendment, dated as of July 3, 2008, to Agreement and Plan of Merger, dated as of March 21, 2008, among Marathon Acquisition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Corp., GSL Holdings, Inc., CMA CGM S.A. and Global Ship Lease, Inc., as amended (incorporated by reference to Exhibit 2.1 of Marathon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Form of Registration Rights Agreement between GSL Holdings, Inc., Marathon Founders, LLC, Marathon Investors, LLC, the insiders listed 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7"/>
              </w:rPr>
              <w:t>the signature page thereto and CMA CGM S.A. (incorporated by reference to Exhibit A-1 to Exhibit 2.1 of Marathon Acquisition Corp.’s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Current Report on Form 8-K (File No. 001-32983) filed on July 24,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First Amendment to Registration Rights Agreement, dated as of February 11,2013, among Global Ship Lease, Inc. (formerly GSL Holdings,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6"/>
              </w:rPr>
              <w:t>Inc.) and CMA CGM S.A. (incorporated by reference to Exhibit 1 of Global Ship Lease, Inc.’s Current Report on Form 6-K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34153) filed on February 28, 2013).</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7"/>
              </w:rPr>
              <w:t>Form Indemnification Agreement between Marathon Acquisition Corp. and each of its directors and executive officers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reference to Exhibit 10.6 of Amendment No. 2 to Marathon Acquisition Corp.’s Registration Statement on Form S-1 (File No. 333-134078)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on August 1, 2006).</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Form F-4 (File No. 333-150309) filed on April 18,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6"/>
              </w:rPr>
              <w:t>Indenture, dated as of March 19, 2014, among Global Ship Lease, Inc., the guarantors party thereto and Deutsche Bank Trust Company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Americas, as trustee and as security agent (incorporated by reference to Exhibit 99.1 of Global Ship Lease, Inc.’s Current Report on Form 6-K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(File No. 001-34153) filed on March 21, 2014).</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Form of notes (included in Exhibit 4.8) (incorporated by reference to Exhibit 99.1 of Global Ship Lease, Inc.’s Current Report on Form 6-K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No. 001-34153) filed on March 21, 2014).</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4.10</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Form of Second Amended and Restated Asset Purchase Agreement among Global Ship Lease, Inc. and CMA CGM S.A., Delmas S.A.S., Pacific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I S.N.C. and Pacific II S.N.C. (incorporated by reference to Exhibit A-2 to Exhibit 2.1 of Marathon Acquisition Corp’s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8-K (File No. 001-32983) filed on March 25,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Credit Facility, dated as of December 10, 2007, among the Companies Listed In Part 1 of Schedule 1 thereto, Global Ship Lease, Inc., Fortis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Bank (Nederland) N.V., Citigroup Global Markets Limited, HSH Nordbank AG, DNB Nor Bank ASA, Sumitomo Mitsui Banking Corporation,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Brussels Branch (incorporated by reference to Exhibit 10.9 of Amendment No. 3 to Global Ship Lease, Inc.’s Registration Statement on Form F-</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1 (File No. 333-147070) filed on November 13,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020" w:type="dxa"/>
            <w:vAlign w:val="bottom"/>
            <w:gridSpan w:val="2"/>
          </w:tcPr>
          <w:p>
            <w:pPr>
              <w:ind w:left="5060"/>
              <w:spacing w:after="0"/>
              <w:rPr>
                <w:sz w:val="20"/>
                <w:szCs w:val="20"/>
                <w:color w:val="auto"/>
              </w:rPr>
            </w:pPr>
            <w:r>
              <w:rPr>
                <w:rFonts w:ascii="Arial" w:cs="Arial" w:eastAsia="Arial" w:hAnsi="Arial"/>
                <w:sz w:val="18"/>
                <w:szCs w:val="18"/>
                <w:color w:val="auto"/>
              </w:rPr>
              <w:t>102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88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ind w:left="100"/>
              <w:spacing w:after="0"/>
              <w:rPr>
                <w:sz w:val="20"/>
                <w:szCs w:val="20"/>
                <w:color w:val="auto"/>
              </w:rPr>
            </w:pPr>
            <w:r>
              <w:rPr>
                <w:rFonts w:ascii="Arial" w:cs="Arial" w:eastAsia="Arial" w:hAnsi="Arial"/>
                <w:sz w:val="18"/>
                <w:szCs w:val="18"/>
                <w:color w:val="auto"/>
              </w:rPr>
              <w:t>4.12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Addendum No. 1 to Credit Facility, dated December 10, 2007, among the Companies Listed In Part 1 of Schedule 1 thereto, Global Ship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Lease, Inc., Fortis Bank (Nederland) N.V., Citigroup Global Markets Limited, HSH Nordbank AG, DNB Nor Bank ASA, Sumitomo Mitsui</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Banking Corporation, Brussels Branch (incorporated by reference to Exhibit 10.10 of Global Ship Lease, Inc.’s Registration Statement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Form F-4 (File No. 333-150309) filed on April 18,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4.13</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Addendum No. 2 to Credit Facility, dated February 2009, among the Companies Listed In Part 1 of Schedule 1 thereto, Global Ship Lease,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Inc., 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Corporation, Brussels Branch, (incorporated by reference to Exhibit II of Global Ship Lease, Inc.’s Current Report on Form 6-K (File No. 001-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341539) filed on February 10, 2009).</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4.14</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Amendment and Restatement Agreement to Credit Facility, dated August 20, 2009, among the Companies Listed In Part 1 of Schedule 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thereto, Global Ship Lease, Inc., Fortis Bank (Nederland) N.V., Citigroup Global Markets Limited, HSH Nordbank AG, DNB Nor Bank ASA,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Sumitomo Mitsui Banking Corporation, Brussels Branch, (incorporated by reference to Exhibit II of Global Ship Lease, Inc.’s Current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on Form 6-K (File No. 001-341539) filed on August 21, 2009).</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4.15</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Waiver Agreement to Credit Facility, dated November 9, 2012, among the Companies Listed In Part 1 of Schedule 1 thereto, Global Ship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Lease, Inc., ABN Amro Bank N.V., as Facility Agent for and on behalf of the Lenders to the Credit Facility,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Exhibit III of Global Ship Lease, Inc.’s Current Report on Form 6-K (File No. 001-341539) filed on December 1, 2012).</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w w:val="95"/>
              </w:rPr>
              <w:t>4.16*</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Waiver Agreement to Credit Facility, dated February 10, 2014, among the Companies Listed In Part 1 of Schedule 1 thereto, Global Ship</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Lease, Inc., ABN Amro Bank N.V., as Facility Agent for and on behalf of the Lenders to the Credit Facility.</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4.17</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Credit Agreement, dated as of March 19, 2014, among Global Ship Lease, Inc., Global Ship Lease Services Limited, the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thereto, Citibank N.A., London Branch, Citibank International plc and Deutsche Bank Trust Company Americas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Exhibit 99.3 of Global Ship Lease, Inc.’s Current Report on Form 6-K (File No. 001-34153) filed on March 21, 2014).</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4.18</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5"/>
              </w:rPr>
              <w:t>Intercreditor Agreement, dated as of March 19, 2014, among Global Ship Lease, Inc., the parties listed on Part A of Schedule 5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Citibank N.A., London Branch, Deutsche Bank Trust Company Americas and the other parties from time to time party thereto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reference to Exhibit 99.4 of Global Ship Lease, Inc.’s Current Report on Form 6-K (File No. 001-34153) filed on March 21, 2014).</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4.19</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Form of Guarantee made by Global Ship Lease, Inc. in favor of the charterer listed on Schedule I thereto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4.20</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Form of Guarantee made by the CMA CGM S.A. in favor of Global Ship Lease, Inc. (incorporated by reference to Exhibit 10.11 of Global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Ship Lease, Inc.’s Registration Statement on Form F-1 (File No. 333-147070) filed on November 1, 2007).</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Form of Charter Agreement entered into by a subsidiary of Global Ship Lease, Inc. and CMA CGM S.A. or one of its subsidiaries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(incorporated by reference to Exhibit 2.1 of Marathon Acquisition Corp.’s Current Report on Form 8-K (File No. 001-32983) filed on March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25, 2008).</w:t>
            </w:r>
          </w:p>
        </w:tc>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Form of Ship Management Agreement entered into by CMA Ships and a Subsidiary of Global Ship Lease, Inc.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7"/>
              </w:rPr>
              <w:t>Exhibit A-3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4.23</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Form of Guarantee made by Global Ship Lease, Inc. in favor of CMA CGM S.A. and CMA Ships (incorporated by reference to Exhibit 10.14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4.24</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Form of Guarantee made by CMA CGM S.A. in favor of Global Ship Lease, Inc. and its Subsidiaries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1015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80" w:type="dxa"/>
            <w:vAlign w:val="bottom"/>
          </w:tcPr>
          <w:p>
            <w:pPr>
              <w:ind w:left="5060"/>
              <w:spacing w:after="0"/>
              <w:rPr>
                <w:sz w:val="20"/>
                <w:szCs w:val="20"/>
                <w:color w:val="auto"/>
              </w:rPr>
            </w:pPr>
            <w:r>
              <w:rPr>
                <w:rFonts w:ascii="Arial" w:cs="Arial" w:eastAsia="Arial" w:hAnsi="Arial"/>
                <w:sz w:val="18"/>
                <w:szCs w:val="18"/>
                <w:color w:val="auto"/>
                <w:w w:val="99"/>
              </w:rPr>
              <w:t>103</w:t>
            </w: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14"/>
                <w:szCs w:val="14"/>
                <w:color w:val="auto"/>
              </w:rPr>
            </w:pPr>
          </w:p>
        </w:tc>
        <w:tc>
          <w:tcPr>
            <w:tcW w:w="5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300" w:type="dxa"/>
            <w:vAlign w:val="bottom"/>
          </w:tcPr>
          <w:p>
            <w:pPr>
              <w:spacing w:after="0"/>
              <w:rPr>
                <w:sz w:val="16"/>
                <w:szCs w:val="16"/>
                <w:color w:val="auto"/>
              </w:rPr>
            </w:pPr>
          </w:p>
        </w:tc>
        <w:tc>
          <w:tcPr>
            <w:tcW w:w="5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3"/>
              </w:rPr>
              <w:t>Form of Global Expense Agreement between CMA Ships and Global Ship Lease, Inc. (incorporated by reference to Exhibit 10.16 of Global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rPr>
              <w:t>Ship Lease, Inc.’s Registration Statement on Form F-1 (File No. 333-147070) filed on November 1, 2007).</w:t>
            </w:r>
          </w:p>
        </w:tc>
        <w:tc>
          <w:tcPr>
            <w:tcW w:w="0" w:type="dxa"/>
            <w:vAlign w:val="bottom"/>
          </w:tcPr>
          <w:p>
            <w:pPr>
              <w:spacing w:after="0"/>
              <w:rPr>
                <w:sz w:val="1"/>
                <w:szCs w:val="1"/>
                <w:color w:val="auto"/>
              </w:rPr>
            </w:pPr>
          </w:p>
        </w:tc>
      </w:tr>
      <w:tr>
        <w:trPr>
          <w:trHeight w:val="310"/>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6"/>
              </w:rPr>
              <w:t>Form of Indemnification Agreement entered into between Global Ship Lease, Inc. and each of its directors and officers (incorporated by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80" w:type="dxa"/>
            <w:vAlign w:val="bottom"/>
            <w:gridSpan w:val="3"/>
          </w:tcPr>
          <w:p>
            <w:pPr>
              <w:ind w:left="440"/>
              <w:spacing w:after="0"/>
              <w:rPr>
                <w:sz w:val="20"/>
                <w:szCs w:val="20"/>
                <w:color w:val="auto"/>
              </w:rPr>
            </w:pPr>
            <w:r>
              <w:rPr>
                <w:rFonts w:ascii="Arial" w:cs="Arial" w:eastAsia="Arial" w:hAnsi="Arial"/>
                <w:sz w:val="18"/>
                <w:szCs w:val="18"/>
                <w:color w:val="auto"/>
                <w:w w:val="91"/>
              </w:rPr>
              <w:t>reference to Exhibit 10.17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020" w:type="dxa"/>
            <w:vAlign w:val="bottom"/>
            <w:gridSpan w:val="2"/>
          </w:tcPr>
          <w:p>
            <w:pPr>
              <w:ind w:left="5060"/>
              <w:spacing w:after="0"/>
              <w:rPr>
                <w:sz w:val="20"/>
                <w:szCs w:val="20"/>
                <w:color w:val="auto"/>
              </w:rPr>
            </w:pPr>
            <w:r>
              <w:rPr>
                <w:rFonts w:ascii="Arial" w:cs="Arial" w:eastAsia="Arial" w:hAnsi="Arial"/>
                <w:sz w:val="18"/>
                <w:szCs w:val="18"/>
                <w:color w:val="auto"/>
              </w:rPr>
              <w:t>104</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1088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10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2008 Equity Incentive Plan (incorporated by reference to Exhibit 10.22 of Global Ship Lease, Inc.’s Registration Statement on Form F-1 (File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No. 333-153448) filed on September 12, 2008).</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Form of Employment Agreement of Ian J. Webber (incorporated by reference to Exhibit 10.23 of Amendment No. 3 to Global Ship Lease,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Inc.’s Registration Statement on Form F-4 (File No. 333-150309) filed on July 3, 2008).</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4.29</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4"/>
              </w:rPr>
              <w:t>Form of Employment Agreement of Susan J. Cook (incorporated by reference to Exhibit 10.24 of Amendment No. 3 to Global Ship Lease,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Inc.’s Registration Statement on Form F-4 (File No. 333-150309) filed on July 3, 2008).</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Form of Employment Agreement of Thomas A. Lister (incorporated by reference to Exhibit 10.25 of Amendment No. 3 to Global Ship Lease,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Inc.’s Registration Statement on Form F-4 (File No. 333-150309) filed on July 3, 2008).</w:t>
            </w:r>
          </w:p>
        </w:tc>
        <w:tc>
          <w:tcPr>
            <w:tcW w:w="0" w:type="dxa"/>
            <w:vAlign w:val="bottom"/>
          </w:tcPr>
          <w:p>
            <w:pPr>
              <w:spacing w:after="0"/>
              <w:rPr>
                <w:sz w:val="1"/>
                <w:szCs w:val="1"/>
                <w:color w:val="auto"/>
              </w:rPr>
            </w:pP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8.1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1"/>
              </w:rPr>
              <w:t>List of Subsidiaries of Global Ship Lease, Inc. (incorporated by reference to Exhibit II of Global Ship Lease, Inc.’s Annual Report on Form 20-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 (File No. 001-341539) filed on June 25, 2009).</w:t>
            </w:r>
          </w:p>
        </w:tc>
        <w:tc>
          <w:tcPr>
            <w:tcW w:w="0" w:type="dxa"/>
            <w:vAlign w:val="bottom"/>
          </w:tcPr>
          <w:p>
            <w:pPr>
              <w:spacing w:after="0"/>
              <w:rPr>
                <w:sz w:val="1"/>
                <w:szCs w:val="1"/>
                <w:color w:val="auto"/>
              </w:rPr>
            </w:pP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11.1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Code of Ethics (incorporated by reference to Exhibit II of Global Ship Lease, Inc.’s Annual Report on Form 20-F (File No. 001-341539)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on June 25, 2009).</w:t>
            </w:r>
          </w:p>
        </w:tc>
        <w:tc>
          <w:tcPr>
            <w:tcW w:w="0" w:type="dxa"/>
            <w:vAlign w:val="bottom"/>
          </w:tcPr>
          <w:p>
            <w:pPr>
              <w:spacing w:after="0"/>
              <w:rPr>
                <w:sz w:val="1"/>
                <w:szCs w:val="1"/>
                <w:color w:val="auto"/>
              </w:rPr>
            </w:pPr>
          </w:p>
        </w:tc>
      </w:tr>
      <w:tr>
        <w:trPr>
          <w:trHeight w:val="324"/>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12.1*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12.2*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13.1*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Global Ship Lease, Inc. Certification of Ian J. Webber, Chief Executive Officer, pursuant to 18 U.S.C. Section 1350, as adopted pursuant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13.2*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3"/>
              </w:rPr>
              <w:t>Global Ship Lease, Inc. Certification of Susan J. Cook,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10"/>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15.1*</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w w:val="92"/>
              </w:rPr>
              <w:t>Consent of PricewaterhouseCoopers Audit to the incorporation by reference of the consolidated financial statements of the Company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fiscal year 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3"/>
              <w:spacing w:after="0"/>
              <w:rPr>
                <w:sz w:val="20"/>
                <w:szCs w:val="20"/>
                <w:color w:val="auto"/>
              </w:rPr>
            </w:pPr>
            <w:r>
              <w:rPr>
                <w:rFonts w:ascii="Arial" w:cs="Arial" w:eastAsia="Arial" w:hAnsi="Arial"/>
                <w:sz w:val="18"/>
                <w:szCs w:val="18"/>
                <w:color w:val="auto"/>
                <w:w w:val="95"/>
              </w:rPr>
              <w:t>15.2*</w:t>
            </w:r>
          </w:p>
        </w:tc>
        <w:tc>
          <w:tcPr>
            <w:tcW w:w="10880" w:type="dxa"/>
            <w:vAlign w:val="bottom"/>
            <w:gridSpan w:val="3"/>
          </w:tcPr>
          <w:p>
            <w:pPr>
              <w:ind w:left="560"/>
              <w:spacing w:after="0"/>
              <w:rPr>
                <w:sz w:val="20"/>
                <w:szCs w:val="20"/>
                <w:color w:val="auto"/>
              </w:rPr>
            </w:pPr>
            <w:r>
              <w:rPr>
                <w:rFonts w:ascii="Arial" w:cs="Arial" w:eastAsia="Arial" w:hAnsi="Arial"/>
                <w:sz w:val="18"/>
                <w:szCs w:val="18"/>
                <w:color w:val="auto"/>
              </w:rPr>
              <w:t>Consent of Maritime Strategies International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ind w:left="6860"/>
        <w:spacing w:after="0"/>
        <w:tabs>
          <w:tab w:leader="none" w:pos="8560" w:val="left"/>
          <w:tab w:leader="none" w:pos="8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w:t>
      </w:r>
      <w:r>
        <w:rPr>
          <w:rFonts w:ascii="Arial" w:cs="Arial" w:eastAsia="Arial" w:hAnsi="Arial"/>
          <w:sz w:val="14"/>
          <w:szCs w:val="14"/>
          <w:color w:val="auto"/>
        </w:rPr>
        <w:t>AN</w:t>
      </w:r>
      <w:r>
        <w:rPr>
          <w:rFonts w:ascii="Arial" w:cs="Arial" w:eastAsia="Arial" w:hAnsi="Arial"/>
          <w:sz w:val="17"/>
          <w:szCs w:val="17"/>
          <w:color w:val="auto"/>
        </w:rPr>
        <w:t xml:space="preserve"> J. W</w:t>
      </w:r>
      <w:r>
        <w:rPr>
          <w:rFonts w:ascii="Arial" w:cs="Arial" w:eastAsia="Arial" w:hAnsi="Arial"/>
          <w:sz w:val="14"/>
          <w:szCs w:val="14"/>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Ian J. Webber</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740"/>
          </w:cols>
          <w:pgMar w:left="240" w:top="459" w:right="9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SHIPPING TERMS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stated, references to the following terms have the following meaning as used in this Annual Report:</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takes place every year.</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w:t>
      </w:r>
      <w:r>
        <w:rPr>
          <w:rFonts w:ascii="Arial" w:cs="Arial" w:eastAsia="Arial" w:hAnsi="Arial"/>
          <w:sz w:val="18"/>
          <w:szCs w:val="18"/>
          <w:i w:val="1"/>
          <w:iCs w:val="1"/>
          <w:color w:val="auto"/>
        </w:rPr>
        <w:t xml:space="preserve"> </w:t>
      </w:r>
      <w:r>
        <w:rPr>
          <w:rFonts w:ascii="Arial" w:cs="Arial" w:eastAsia="Arial" w:hAnsi="Arial"/>
          <w:sz w:val="18"/>
          <w:szCs w:val="18"/>
          <w:color w:val="auto"/>
        </w:rPr>
        <w:t>empty—from a destination of unloading to a point of reloading of cargo.</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a ship is not laden with cargo.</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i w:val="1"/>
          <w:iCs w:val="1"/>
          <w:color w:val="auto"/>
        </w:rPr>
        <w:t xml:space="preserve">Bareboat charter. </w:t>
      </w:r>
      <w:r>
        <w:rPr>
          <w:rFonts w:ascii="Arial" w:cs="Arial" w:eastAsia="Arial" w:hAnsi="Arial"/>
          <w:sz w:val="17"/>
          <w:szCs w:val="17"/>
          <w:color w:val="auto"/>
        </w:rPr>
        <w:t>A charter of a ship under which the ship-owner is usually paid a fixed amount of charterhire for a certain period of time during</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charterer is responsible for all ship operating expenses, including expenses for crewing, lubricating oil, insurance, maintenance and drydockings, and for all voyage expenses such as bunker fuel. A bareboat charter is also known as a “demise charter” or a “time charter by demise.”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 measured in TEU.</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The hire of a ship for a specified period of time or a particular voyage to carry a cargo from a loading port to a discharging port.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w:t>
      </w:r>
      <w:r>
        <w:rPr>
          <w:rFonts w:ascii="Arial" w:cs="Arial" w:eastAsia="Arial" w:hAnsi="Arial"/>
          <w:sz w:val="18"/>
          <w:szCs w:val="18"/>
          <w:i w:val="1"/>
          <w:iCs w:val="1"/>
          <w:color w:val="auto"/>
        </w:rPr>
        <w:t xml:space="preserve"> </w:t>
      </w:r>
      <w:r>
        <w:rPr>
          <w:rFonts w:ascii="Arial" w:cs="Arial" w:eastAsia="Arial" w:hAnsi="Arial"/>
          <w:sz w:val="18"/>
          <w:szCs w:val="18"/>
          <w:color w:val="auto"/>
        </w:rPr>
        <w:t>liner services; also known as ship-owner or lessor.</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w:t>
      </w:r>
      <w:r>
        <w:rPr>
          <w:rFonts w:ascii="Arial" w:cs="Arial" w:eastAsia="Arial" w:hAnsi="Arial"/>
          <w:sz w:val="18"/>
          <w:szCs w:val="18"/>
          <w:i w:val="1"/>
          <w:iCs w:val="1"/>
          <w:color w:val="auto"/>
        </w:rPr>
        <w:t xml:space="preserve"> </w:t>
      </w:r>
      <w:r>
        <w:rPr>
          <w:rFonts w:ascii="Arial" w:cs="Arial" w:eastAsia="Arial" w:hAnsi="Arial"/>
          <w:sz w:val="18"/>
          <w:szCs w:val="18"/>
          <w:color w:val="auto"/>
        </w:rPr>
        <w:t>a time charter or bareboat charter basis.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type of ship and complies with the applicable rules and regulations of the country of the ship’s registry and the international conventions of which that country is a member. A ship that receives its certification is referred to as being “in-class.”</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w:t>
      </w:r>
      <w:r>
        <w:rPr>
          <w:rFonts w:ascii="Arial" w:cs="Arial" w:eastAsia="Arial" w:hAnsi="Arial"/>
          <w:sz w:val="18"/>
          <w:szCs w:val="18"/>
          <w:i w:val="1"/>
          <w:iCs w:val="1"/>
          <w:color w:val="auto"/>
        </w:rPr>
        <w:t xml:space="preserve"> </w:t>
      </w:r>
      <w:r>
        <w:rPr>
          <w:rFonts w:ascii="Arial" w:cs="Arial" w:eastAsia="Arial" w:hAnsi="Arial"/>
          <w:sz w:val="18"/>
          <w:szCs w:val="18"/>
          <w:color w:val="auto"/>
        </w:rPr>
        <w:t>known as a carrier, liner company or an operator.</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Drydocking</w:t>
      </w:r>
      <w:r>
        <w:rPr>
          <w:rFonts w:ascii="Arial" w:cs="Arial" w:eastAsia="Arial" w:hAnsi="Arial"/>
          <w:sz w:val="18"/>
          <w:szCs w:val="18"/>
          <w:color w:val="auto"/>
        </w:rPr>
        <w:t>. Placing the ship in a drydock in order to check and repair areas and parts below the water line. During drydockings,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Geared containerships</w:t>
      </w:r>
      <w:r>
        <w:rPr>
          <w:rFonts w:ascii="Arial" w:cs="Arial" w:eastAsia="Arial" w:hAnsi="Arial"/>
          <w:sz w:val="17"/>
          <w:szCs w:val="17"/>
          <w:color w:val="auto"/>
        </w:rPr>
        <w:t>. Self-sustained containerships, which are able to load and discharge containers with their own onboard cranes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derricks.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point of origin.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Liner company or liner. </w:t>
      </w:r>
      <w:r>
        <w:rPr>
          <w:rFonts w:ascii="Arial" w:cs="Arial" w:eastAsia="Arial" w:hAnsi="Arial"/>
          <w:sz w:val="18"/>
          <w:szCs w:val="18"/>
          <w:color w:val="auto"/>
        </w:rPr>
        <w:t>A container shipping company (also referred to as lines or operators).</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i w:val="1"/>
          <w:iCs w:val="1"/>
          <w:color w:val="auto"/>
        </w:rPr>
        <w:t>KG</w:t>
      </w:r>
      <w:r>
        <w:rPr>
          <w:rFonts w:ascii="Arial" w:cs="Arial" w:eastAsia="Arial" w:hAnsi="Arial"/>
          <w:sz w:val="18"/>
          <w:szCs w:val="18"/>
          <w:color w:val="auto"/>
        </w:rPr>
        <w:t>. Kommanditgesellschaft, a closed end fund construct broadly analogous to a limited partnership. It has been employed as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for high net worth individuals (primarily German) in various types of assets, including shipping assets.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under construction or just delivered.</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i w:val="1"/>
          <w:iCs w:val="1"/>
          <w:color w:val="auto"/>
        </w:rPr>
        <w:t>Off-hire</w:t>
      </w:r>
      <w:r>
        <w:rPr>
          <w:rFonts w:ascii="Arial" w:cs="Arial" w:eastAsia="Arial" w:hAnsi="Arial"/>
          <w:sz w:val="18"/>
          <w:szCs w:val="18"/>
          <w:color w:val="auto"/>
        </w:rPr>
        <w:t>. The period in which a ship is not available for service under a charter and, accordingly, the charterer generally is not required to pay the</w:t>
      </w:r>
      <w:r>
        <w:rPr>
          <w:rFonts w:ascii="Arial" w:cs="Arial" w:eastAsia="Arial" w:hAnsi="Arial"/>
          <w:sz w:val="18"/>
          <w:szCs w:val="18"/>
          <w:i w:val="1"/>
          <w:iCs w:val="1"/>
          <w:color w:val="auto"/>
        </w:rPr>
        <w:t xml:space="preserve"> </w:t>
      </w:r>
      <w:r>
        <w:rPr>
          <w:rFonts w:ascii="Arial" w:cs="Arial" w:eastAsia="Arial" w:hAnsi="Arial"/>
          <w:sz w:val="18"/>
          <w:szCs w:val="18"/>
          <w:color w:val="auto"/>
        </w:rPr>
        <w:t>hire. Off-hire periods can include days spent on repairs, drydocking and surveys, whether or not scheduled.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i w:val="1"/>
          <w:iCs w:val="1"/>
          <w:color w:val="auto"/>
        </w:rPr>
        <w:t>Orderbook-to-fleet ratio</w:t>
      </w:r>
      <w:r>
        <w:rPr>
          <w:rFonts w:ascii="Arial" w:cs="Arial" w:eastAsia="Arial" w:hAnsi="Arial"/>
          <w:sz w:val="18"/>
          <w:szCs w:val="18"/>
          <w:color w:val="auto"/>
        </w:rPr>
        <w:t>. The ratio of the orderbook for new vessels yet to be delivered to the existing on-the-water fleet determined on the basis</w:t>
      </w:r>
      <w:r>
        <w:rPr>
          <w:rFonts w:ascii="Arial" w:cs="Arial" w:eastAsia="Arial" w:hAnsi="Arial"/>
          <w:sz w:val="18"/>
          <w:szCs w:val="18"/>
          <w:i w:val="1"/>
          <w:iCs w:val="1"/>
          <w:color w:val="auto"/>
        </w:rPr>
        <w:t xml:space="preserve"> </w:t>
      </w:r>
      <w:r>
        <w:rPr>
          <w:rFonts w:ascii="Arial" w:cs="Arial" w:eastAsia="Arial" w:hAnsi="Arial"/>
          <w:sz w:val="18"/>
          <w:szCs w:val="18"/>
          <w:color w:val="auto"/>
        </w:rPr>
        <w:t>of TEU capacity and expressed as a percentage.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22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all government, flag state, class certification and international rules and regulations.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ship by a classification society.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crew and paying vessel operating expenses while the charterer is responsible for paying the voyage expenses such as fuel and additional voyage insurance. The ship-owner is paid charterhire, which accrues on a daily basis.</w:t>
      </w:r>
    </w:p>
    <w:p>
      <w:pPr>
        <w:spacing w:after="0" w:line="181" w:lineRule="exact"/>
        <w:rPr>
          <w:sz w:val="20"/>
          <w:szCs w:val="20"/>
          <w:color w:val="auto"/>
        </w:rPr>
      </w:pPr>
    </w:p>
    <w:p>
      <w:pPr>
        <w:jc w:val="both"/>
        <w:ind w:right="420" w:firstLine="913"/>
        <w:spacing w:after="0" w:line="312" w:lineRule="auto"/>
        <w:rPr>
          <w:sz w:val="20"/>
          <w:szCs w:val="20"/>
          <w:color w:val="auto"/>
        </w:rPr>
      </w:pPr>
      <w:r>
        <w:rPr>
          <w:rFonts w:ascii="Arial" w:cs="Arial" w:eastAsia="Arial" w:hAnsi="Arial"/>
          <w:sz w:val="16"/>
          <w:szCs w:val="16"/>
          <w:i w:val="1"/>
          <w:iCs w:val="1"/>
          <w:color w:val="auto"/>
        </w:rPr>
        <w:t>Vessel operating expenses</w:t>
      </w:r>
      <w:r>
        <w:rPr>
          <w:rFonts w:ascii="Arial" w:cs="Arial" w:eastAsia="Arial" w:hAnsi="Arial"/>
          <w:sz w:val="16"/>
          <w:szCs w:val="16"/>
          <w:color w:val="auto"/>
        </w:rPr>
        <w:t>. The costs of operating a ship, primarily consisting of crew wages and associated costs, insurance premiums,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47"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stevedoring costs, agents’ fees, canal dues, extra war risk insurance and commissions.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2013</w:t>
      </w:r>
    </w:p>
    <w:p>
      <w:pPr>
        <w:sectPr>
          <w:pgSz w:w="11900" w:h="16838" w:orient="portrait"/>
          <w:cols w:equalWidth="0" w:num="1">
            <w:col w:w="10219"/>
          </w:cols>
          <w:pgMar w:left="240" w:top="45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960" w:type="dxa"/>
            <w:vAlign w:val="bottom"/>
          </w:tcPr>
          <w:p>
            <w:pPr>
              <w:jc w:val="center"/>
              <w:ind w:left="2113"/>
              <w:spacing w:after="0"/>
              <w:rPr>
                <w:sz w:val="20"/>
                <w:szCs w:val="20"/>
                <w:color w:val="auto"/>
              </w:rPr>
            </w:pPr>
            <w:r>
              <w:rPr>
                <w:rFonts w:ascii="Arial" w:cs="Arial" w:eastAsia="Arial" w:hAnsi="Arial"/>
                <w:sz w:val="14"/>
                <w:szCs w:val="14"/>
                <w:color w:val="auto"/>
                <w:w w:val="85"/>
              </w:rPr>
              <w:t>Page</w:t>
            </w:r>
          </w:p>
        </w:tc>
      </w:tr>
      <w:tr>
        <w:trPr>
          <w:trHeight w:val="269"/>
        </w:trPr>
        <w:tc>
          <w:tcPr>
            <w:tcW w:w="842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2960" w:type="dxa"/>
            <w:vAlign w:val="bottom"/>
          </w:tcPr>
          <w:p>
            <w:pPr>
              <w:jc w:val="center"/>
              <w:ind w:left="2133"/>
              <w:spacing w:after="0"/>
              <w:rPr>
                <w:sz w:val="20"/>
                <w:szCs w:val="20"/>
                <w:color w:val="auto"/>
              </w:rPr>
            </w:pPr>
            <w:r>
              <w:rPr>
                <w:rFonts w:ascii="Arial" w:cs="Arial" w:eastAsia="Arial" w:hAnsi="Arial"/>
                <w:sz w:val="18"/>
                <w:szCs w:val="18"/>
                <w:color w:val="auto"/>
                <w:w w:val="96"/>
              </w:rPr>
              <w:t>F-3</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46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16">
              <w:r>
                <w:rPr>
                  <w:rFonts w:ascii="Arial" w:cs="Arial" w:eastAsia="Arial" w:hAnsi="Arial"/>
                  <w:sz w:val="18"/>
                  <w:szCs w:val="18"/>
                  <w:color w:val="0000EE"/>
                  <w:w w:val="88"/>
                </w:rPr>
                <w:t>Consolidated Balance Sheets as at December 31, 2013 and 2012</w:t>
              </w:r>
            </w:hyperlink>
          </w:p>
        </w:tc>
        <w:tc>
          <w:tcPr>
            <w:tcW w:w="3780" w:type="dxa"/>
            <w:vAlign w:val="bottom"/>
            <w:gridSpan w:val="3"/>
          </w:tcPr>
          <w:p>
            <w:pPr>
              <w:spacing w:after="0"/>
              <w:rPr>
                <w:sz w:val="24"/>
                <w:szCs w:val="24"/>
                <w:color w:val="auto"/>
              </w:rPr>
            </w:pPr>
          </w:p>
        </w:tc>
        <w:tc>
          <w:tcPr>
            <w:tcW w:w="2960" w:type="dxa"/>
            <w:vAlign w:val="bottom"/>
          </w:tcPr>
          <w:p>
            <w:pPr>
              <w:jc w:val="center"/>
              <w:ind w:left="2133"/>
              <w:spacing w:after="0"/>
              <w:rPr>
                <w:sz w:val="20"/>
                <w:szCs w:val="20"/>
                <w:color w:val="auto"/>
              </w:rPr>
            </w:pPr>
            <w:r>
              <w:rPr>
                <w:rFonts w:ascii="Arial" w:cs="Arial" w:eastAsia="Arial" w:hAnsi="Arial"/>
                <w:sz w:val="18"/>
                <w:szCs w:val="18"/>
                <w:color w:val="auto"/>
                <w:w w:val="96"/>
              </w:rPr>
              <w:t>F-4</w:t>
            </w:r>
          </w:p>
        </w:tc>
      </w:tr>
      <w:tr>
        <w:trPr>
          <w:trHeight w:val="304"/>
        </w:trPr>
        <w:tc>
          <w:tcPr>
            <w:tcW w:w="8420" w:type="dxa"/>
            <w:vAlign w:val="bottom"/>
            <w:gridSpan w:val="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Income for the years ended December 31, 2013, 2012 and 2011</w:t>
              </w:r>
            </w:hyperlink>
          </w:p>
        </w:tc>
        <w:tc>
          <w:tcPr>
            <w:tcW w:w="2960" w:type="dxa"/>
            <w:vAlign w:val="bottom"/>
          </w:tcPr>
          <w:p>
            <w:pPr>
              <w:jc w:val="center"/>
              <w:ind w:left="2133"/>
              <w:spacing w:after="0"/>
              <w:rPr>
                <w:sz w:val="20"/>
                <w:szCs w:val="20"/>
                <w:color w:val="auto"/>
              </w:rPr>
            </w:pPr>
            <w:r>
              <w:rPr>
                <w:rFonts w:ascii="Arial" w:cs="Arial" w:eastAsia="Arial" w:hAnsi="Arial"/>
                <w:sz w:val="18"/>
                <w:szCs w:val="18"/>
                <w:color w:val="auto"/>
                <w:w w:val="96"/>
              </w:rPr>
              <w:t>F-5</w:t>
            </w:r>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04"/>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Consolidated Statements of Cash Flows for the years ended December 31, 2013, 2012 and 2011</w:t>
              </w:r>
            </w:hyperlink>
          </w:p>
        </w:tc>
        <w:tc>
          <w:tcPr>
            <w:tcW w:w="1500" w:type="dxa"/>
            <w:vAlign w:val="bottom"/>
          </w:tcPr>
          <w:p>
            <w:pPr>
              <w:spacing w:after="0"/>
              <w:rPr>
                <w:sz w:val="24"/>
                <w:szCs w:val="24"/>
                <w:color w:val="auto"/>
              </w:rPr>
            </w:pPr>
          </w:p>
        </w:tc>
        <w:tc>
          <w:tcPr>
            <w:tcW w:w="2960" w:type="dxa"/>
            <w:vAlign w:val="bottom"/>
          </w:tcPr>
          <w:p>
            <w:pPr>
              <w:jc w:val="center"/>
              <w:ind w:left="2133"/>
              <w:spacing w:after="0"/>
              <w:rPr>
                <w:sz w:val="20"/>
                <w:szCs w:val="20"/>
                <w:color w:val="auto"/>
              </w:rPr>
            </w:pPr>
            <w:r>
              <w:rPr>
                <w:rFonts w:ascii="Arial" w:cs="Arial" w:eastAsia="Arial" w:hAnsi="Arial"/>
                <w:sz w:val="18"/>
                <w:szCs w:val="18"/>
                <w:color w:val="auto"/>
                <w:w w:val="96"/>
              </w:rPr>
              <w:t>F-6</w:t>
            </w:r>
          </w:p>
        </w:tc>
      </w:tr>
      <w:tr>
        <w:trPr>
          <w:trHeight w:val="304"/>
        </w:trPr>
        <w:tc>
          <w:tcPr>
            <w:tcW w:w="84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Consolidated Statement of Changes in Stockholders’ Equity for the years ended December 31, 2013, 2012 and 2011</w:t>
              </w:r>
            </w:hyperlink>
          </w:p>
        </w:tc>
        <w:tc>
          <w:tcPr>
            <w:tcW w:w="2960" w:type="dxa"/>
            <w:vAlign w:val="bottom"/>
          </w:tcPr>
          <w:p>
            <w:pPr>
              <w:jc w:val="center"/>
              <w:ind w:left="2133"/>
              <w:spacing w:after="0"/>
              <w:rPr>
                <w:sz w:val="20"/>
                <w:szCs w:val="20"/>
                <w:color w:val="auto"/>
              </w:rPr>
            </w:pPr>
            <w:r>
              <w:rPr>
                <w:rFonts w:ascii="Arial" w:cs="Arial" w:eastAsia="Arial" w:hAnsi="Arial"/>
                <w:sz w:val="18"/>
                <w:szCs w:val="18"/>
                <w:color w:val="auto"/>
                <w:w w:val="96"/>
              </w:rPr>
              <w:t>F-7</w:t>
            </w:r>
          </w:p>
        </w:tc>
      </w:tr>
      <w:tr>
        <w:trPr>
          <w:trHeight w:val="304"/>
        </w:trPr>
        <w:tc>
          <w:tcPr>
            <w:tcW w:w="842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Notes to Consolidated Financial Statements</w:t>
              </w:r>
            </w:hyperlink>
          </w:p>
        </w:tc>
        <w:tc>
          <w:tcPr>
            <w:tcW w:w="2960" w:type="dxa"/>
            <w:vAlign w:val="bottom"/>
          </w:tcPr>
          <w:p>
            <w:pPr>
              <w:jc w:val="center"/>
              <w:ind w:left="2133"/>
              <w:spacing w:after="0"/>
              <w:rPr>
                <w:sz w:val="20"/>
                <w:szCs w:val="20"/>
                <w:color w:val="auto"/>
              </w:rPr>
            </w:pPr>
            <w:r>
              <w:rPr>
                <w:rFonts w:ascii="Arial" w:cs="Arial" w:eastAsia="Arial" w:hAnsi="Arial"/>
                <w:sz w:val="18"/>
                <w:szCs w:val="18"/>
                <w:color w:val="auto"/>
                <w:w w:val="92"/>
              </w:rPr>
              <w:t>F-8 - F-25</w:t>
            </w:r>
          </w:p>
        </w:tc>
      </w:tr>
      <w:tr>
        <w:trPr>
          <w:trHeight w:val="3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gridSpan w:val="3"/>
          </w:tcPr>
          <w:p>
            <w:pPr>
              <w:ind w:left="940"/>
              <w:spacing w:after="0"/>
              <w:rPr>
                <w:sz w:val="20"/>
                <w:szCs w:val="20"/>
                <w:color w:val="auto"/>
              </w:rPr>
            </w:pPr>
            <w:r>
              <w:rPr>
                <w:rFonts w:ascii="Arial" w:cs="Arial" w:eastAsia="Arial" w:hAnsi="Arial"/>
                <w:sz w:val="18"/>
                <w:szCs w:val="18"/>
                <w:color w:val="auto"/>
              </w:rPr>
              <w:t>F-2</w:t>
            </w:r>
          </w:p>
        </w:tc>
        <w:tc>
          <w:tcPr>
            <w:tcW w:w="29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Global Ship Lease, Inc.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changes in stockholders’ equity and cash flows present fairly, in all material respects, the financial position of Global Ship Lease, Inc. and its subsidiaries (“the Company”) at December 31, 2013 and December 31,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Internal Control—Integrated Framework (1992)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section entitled “Management’s Report on Internal Control Over Financial Reporting” under Item 15 of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discussed in Note 2 (b) (i) to the consolidated financial statements, the Company has entered into significant contracts with CMA CGM, a related party and the sole source of the Company’s operating revenue and consequently the Company is highly dependent on the performance by CMA CGM of its obligations under those contracts which will in turn depend partly on CMA CGM’s financial situation.</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24,536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 14)</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Accounts receivable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7,006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(note 6)</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receivables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(note 8)</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 (note 4)</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817,875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fixed assets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(note 5)</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 financing costs (note 8)</w:t>
            </w:r>
          </w:p>
        </w:tc>
        <w:tc>
          <w:tcPr>
            <w:tcW w:w="1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819,859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858,247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903,680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10)</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Intangible liability – charter agreements (note 9)</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Accrued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7)</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10)</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Preferred shares (note 14)</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9)</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7)</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23,366</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461,404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458,781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13)</w:t>
            </w:r>
          </w:p>
        </w:tc>
        <w:tc>
          <w:tcPr>
            <w:tcW w:w="1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30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214,000,000 shares with a $0.01 par value;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47,513,934 shares issued and outstanding (2012 – 47,481,864) (note 14)</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 authorized</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20,000,000 shares with a $0.01 par value;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7,405,956 shares issued and outstanding (2012 – 7,405,956) (note 14)</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352,676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9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366,588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858,247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Time charter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143,212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153,205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46,048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(note 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operating income (note 11)</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 (note 15)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 (note 18)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47,607,750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47,500,670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47,262,549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Diluted (note 18)</w:t>
            </w: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47,767,266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47,611,657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47,448,012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A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 (note 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(note 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(note 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Net Income per Class B share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(note 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Year ended</w:t>
            </w:r>
          </w:p>
        </w:tc>
        <w:tc>
          <w:tcPr>
            <w:tcW w:w="22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Year ended</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32,518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31,928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40,385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40,343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 (note 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deferred financing costs (note 8)</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 (note 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 (note 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18,402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Share based compensation (note 16)</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receivables and other assets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3,958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83,698</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 (note 15)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(18,402)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paid for intangible assets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(24,316)</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(59,310)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(57,936)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Variation in restricted cash (note 14)</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3,024</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preferred shares (note 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(59,310)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(59,051)</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(50,164)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32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26,145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25,814</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26,145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18,782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19,518</w:t>
            </w:r>
          </w:p>
        </w:tc>
        <w:tc>
          <w:tcPr>
            <w:tcW w:w="0" w:type="dxa"/>
            <w:vAlign w:val="bottom"/>
          </w:tcPr>
          <w:p>
            <w:pPr>
              <w:spacing w:after="0"/>
              <w:rPr>
                <w:sz w:val="1"/>
                <w:szCs w:val="1"/>
                <w:color w:val="auto"/>
              </w:rPr>
            </w:pPr>
          </w:p>
        </w:tc>
      </w:tr>
      <w:tr>
        <w:trPr>
          <w:trHeight w:val="324"/>
        </w:trPr>
        <w:tc>
          <w:tcPr>
            <w:tcW w:w="7780" w:type="dxa"/>
            <w:vAlign w:val="bottom"/>
            <w:gridSpan w:val="2"/>
          </w:tcPr>
          <w:p>
            <w:pPr>
              <w:spacing w:after="0"/>
              <w:rPr>
                <w:sz w:val="20"/>
                <w:szCs w:val="20"/>
                <w:color w:val="auto"/>
              </w:rPr>
            </w:pPr>
            <w:r>
              <w:rPr>
                <w:rFonts w:ascii="Arial" w:cs="Arial" w:eastAsia="Arial" w:hAnsi="Arial"/>
                <w:sz w:val="18"/>
                <w:szCs w:val="18"/>
                <w:color w:val="auto"/>
              </w:rPr>
              <w:t>Total income tax paid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Common Stock</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Earnings /</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at $0.01</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20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Paid in</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Par value</w:t>
            </w:r>
          </w:p>
        </w:tc>
        <w:tc>
          <w:tcPr>
            <w:tcW w:w="1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5"/>
                <w:szCs w:val="15"/>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54,536,423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$351,295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Restricted Stock Units (note 16)</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14, 16)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333,511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9,071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54,869,934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$351,856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Restricted Stock Units (note 16)</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14, 16)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31,928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54,887,820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$352,316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Restricted Stock Units (note 16)</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14, 16)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32,518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54,919,890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352,676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60" w:right="80"/>
        <w:spacing w:after="0" w:line="276" w:lineRule="auto"/>
        <w:rPr>
          <w:sz w:val="20"/>
          <w:szCs w:val="20"/>
          <w:color w:val="auto"/>
        </w:rPr>
      </w:pPr>
      <w:r>
        <w:rPr>
          <w:rFonts w:ascii="Arial" w:cs="Arial" w:eastAsia="Arial" w:hAnsi="Arial"/>
          <w:sz w:val="17"/>
          <w:szCs w:val="17"/>
          <w:color w:val="auto"/>
        </w:rPr>
        <w:t>On August 14, 2008, Global Ship Lease, Inc. (the “Company”) merged indirectly with Marathon Acquisition Corp. (“Marathon”), a company then listed on The American Stock Exchange. Under the merger agreement, Marathon, a U.S. corporation, first merged with its wholly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3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The Company owns and charters out containerships. All vessels are time chartered to CMA CGM for remaining terms as at December 31, 2013 ranging from 0.30 to 12.00 years (see note 12).</w:t>
      </w:r>
    </w:p>
    <w:p>
      <w:pPr>
        <w:spacing w:after="0" w:line="62"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4"/>
                <w:szCs w:val="1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Capacity</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Purchase Date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536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Year Built</w:t>
            </w:r>
          </w:p>
        </w:tc>
        <w:tc>
          <w:tcPr>
            <w:tcW w:w="32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Duration</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vMerge w:val="continue"/>
          </w:tcPr>
          <w:p>
            <w:pPr>
              <w:spacing w:after="0"/>
              <w:rPr>
                <w:sz w:val="14"/>
                <w:szCs w:val="14"/>
                <w:color w:val="auto"/>
              </w:rPr>
            </w:pPr>
          </w:p>
        </w:tc>
        <w:tc>
          <w:tcPr>
            <w:tcW w:w="53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 xml:space="preserve">in TEUs </w:t>
            </w:r>
            <w:r>
              <w:rPr>
                <w:rFonts w:ascii="Arial" w:cs="Arial" w:eastAsia="Arial" w:hAnsi="Arial"/>
                <w:sz w:val="12"/>
                <w:szCs w:val="12"/>
                <w:b w:val="1"/>
                <w:bCs w:val="1"/>
                <w:color w:val="auto"/>
                <w:w w:val="93"/>
              </w:rPr>
              <w:t>(1)</w:t>
            </w:r>
          </w:p>
        </w:tc>
        <w:tc>
          <w:tcPr>
            <w:tcW w:w="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by GSL</w:t>
            </w:r>
            <w:r>
              <w:rPr>
                <w:rFonts w:ascii="Arial" w:cs="Arial" w:eastAsia="Arial" w:hAnsi="Arial"/>
                <w:sz w:val="12"/>
                <w:szCs w:val="12"/>
                <w:b w:val="1"/>
                <w:bCs w:val="1"/>
                <w:color w:val="auto"/>
                <w:w w:val="97"/>
              </w:rPr>
              <w:t>(2)</w:t>
            </w: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(years) </w:t>
            </w:r>
            <w:r>
              <w:rPr>
                <w:rFonts w:ascii="Arial" w:cs="Arial" w:eastAsia="Arial" w:hAnsi="Arial"/>
                <w:sz w:val="12"/>
                <w:szCs w:val="12"/>
                <w:b w:val="1"/>
                <w:bCs w:val="1"/>
                <w:color w:val="auto"/>
                <w:w w:val="89"/>
              </w:rPr>
              <w:t>(3)</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Ville d’Orion </w:t>
            </w:r>
            <w:r>
              <w:rPr>
                <w:rFonts w:ascii="Arial" w:cs="Arial" w:eastAsia="Arial" w:hAnsi="Arial"/>
                <w:sz w:val="15"/>
                <w:szCs w:val="15"/>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5"/>
                <w:szCs w:val="15"/>
                <w:color w:val="auto"/>
              </w:rPr>
              <w:t>(4)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Matisse </w:t>
            </w:r>
            <w:r>
              <w:rPr>
                <w:rFonts w:ascii="Arial" w:cs="Arial" w:eastAsia="Arial" w:hAnsi="Arial"/>
                <w:sz w:val="15"/>
                <w:szCs w:val="15"/>
                <w:color w:val="auto"/>
              </w:rPr>
              <w:t>(5)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CMA CGM Utrillo </w:t>
            </w:r>
            <w:r>
              <w:rPr>
                <w:rFonts w:ascii="Arial" w:cs="Arial" w:eastAsia="Arial" w:hAnsi="Arial"/>
                <w:sz w:val="15"/>
                <w:szCs w:val="15"/>
                <w:color w:val="auto"/>
              </w:rPr>
              <w:t>(5)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La Tour </w:t>
            </w:r>
            <w:r>
              <w:rPr>
                <w:rFonts w:ascii="Arial" w:cs="Arial" w:eastAsia="Arial" w:hAnsi="Arial"/>
                <w:sz w:val="15"/>
                <w:szCs w:val="15"/>
                <w:color w:val="auto"/>
              </w:rPr>
              <w:t>(5)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CMA CGM Manet </w:t>
            </w:r>
            <w:r>
              <w:rPr>
                <w:rFonts w:ascii="Arial" w:cs="Arial" w:eastAsia="Arial" w:hAnsi="Arial"/>
                <w:sz w:val="15"/>
                <w:szCs w:val="15"/>
                <w:color w:val="auto"/>
              </w:rPr>
              <w:t>(5)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January 2008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January 2008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4,045</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2008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August 2009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2013. Plus or minus 90 days, other than Ville d’Orion and Ville d’Aquarius, at charterer’s option.</w:t>
      </w:r>
    </w:p>
    <w:p>
      <w:pPr>
        <w:spacing w:after="0" w:line="9" w:lineRule="exact"/>
        <w:rPr>
          <w:rFonts w:ascii="Arial" w:cs="Arial" w:eastAsia="Arial" w:hAnsi="Arial"/>
          <w:sz w:val="18"/>
          <w:szCs w:val="18"/>
          <w:i w:val="1"/>
          <w:iCs w:val="1"/>
          <w:color w:val="auto"/>
        </w:rPr>
      </w:pPr>
    </w:p>
    <w:p>
      <w:pPr>
        <w:ind w:left="460" w:right="100" w:hanging="452"/>
        <w:spacing w:after="0" w:line="250" w:lineRule="auto"/>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New charters commenced on May 1, 2013 and will expire on April 30, 2014 plus or minus 30 days at charterer’s option. On January 31, 2014 CMA CGM issued notices of redelivery for Ville d’Orion and Ville d’Aquarius. These gave CMA CGM the right to redeliver the vessels as early as between April 1 and April 15, 2014 on the expiration of the current charters. It is currently expected that one vessel will be redelivered towards the end of April 2014 and the other towards the end of May 2014.</w:t>
      </w:r>
    </w:p>
    <w:p>
      <w:pPr>
        <w:spacing w:after="0" w:line="1" w:lineRule="exact"/>
        <w:rPr>
          <w:rFonts w:ascii="Arial" w:cs="Arial" w:eastAsia="Arial" w:hAnsi="Arial"/>
          <w:sz w:val="18"/>
          <w:szCs w:val="18"/>
          <w:i w:val="1"/>
          <w:iCs w:val="1"/>
          <w:color w:val="auto"/>
        </w:rPr>
      </w:pPr>
    </w:p>
    <w:p>
      <w:pPr>
        <w:ind w:left="460" w:right="80" w:hanging="452"/>
        <w:spacing w:after="0" w:line="261" w:lineRule="auto"/>
        <w:tabs>
          <w:tab w:leader="none" w:pos="4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March 19, 2014 these charters were extended by three years to provide for new expiry dates in December 2019 and new daily charter rates of $15,300, effective as of February 1, 2014.</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of the Company currently consists solely of the ownership and provision of vessels for container shipping under time charters.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Nature of Operations and Basis of Preparation (continued)</w:t>
      </w:r>
    </w:p>
    <w:p>
      <w:pPr>
        <w:spacing w:after="0" w:line="158"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35"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Counterparty risk</w:t>
      </w:r>
    </w:p>
    <w:p>
      <w:pPr>
        <w:spacing w:after="0" w:line="117" w:lineRule="exact"/>
        <w:rPr>
          <w:sz w:val="20"/>
          <w:szCs w:val="20"/>
          <w:color w:val="auto"/>
        </w:rPr>
      </w:pPr>
    </w:p>
    <w:p>
      <w:pPr>
        <w:ind w:left="460" w:right="220"/>
        <w:spacing w:after="0" w:line="312"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39" w:lineRule="exact"/>
        <w:rPr>
          <w:sz w:val="20"/>
          <w:szCs w:val="20"/>
          <w:color w:val="auto"/>
        </w:rPr>
      </w:pPr>
    </w:p>
    <w:p>
      <w:pPr>
        <w:ind w:left="460" w:right="280"/>
        <w:spacing w:after="0" w:line="279" w:lineRule="auto"/>
        <w:rPr>
          <w:sz w:val="20"/>
          <w:szCs w:val="20"/>
          <w:color w:val="auto"/>
        </w:rPr>
      </w:pPr>
      <w:r>
        <w:rPr>
          <w:rFonts w:ascii="Arial" w:cs="Arial" w:eastAsia="Arial" w:hAnsi="Arial"/>
          <w:sz w:val="17"/>
          <w:szCs w:val="17"/>
          <w:color w:val="auto"/>
        </w:rPr>
        <w:t>On February 12, 2013 CMA CGM announced it had finalised a financial restructuring, having reached agreement with its banks regarding a restructuring of their debt and a new covenant package taking into account the volatile nature of the container shipping industry. Other parts of this restructuring have been the French Fonds Strategique d’Investissement investment of $150 million in bonds redeemable for shares (completed June 2013) and an additional investment by the Yildrim Group of $100 million, also for bonds redeemable for shares.</w:t>
      </w:r>
    </w:p>
    <w:p>
      <w:pPr>
        <w:spacing w:after="0" w:line="63"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9"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The Company has experienced continued delays in receiving charterhire from CMA CGM, where between one and three instalments have been outstanding. Under the charter contracts charterhire is due to be paid every 15 days in advance on the 1st and 16th of each month. As at December 31, 2013, one period of charterhire, due on December 16, 2013, was outstanding amounting to $6,184. This was received in January 2014. As at close of business on February 7, 2014, the latest practicable date prior to the issuance of these consolidated financial statements, one period of charterhire, due on February 1, 2014 amounting to $5,797 was outstanding.</w:t>
      </w:r>
    </w:p>
    <w:p>
      <w:pPr>
        <w:spacing w:after="0" w:line="80"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35"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cannot exceed 75%.</w:t>
      </w:r>
    </w:p>
    <w:p>
      <w:pPr>
        <w:spacing w:after="0" w:line="73"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As the Company anticipated that the Leverage Ratio as at November 30, 2012 would, if tested, exceed 75%, it agreed with its lenders on November 13, 2012, to a further waiver, for two years, of the requirement to perform the Leverage Ratio test. The next scheduled test was to be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 On February 10, 2014 the Company agreed with the lenders under the Credit Facility an extension to the waiver from the requirement to test the Leverage Ratio. The next scheduled test will be as at May 1, 2015. All other terms of the waiver are unchanged.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facility was fully repaid and terminated on March 19, 2014 (see note 19).</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117" w:lineRule="exact"/>
        <w:rPr>
          <w:sz w:val="20"/>
          <w:szCs w:val="20"/>
          <w:color w:val="auto"/>
        </w:rPr>
      </w:pPr>
    </w:p>
    <w:p>
      <w:pPr>
        <w:ind w:left="920" w:right="44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(“U.S. GAAP”) and include the financial statements of the Company and its wholly owned subsidiaries. All inter-company transactions and accounts have been eliminated on consolidation.</w:t>
      </w:r>
    </w:p>
    <w:p>
      <w:pPr>
        <w:spacing w:after="0" w:line="33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920" w:right="80"/>
        <w:spacing w:after="0" w:line="31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95"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319"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117" w:lineRule="exact"/>
        <w:rPr>
          <w:sz w:val="20"/>
          <w:szCs w:val="20"/>
          <w:color w:val="auto"/>
        </w:rPr>
      </w:pPr>
    </w:p>
    <w:p>
      <w:pPr>
        <w:ind w:left="920" w:right="700"/>
        <w:spacing w:after="0" w:line="277" w:lineRule="auto"/>
        <w:rPr>
          <w:sz w:val="20"/>
          <w:szCs w:val="20"/>
          <w:color w:val="auto"/>
        </w:rPr>
      </w:pPr>
      <w:r>
        <w:rPr>
          <w:rFonts w:ascii="Arial" w:cs="Arial" w:eastAsia="Arial" w:hAnsi="Arial"/>
          <w:sz w:val="18"/>
          <w:szCs w:val="18"/>
          <w:color w:val="auto"/>
        </w:rPr>
        <w:t>Cash and cash equivalents subject to restrictions are excluded from cash and cash equivalents in the consolidated balance sheets and are presented as restricted cash.</w:t>
      </w:r>
    </w:p>
    <w:p>
      <w:pPr>
        <w:spacing w:after="0" w:line="319"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17" w:lineRule="exact"/>
        <w:rPr>
          <w:sz w:val="20"/>
          <w:szCs w:val="20"/>
          <w:color w:val="auto"/>
        </w:rPr>
      </w:pPr>
    </w:p>
    <w:p>
      <w:pPr>
        <w:ind w:left="920"/>
        <w:spacing w:after="0" w:line="276" w:lineRule="auto"/>
        <w:rPr>
          <w:sz w:val="20"/>
          <w:szCs w:val="20"/>
          <w:color w:val="auto"/>
        </w:rPr>
      </w:pPr>
      <w:r>
        <w:rPr>
          <w:rFonts w:ascii="Arial" w:cs="Arial" w:eastAsia="Arial" w:hAnsi="Arial"/>
          <w:sz w:val="17"/>
          <w:szCs w:val="17"/>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 nil as of December 31, 2013 (2012: $ nil).</w:t>
      </w:r>
    </w:p>
    <w:p>
      <w:pPr>
        <w:spacing w:after="0" w:line="32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Vessels</w:t>
      </w:r>
    </w:p>
    <w:p>
      <w:pPr>
        <w:spacing w:after="0" w:line="117"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Up to the date of the merger described in note 1, vessels were recorded at their acquisition cost, less an amount allocated to drydock component, less accumulated depreciation. From the date of the merger, the vessels have been recorded at their fair value at the date of the merger, less a proportion of the negative goodwill arising at the time of the merger allocated to these vessels, less accumulated depreciation and impairment loss, if any.</w:t>
      </w:r>
    </w:p>
    <w:p>
      <w:pPr>
        <w:spacing w:after="0" w:line="7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connection with the merger, the Company recognised an intangible asset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79"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62" w:lineRule="exact"/>
        <w:rPr>
          <w:sz w:val="20"/>
          <w:szCs w:val="20"/>
          <w:color w:val="auto"/>
        </w:rPr>
      </w:pPr>
    </w:p>
    <w:p>
      <w:pPr>
        <w:ind w:left="920" w:right="300"/>
        <w:spacing w:after="0" w:line="34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2013 was $ nil (2012 and 2011: $ nil). Other borrowing costs are expensed as incurred.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17" w:lineRule="exact"/>
        <w:rPr>
          <w:sz w:val="20"/>
          <w:szCs w:val="20"/>
          <w:color w:val="auto"/>
        </w:rPr>
      </w:pPr>
    </w:p>
    <w:p>
      <w:pPr>
        <w:jc w:val="both"/>
        <w:ind w:left="920" w:right="40"/>
        <w:spacing w:after="0" w:line="26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first delivery from the shipyard.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Prepayments and costs directly related to the future acquisition of vessels are presented in the consolidated balance sheets as vessel deposits.</w:t>
      </w:r>
    </w:p>
    <w:p>
      <w:pPr>
        <w:spacing w:after="0" w:line="397"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Upon initial purchase, an element of the purchase price of a vessel is allocated to a drydock component which is amortized on a straight line basis to the anticipated next drydocking date. Vessels are drydocked approximately every five years for major repairs and maintenance that cannot be performed while the vessels are operating. Costs directly associated with a drydocking, including the required regulatory inspection of the vessel, its hull and its machinery and for the defouling and repainting of the hull are capitalized as they are incurred and depreciated on a straight line basis over the period between drydocks. All capitalized drydocking costs have been classified within investing activities in the consolidated statements of cash flows.</w:t>
      </w:r>
    </w:p>
    <w:p>
      <w:pPr>
        <w:spacing w:after="0" w:line="34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options</w:t>
      </w:r>
    </w:p>
    <w:p>
      <w:pPr>
        <w:spacing w:after="0" w:line="117"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Cash consideration paid or transferred for the acquisition of purchase options to acquire vessels at a fixed purchase price are recognized as intangible assets in an amount up to the difference, as at the transaction date, between (i) the amount paid for the options plus the purchase price of the vessels and (ii) 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jc w:val="both"/>
        <w:ind w:left="920" w:right="180"/>
        <w:spacing w:after="0" w:line="264" w:lineRule="auto"/>
        <w:rPr>
          <w:sz w:val="20"/>
          <w:szCs w:val="20"/>
          <w:color w:val="auto"/>
        </w:rPr>
      </w:pPr>
      <w:r>
        <w:rPr>
          <w:rFonts w:ascii="Arial" w:cs="Arial" w:eastAsia="Arial" w:hAnsi="Arial"/>
          <w:sz w:val="18"/>
          <w:szCs w:val="18"/>
          <w:color w:val="auto"/>
        </w:rPr>
        <w:t>Intangible assets are reviewed individually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330"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117" w:lineRule="exact"/>
        <w:rPr>
          <w:sz w:val="20"/>
          <w:szCs w:val="20"/>
          <w:color w:val="auto"/>
        </w:rPr>
      </w:pPr>
    </w:p>
    <w:p>
      <w:pPr>
        <w:jc w:val="both"/>
        <w:ind w:left="920" w:right="280"/>
        <w:spacing w:after="0" w:line="312"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wherein the Company’s actual charter rates were compared to market rates at the merger date. These intangible liabilities, recognizing the below market rates as at the date of merger, are amortized as an increase of time charter revenue over the remaining term of the relevant charters.</w:t>
      </w:r>
    </w:p>
    <w:p>
      <w:pPr>
        <w:spacing w:after="0" w:line="295"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17" w:lineRule="exact"/>
        <w:rPr>
          <w:sz w:val="20"/>
          <w:szCs w:val="20"/>
          <w:color w:val="auto"/>
        </w:rPr>
      </w:pPr>
    </w:p>
    <w:p>
      <w:pPr>
        <w:ind w:left="920" w:right="20"/>
        <w:spacing w:after="0" w:line="302"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net present value of future cash flows discounted by an appropriate discount rate.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Long-lived assets (continued)</w:t>
      </w:r>
    </w:p>
    <w:p>
      <w:pPr>
        <w:spacing w:after="0" w:line="117"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Accordingly, an impairment test, based on expected undiscounted cash flows by vessel, was performed as at September 30, 2011 and again as at December 31, 2012. No impairment was recognised after each of these tests as, based on the assumptions made, the expected undiscounted future cash flows exceeded the vessels’ carrying amounts.</w:t>
      </w:r>
    </w:p>
    <w:p>
      <w:pPr>
        <w:spacing w:after="0" w:line="79"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The agreement of new charters with effect from May 1, 2013 of two of the Company’s vessels at rates below the previous rates was seen as an indicator of potential impairment of their carrying value. Accordingly, an impairment test, based on expected undiscounted cash flows by vessel, was performed for these two vessels as at March 31, 2013. Based on the assumptions made, the expected undiscounted future cash flows exceeded the vessels’ carrying amounts as at March 31, 2013 and accordingly no impairment was recognised.</w:t>
      </w:r>
    </w:p>
    <w:p>
      <w:pPr>
        <w:spacing w:after="0" w:line="63"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Due to continuing poor industry conditions, a further impairment test on a vessel by vessel basis was performed as at December 31, 2013. No impairment has been recognised as, based on the assumptions made, the expected undiscounted future cash flows exceeded the vessels’ carrying amounts.</w:t>
      </w:r>
    </w:p>
    <w:p>
      <w:pPr>
        <w:spacing w:after="0" w:line="73"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from first delivery from the shipyard. In the case of an indication of impairment, the results of a recoverability test would also be sensitive to the discount rate applied.</w:t>
      </w:r>
    </w:p>
    <w:p>
      <w:pPr>
        <w:spacing w:after="0" w:line="84"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Based on the assumptions made, the expected undiscounted future cash flows exceeded the vessels’ carrying amounts at each of the test dates disclosed above and accordingly no impairment has been recognised.</w:t>
      </w:r>
    </w:p>
    <w:p>
      <w:pPr>
        <w:spacing w:after="0" w:line="319" w:lineRule="exact"/>
        <w:rPr>
          <w:sz w:val="20"/>
          <w:szCs w:val="20"/>
          <w:color w:val="auto"/>
        </w:rPr>
      </w:pPr>
    </w:p>
    <w:p>
      <w:pPr>
        <w:ind w:left="920" w:right="8840" w:hanging="466"/>
        <w:spacing w:after="0" w:line="422" w:lineRule="auto"/>
        <w:tabs>
          <w:tab w:leader="none" w:pos="898"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Derivative instruments Interest rate hedges</w:t>
      </w:r>
    </w:p>
    <w:p>
      <w:pPr>
        <w:spacing w:after="0" w:line="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73"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The Company’s interest rate derivative instruments do not qualify for hedge accounting. Changes in the fair value are recognized immediately in the consolidated statements of income within “Unrealized gain (loss) on interest rate derivatives”. Cash settlements of interest rate derivative instruments are recognized immediately in the consolidated statements of income within “Realized loss on interest rate derivatives”. Cash flows related to interest rate derivatives (including payments and periodic cash settlements) are included within “Net cash used in investing activities”.</w:t>
      </w:r>
    </w:p>
    <w:p>
      <w:pPr>
        <w:spacing w:after="0" w:line="46"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The fair value of derivatives is presented on the face of the consolidated balance sheets under the line item “Derivative instruments” and is split into current and non-current portions based on the net cash flows expected within one year.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Deferred financing costs</w:t>
      </w:r>
    </w:p>
    <w:p>
      <w:pPr>
        <w:spacing w:after="0" w:line="117" w:lineRule="exact"/>
        <w:rPr>
          <w:sz w:val="20"/>
          <w:szCs w:val="20"/>
          <w:color w:val="auto"/>
        </w:rPr>
      </w:pPr>
    </w:p>
    <w:p>
      <w:pPr>
        <w:jc w:val="both"/>
        <w:ind w:left="920" w:right="60"/>
        <w:spacing w:after="0" w:line="286" w:lineRule="auto"/>
        <w:rPr>
          <w:sz w:val="20"/>
          <w:szCs w:val="20"/>
          <w:color w:val="auto"/>
        </w:rPr>
      </w:pPr>
      <w:r>
        <w:rPr>
          <w:rFonts w:ascii="Arial" w:cs="Arial" w:eastAsia="Arial" w:hAnsi="Arial"/>
          <w:sz w:val="17"/>
          <w:szCs w:val="17"/>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w:t>
      </w:r>
    </w:p>
    <w:p>
      <w:pPr>
        <w:spacing w:after="0" w:line="31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117"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Preferred shares have been included within liabilities in the consolidated balance sheets and preferred share dividends included within interest expense in the consolidated statements of income as their nature is similar to that of a liability rather than equity. Holders of these mandatorily redeemable preferred shares are entitled to receive a dividend equal to 3-month U.S. dollar LIBOR plus 2% on the original issue price and rank senior to the Class A and Class B common shares with respect to dividend rights and rights upon liquidation, dissolution or winding up of the Company.</w:t>
      </w:r>
    </w:p>
    <w:p>
      <w:pPr>
        <w:spacing w:after="0" w:line="337"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319"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117" w:lineRule="exact"/>
        <w:rPr>
          <w:sz w:val="20"/>
          <w:szCs w:val="20"/>
          <w:color w:val="auto"/>
        </w:rPr>
      </w:pPr>
    </w:p>
    <w:p>
      <w:pPr>
        <w:ind w:left="920" w:right="280"/>
        <w:spacing w:after="0" w:line="257" w:lineRule="auto"/>
        <w:rPr>
          <w:sz w:val="20"/>
          <w:szCs w:val="20"/>
          <w:color w:val="auto"/>
        </w:rPr>
      </w:pPr>
      <w:r>
        <w:rPr>
          <w:rFonts w:ascii="Arial" w:cs="Arial" w:eastAsia="Arial" w:hAnsi="Arial"/>
          <w:sz w:val="18"/>
          <w:szCs w:val="18"/>
          <w:color w:val="auto"/>
        </w:rPr>
        <w:t>Other comprehensive income (loss), which is reported in the consolidated statement of stockholders’ equity, consists of net income (loss) and other gains and losses affecting equity that, under U.S. GAAP, are excluded from net income (loss). Under ASU 2011-05, an entity reporting comprehensive income in a single continuous financial statement shall present its components in two sections, net income and other comprehensive income. As the Company does not, to date, have other comprehensive income, the accompanying consolidated financial statements only include consolidated statements of income.</w:t>
      </w:r>
    </w:p>
    <w:p>
      <w:pPr>
        <w:spacing w:after="0" w:line="337"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117"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except for loss generating time charters, in which case the loss is recognized in the period when such accumulated loss is determined. The Company has no loss generating time charters.</w:t>
      </w:r>
    </w:p>
    <w:p>
      <w:pPr>
        <w:spacing w:after="0" w:line="80"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319"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117"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 (loss).</w:t>
      </w:r>
    </w:p>
    <w:p>
      <w:pPr>
        <w:spacing w:after="0" w:line="335"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expensed over the period covered by the insurance contract.</w:t>
      </w:r>
    </w:p>
    <w:p>
      <w:pPr>
        <w:spacing w:after="0" w:line="335"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awards restricted stock units to its management and Directors as part of their compensation.</w:t>
      </w:r>
    </w:p>
    <w:p>
      <w:pPr>
        <w:spacing w:after="0" w:line="117"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expected vesting period.</w:t>
      </w:r>
    </w:p>
    <w:p>
      <w:pPr>
        <w:spacing w:after="0" w:line="330"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Company and its Marshall Island subsidiaries are exempt from taxation in the Marshall Islands. The Company’s vessels are flagged in Bahamas, Cyprus and Panama and are liable for tax based on the tonnage of the vessel. The cost, which is included within operating expenses, amounted to $169, $146 and $124 for the years ended December 31, 2013, 2012 and 2011, respectively. The Cyprus subsidiaries are liable for income tax payable on any interest income earned from non-shipping activity.</w:t>
      </w:r>
    </w:p>
    <w:p>
      <w:pPr>
        <w:spacing w:after="0" w:line="7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23% (2012: 24%, 2011: 26%). This subsidiary earns management and other fees from fellow group companies.</w:t>
      </w:r>
    </w:p>
    <w:p>
      <w:pPr>
        <w:spacing w:after="0" w:line="62" w:lineRule="exact"/>
        <w:rPr>
          <w:sz w:val="20"/>
          <w:szCs w:val="20"/>
          <w:color w:val="auto"/>
        </w:rPr>
      </w:pPr>
    </w:p>
    <w:p>
      <w:pPr>
        <w:ind w:left="920" w:right="120"/>
        <w:spacing w:after="0" w:line="272" w:lineRule="auto"/>
        <w:rPr>
          <w:sz w:val="20"/>
          <w:szCs w:val="20"/>
          <w:color w:val="auto"/>
        </w:rPr>
      </w:pPr>
      <w:r>
        <w:rPr>
          <w:rFonts w:ascii="Arial" w:cs="Arial" w:eastAsia="Arial" w:hAnsi="Arial"/>
          <w:sz w:val="17"/>
          <w:szCs w:val="17"/>
          <w:color w:val="auto"/>
        </w:rPr>
        <w:t>The Company accounts for deferred income taxes using the liability method which requires the determination of deferred tax assets and liabilities, based upon temporary timing differences that arise between the financial statement and tax bases of recorded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2013 a deferred tax liability of $43 (2012: $27) was recognized relating to stock based compensation costs charged to the consolidated statements of income in respect of unvested shares and timing differences between the carrying amounts of assets for financial reporting purposes and their tax bases.</w:t>
      </w:r>
    </w:p>
    <w:p>
      <w:pPr>
        <w:spacing w:after="0" w:line="7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319"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consolidated balance sheets in the line item “Dividends payable”.</w:t>
      </w:r>
    </w:p>
    <w:p>
      <w:pPr>
        <w:spacing w:after="0" w:line="319"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left="920" w:right="60"/>
        <w:spacing w:after="0" w:line="257" w:lineRule="auto"/>
        <w:rPr>
          <w:sz w:val="20"/>
          <w:szCs w:val="20"/>
          <w:color w:val="auto"/>
        </w:rPr>
      </w:pPr>
      <w:r>
        <w:rPr>
          <w:rFonts w:ascii="Arial" w:cs="Arial" w:eastAsia="Arial" w:hAnsi="Arial"/>
          <w:sz w:val="18"/>
          <w:szCs w:val="18"/>
          <w:color w:val="auto"/>
        </w:rPr>
        <w:t>Basic earnings per common share are based on income available to common shareholders divided by the weighted-average number of common shares outstanding during the period, excluding unvested restricted stock units. Diluted earnings per common share are calculated by applying the treasury stock method. All outstanding warrants and unvested restricted stock units that have a dilutive effect are included in the calculation. The basic and diluted earnings per share for the period are presented for each category of participating common shares under the two-class method.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117"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In January 2013, the Financial Accounting Standards Board (“FASB”) issued an accounting standards update (Topic 210) that clarified a previous update issued in 2011 in respect of disclosure of offsetting assets and liabilities. The amendment is effective for annual and interim periods beginning on or after January 1, 2013. The adoption of this update has led to minor disclosure amendments.</w:t>
      </w:r>
    </w:p>
    <w:p>
      <w:pPr>
        <w:spacing w:after="0" w:line="73" w:lineRule="exact"/>
        <w:rPr>
          <w:sz w:val="20"/>
          <w:szCs w:val="20"/>
          <w:color w:val="auto"/>
        </w:rPr>
      </w:pPr>
    </w:p>
    <w:p>
      <w:pPr>
        <w:jc w:val="both"/>
        <w:ind w:left="460" w:right="20"/>
        <w:spacing w:after="0" w:line="279" w:lineRule="auto"/>
        <w:rPr>
          <w:sz w:val="20"/>
          <w:szCs w:val="20"/>
          <w:color w:val="auto"/>
        </w:rPr>
      </w:pPr>
      <w:r>
        <w:rPr>
          <w:rFonts w:ascii="Arial" w:cs="Arial" w:eastAsia="Arial" w:hAnsi="Arial"/>
          <w:sz w:val="17"/>
          <w:szCs w:val="17"/>
          <w:color w:val="auto"/>
        </w:rPr>
        <w:t>In February 2013, FASB issued an update amending certain requirements for the reporting of joint and several liability arrangements (Topic 405). A reporting entity will be required to make increased disclosure of obligations resulting from joint and several liability arrangements for which the total amount of the obligation is fixed at the reporting date. The amendment is effective for annual and interim periods beginning on or after December 15, 2013 and early adoption is permitted. The adoption of this update has led to minor disclosure amendments.</w:t>
      </w:r>
    </w:p>
    <w:p>
      <w:pPr>
        <w:spacing w:after="0" w:line="63"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742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4"/>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$ 1,014,473</w:t>
            </w: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$1,014,367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(196,598)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(158,205)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817,875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2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0" w:type="dxa"/>
            <w:vAlign w:val="bottom"/>
          </w:tcPr>
          <w:p>
            <w:pPr>
              <w:spacing w:after="0"/>
              <w:rPr>
                <w:sz w:val="24"/>
                <w:szCs w:val="24"/>
                <w:color w:val="auto"/>
              </w:rPr>
            </w:pPr>
          </w:p>
        </w:tc>
        <w:tc>
          <w:tcPr>
            <w:tcW w:w="7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856,394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(40,299)</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817,875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all 17 vessels were pledged as collateral under the credit facility agreement (see note 10).</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500" w:type="dxa"/>
            <w:vAlign w:val="bottom"/>
            <w:gridSpan w:val="4"/>
          </w:tcPr>
          <w:p>
            <w:pPr>
              <w:ind w:left="220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Opening balance</w:t>
            </w:r>
          </w:p>
        </w:tc>
        <w:tc>
          <w:tcPr>
            <w:tcW w:w="240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Depreciation</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400" w:type="dxa"/>
            <w:vAlign w:val="bottom"/>
            <w:gridSpan w:val="2"/>
            <w:shd w:val="clear" w:color="auto" w:fill="CCEEFF"/>
          </w:tcPr>
          <w:p>
            <w:pPr>
              <w:ind w:left="22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2011, vessel purchase options which had been recorded at a fair value of $13,645 and were recognised as an intangible asset were fully impaired as they lapsed without the Company exercising them.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60"/>
          </w:cols>
          <w:pgMar w:left="24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Prepaid expenses as at December 31, 2013 includes $4,800 (2012: nil) costs incurred in connection with the Company’s refinancing project.</w:t>
      </w:r>
    </w:p>
    <w:p>
      <w:pPr>
        <w:spacing w:after="0" w:line="381" w:lineRule="exact"/>
        <w:rPr>
          <w:rFonts w:ascii="Arial" w:cs="Arial" w:eastAsia="Arial" w:hAnsi="Arial"/>
          <w:sz w:val="18"/>
          <w:szCs w:val="18"/>
          <w:b w:val="1"/>
          <w:bCs w:val="1"/>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value of derivative financial instruments contracted by the Company is as follows:</w:t>
      </w: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220" w:type="dxa"/>
            <w:vAlign w:val="bottom"/>
            <w:gridSpan w:val="2"/>
          </w:tcPr>
          <w:p>
            <w:pPr>
              <w:ind w:left="380"/>
              <w:spacing w:after="0"/>
              <w:rPr>
                <w:sz w:val="20"/>
                <w:szCs w:val="20"/>
                <w:color w:val="auto"/>
              </w:rPr>
            </w:pPr>
            <w:r>
              <w:rPr>
                <w:rFonts w:ascii="Arial" w:cs="Arial" w:eastAsia="Arial" w:hAnsi="Arial"/>
                <w:sz w:val="14"/>
                <w:szCs w:val="14"/>
                <w:b w:val="1"/>
                <w:bCs w:val="1"/>
                <w:color w:val="auto"/>
                <w:w w:val="90"/>
              </w:rPr>
              <w:t>December 31,</w:t>
            </w:r>
          </w:p>
        </w:tc>
        <w:tc>
          <w:tcPr>
            <w:tcW w:w="1540" w:type="dxa"/>
            <w:vAlign w:val="bottom"/>
            <w:gridSpan w:val="3"/>
          </w:tcPr>
          <w:p>
            <w:pPr>
              <w:ind w:lef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592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Fair value of interest rate swap hedging instruments - current and non current</w:t>
            </w:r>
          </w:p>
        </w:tc>
        <w:tc>
          <w:tcPr>
            <w:tcW w:w="1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21,289</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portions</w:t>
            </w:r>
          </w:p>
        </w:tc>
        <w:tc>
          <w:tcPr>
            <w:tcW w:w="1220" w:type="dxa"/>
            <w:vAlign w:val="bottom"/>
            <w:gridSpan w:val="2"/>
            <w:vMerge w:val="continue"/>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2013 and December 31, 2012, none of the Company’s derivative instruments qualified for hedge accounting.</w:t>
      </w:r>
    </w:p>
    <w:p>
      <w:pPr>
        <w:spacing w:after="0" w:line="117" w:lineRule="exact"/>
        <w:rPr>
          <w:sz w:val="20"/>
          <w:szCs w:val="20"/>
          <w:color w:val="auto"/>
        </w:rPr>
      </w:pPr>
    </w:p>
    <w:p>
      <w:pPr>
        <w:ind w:left="460" w:right="240"/>
        <w:spacing w:after="0" w:line="308" w:lineRule="auto"/>
        <w:rPr>
          <w:sz w:val="20"/>
          <w:szCs w:val="20"/>
          <w:color w:val="auto"/>
        </w:rPr>
      </w:pPr>
      <w:r>
        <w:rPr>
          <w:rFonts w:ascii="Arial" w:cs="Arial" w:eastAsia="Arial" w:hAnsi="Arial"/>
          <w:sz w:val="17"/>
          <w:szCs w:val="17"/>
          <w:color w:val="auto"/>
        </w:rPr>
        <w:t>The Company entered into certain derivative interest rate agreements to fix the interest rate on debt drawn or anticipated to be drawn under its credit facility. A total of $277,000 has been swapped into fixed rate debt at a weighted average rate of 3.82%, with details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Start Date</w:t>
            </w:r>
          </w:p>
        </w:tc>
        <w:tc>
          <w:tcPr>
            <w:tcW w:w="460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Notional</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Fixed Rate %</w:t>
            </w: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December 17,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December 17, 2008</w:t>
            </w:r>
          </w:p>
        </w:tc>
        <w:tc>
          <w:tcPr>
            <w:tcW w:w="4600" w:type="dxa"/>
            <w:vAlign w:val="bottom"/>
          </w:tcPr>
          <w:p>
            <w:pPr>
              <w:ind w:left="1180"/>
              <w:spacing w:after="0"/>
              <w:rPr>
                <w:sz w:val="20"/>
                <w:szCs w:val="20"/>
                <w:color w:val="auto"/>
              </w:rPr>
            </w:pPr>
            <w:r>
              <w:rPr>
                <w:rFonts w:ascii="Arial" w:cs="Arial" w:eastAsia="Arial" w:hAnsi="Arial"/>
                <w:sz w:val="18"/>
                <w:szCs w:val="18"/>
                <w:color w:val="auto"/>
              </w:rPr>
              <w:t>December 17, 2016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December 17, 2016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July 15, 2009</w:t>
            </w:r>
          </w:p>
        </w:tc>
        <w:tc>
          <w:tcPr>
            <w:tcW w:w="4600" w:type="dxa"/>
            <w:vAlign w:val="bottom"/>
          </w:tcPr>
          <w:p>
            <w:pPr>
              <w:ind w:left="1180"/>
              <w:spacing w:after="0"/>
              <w:rPr>
                <w:sz w:val="20"/>
                <w:szCs w:val="20"/>
                <w:color w:val="auto"/>
              </w:rPr>
            </w:pPr>
            <w:r>
              <w:rPr>
                <w:rFonts w:ascii="Arial" w:cs="Arial" w:eastAsia="Arial" w:hAnsi="Arial"/>
                <w:sz w:val="18"/>
                <w:szCs w:val="18"/>
                <w:color w:val="auto"/>
              </w:rPr>
              <w:t>August 29, 2014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46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October 29, 2015</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5"/>
              </w:rPr>
              <w:t>4.25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4600" w:type="dxa"/>
            <w:vAlign w:val="bottom"/>
          </w:tcPr>
          <w:p>
            <w:pPr>
              <w:ind w:left="1980"/>
              <w:spacing w:after="0"/>
              <w:rPr>
                <w:sz w:val="20"/>
                <w:szCs w:val="20"/>
                <w:color w:val="auto"/>
              </w:rPr>
            </w:pPr>
            <w:r>
              <w:rPr>
                <w:rFonts w:ascii="Arial" w:cs="Arial" w:eastAsia="Arial" w:hAnsi="Arial"/>
                <w:sz w:val="18"/>
                <w:szCs w:val="18"/>
                <w:b w:val="1"/>
                <w:bCs w:val="1"/>
                <w:color w:val="auto"/>
              </w:rPr>
              <w:t>Total / Weighted average rate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277,000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rPr>
              <w:t>3.82%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had a one time option to cancel the swaps in February 2013 which was not exercised</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counterparties had a one time option to cancel the swaps in March 2013 which was not exercised</w:t>
      </w:r>
    </w:p>
    <w:p>
      <w:pPr>
        <w:spacing w:after="0" w:line="102" w:lineRule="exact"/>
        <w:rPr>
          <w:rFonts w:ascii="Arial" w:cs="Arial" w:eastAsia="Arial" w:hAnsi="Arial"/>
          <w:sz w:val="18"/>
          <w:szCs w:val="18"/>
          <w:i w:val="1"/>
          <w:iCs w:val="1"/>
          <w:color w:val="auto"/>
        </w:rPr>
      </w:pPr>
    </w:p>
    <w:p>
      <w:pPr>
        <w:ind w:left="460" w:right="2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As of December 31, 2013 the maximum length of time over which the Company has hedged its interest rate exposure was approximately three years (2012: four years).</w:t>
      </w:r>
    </w:p>
    <w:p>
      <w:pPr>
        <w:spacing w:after="0" w:line="62"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The interest rate derivatives were terminated on March 19, 2014 (see note 19).</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r>
              <w:rPr>
                <w:rFonts w:ascii="Arial" w:cs="Arial" w:eastAsia="Arial" w:hAnsi="Arial"/>
                <w:sz w:val="18"/>
                <w:szCs w:val="18"/>
                <w:color w:val="auto"/>
                <w:w w:val="79"/>
              </w:rPr>
              <w:t>.</w:t>
            </w:r>
          </w:p>
        </w:tc>
        <w:tc>
          <w:tcPr>
            <w:tcW w:w="72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Financing Costs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Expenditure in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within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r>
      <w:tr>
        <w:trPr>
          <w:trHeight w:val="223"/>
        </w:trPr>
        <w:tc>
          <w:tcPr>
            <w:tcW w:w="300" w:type="dxa"/>
            <w:vAlign w:val="bottom"/>
          </w:tcPr>
          <w:p>
            <w:pPr>
              <w:spacing w:after="0"/>
              <w:rPr>
                <w:sz w:val="19"/>
                <w:szCs w:val="19"/>
                <w:color w:val="auto"/>
              </w:rPr>
            </w:pPr>
          </w:p>
        </w:tc>
        <w:tc>
          <w:tcPr>
            <w:tcW w:w="7240" w:type="dxa"/>
            <w:vAlign w:val="bottom"/>
            <w:gridSpan w:val="2"/>
          </w:tcPr>
          <w:p>
            <w:pPr>
              <w:ind w:left="108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On November 13, 2012 the Company obtained a waiver until December 1, 2014 from the Leverage Ratio test. The fees and related costs paid amounted to $1,115 and have been deferred and are being amortized over the remaining term of the credit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800" w:type="dxa"/>
            <w:vAlign w:val="bottom"/>
            <w:gridSpan w:val="2"/>
          </w:tcPr>
          <w:p>
            <w:pPr>
              <w:ind w:left="280"/>
              <w:spacing w:after="0"/>
              <w:rPr>
                <w:sz w:val="20"/>
                <w:szCs w:val="20"/>
                <w:color w:val="auto"/>
              </w:rPr>
            </w:pPr>
            <w:r>
              <w:rPr>
                <w:rFonts w:ascii="Arial" w:cs="Arial" w:eastAsia="Arial" w:hAnsi="Arial"/>
                <w:sz w:val="18"/>
                <w:szCs w:val="18"/>
                <w:color w:val="auto"/>
              </w:rPr>
              <w:t>(Expressed in thousands of U.S. dollars)</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9.</w:t>
            </w:r>
          </w:p>
        </w:tc>
        <w:tc>
          <w:tcPr>
            <w:tcW w:w="36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Intangible Liability – Charter Agreements</w:t>
            </w: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820" w:type="dxa"/>
            <w:vAlign w:val="bottom"/>
            <w:gridSpan w:val="4"/>
          </w:tcPr>
          <w:p>
            <w:pPr>
              <w:ind w:left="36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380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in period</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3800" w:type="dxa"/>
            <w:vAlign w:val="bottom"/>
            <w:gridSpan w:val="2"/>
            <w:shd w:val="clear" w:color="auto" w:fill="CCEEFF"/>
          </w:tcPr>
          <w:p>
            <w:pPr>
              <w:ind w:left="36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17,931</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Intangible liabilities relate to management’s estimate of the fair value of below-market charters on August 14, 2008, the date of the merger (see note 1).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length of the charter as the relevant time period.</w:t>
      </w:r>
    </w:p>
    <w:p>
      <w:pPr>
        <w:spacing w:after="0" w:line="50"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upon delivery. These intangible liabilities are amortized as an increase of time charter revenue over the remaining term of the relevant charter.</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 In February 2013, one member of the syndicate novated part of their commitment to the following funds: FPA Hawkeye-7 Fund, FPA Crescent Fund, FPA Hawkeye Fund and FPA Value Partners Fund.</w:t>
      </w:r>
    </w:p>
    <w:p>
      <w:pPr>
        <w:spacing w:after="0" w:line="80"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Leverage Ratio is not permitted to exceed 75%.</w:t>
      </w:r>
    </w:p>
    <w:p>
      <w:pPr>
        <w:spacing w:after="0" w:line="117"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3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At April 30, 2011 the Leverage Ratio was less than 75% and greater than 65%. Accordingly, from that date (i) interest margin paid on borrowings was 3.00% (ii) repayments of borrowings were fixed at $10,000 per quarter, and (iii) the Company was able to make dividend payments to common shareholders, although no such dividends were paid. On this basis, further repayments of $10,000 were made on both June 30, 2011 and September 30, 2011.</w:t>
      </w:r>
    </w:p>
    <w:p>
      <w:pPr>
        <w:spacing w:after="0" w:line="79"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quarterly repayments of borrowings to be made in an amount equal to free cash in excess of $20,000 determined as at the previous month end subject to a minimum of $40,000 repayment a year on a rolling 12 month trailing basis, and (iii) the Company was unable to make dividend payments to common shareholders. On this basis, repayments were made of $15,341 on December 31, 2011 and $11,788 on March 30, 2012.</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 (continued)</w:t>
      </w:r>
    </w:p>
    <w:p>
      <w:pPr>
        <w:spacing w:after="0" w:line="162"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As the Company anticipated, due to continuing poor industry conditions, that the Leverage Ratio as at November 30, 2012 would, if tested, exceed 75%, it agreed with its lenders on November 13, 2012, to a further waiver, for two years, of the requirement to perform the Leverage Ratio test. Accordingly, the next scheduled test was to be December 1, 2014. It was also agreed that all secured vessels will be included in the Leverage Ratio test, whether they are subject to a charter or not. In the waiver period, the fixed interest margin to be paid over U.S. dollar LIBOR is 3.75%, repayments are based on cash flow, as in the previous waiver, and dividends on common shares cannot be paid.</w:t>
      </w:r>
    </w:p>
    <w:p>
      <w:pPr>
        <w:spacing w:after="0" w:line="64"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On February 10, 2014 the Company agreed with its lenders to extend the current waiver period through to April 30, 2015, with May 1, 2015 being the date of the next Leverage Ratio test. The current waiver terms and conditions will continue through the extension period. During the waiver period, including the extension, debt cannot be accelerated for the Leverage Ratio during the waiver period and debt estimated to be payable after one year is classified as non-current in the consolidated balance sheets. repayments of the credit facility were made of $11,080 on December 31, 2012, $14,800 on March 28, 2013, $10,797 on June 28, 2013, $15,803 on September 30, 2013 and $17,909 on December 30, 2013.</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117"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The credit facility is secured by, inter alia, first priority mortgages on each of the Company’s 17 vessels, a pledge of shares of the vessel owning subsidiaries as well as assignments of earnings and insurances. The Company, along with all of its subsidiaries, is jointly and severally liable for the total amount of the outstanding credit facility.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 term debt is summarized as follows:</w:t>
      </w: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360" w:type="dxa"/>
            <w:vAlign w:val="bottom"/>
            <w:gridSpan w:val="4"/>
          </w:tcPr>
          <w:p>
            <w:pPr>
              <w:ind w:left="1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ind w:left="260"/>
              <w:spacing w:after="0"/>
              <w:rPr>
                <w:sz w:val="20"/>
                <w:szCs w:val="20"/>
                <w:color w:val="auto"/>
              </w:rPr>
            </w:pPr>
            <w:r>
              <w:rPr>
                <w:rFonts w:ascii="Arial" w:cs="Arial" w:eastAsia="Arial" w:hAnsi="Arial"/>
                <w:sz w:val="14"/>
                <w:szCs w:val="14"/>
                <w:color w:val="auto"/>
              </w:rPr>
              <w:t>December 31,</w:t>
            </w:r>
          </w:p>
        </w:tc>
      </w:tr>
      <w:tr>
        <w:trPr>
          <w:trHeight w:val="176"/>
        </w:trPr>
        <w:tc>
          <w:tcPr>
            <w:tcW w:w="5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US Dollar LIBOR + 3.50% to 3.75%</w:t>
            </w: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425,676</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Less current instalments of long term debt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(50,110)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(50,572)</w:t>
            </w:r>
          </w:p>
        </w:tc>
      </w:tr>
      <w:tr>
        <w:trPr>
          <w:trHeight w:val="27"/>
        </w:trPr>
        <w:tc>
          <w:tcPr>
            <w:tcW w:w="5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316,256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375,104</w:t>
            </w:r>
          </w:p>
        </w:tc>
        <w:tc>
          <w:tcPr>
            <w:tcW w:w="12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Based on (i) management’s reasonable estimate of cash flows from January 1, 2014 and (ii) the waiver of the requirement to test the Leverage Ratio until May 1, 2015 at which point it is assumed to be less than 75% meaning that the Company will be able to comply with the leverage ratio covenant at its next measurement date, the estimated repayments in each of the relevant periods are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2014</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tcPr>
          <w:p>
            <w:pPr>
              <w:spacing w:after="0"/>
              <w:rPr>
                <w:sz w:val="24"/>
                <w:szCs w:val="24"/>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43,761</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2016</w:t>
            </w:r>
          </w:p>
        </w:tc>
        <w:tc>
          <w:tcPr>
            <w:tcW w:w="2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272,495</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366,366</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facility was fully repaid and terminated on March 19, 2014 (see note 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Other Operating (Income)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operating (income) expense is summarized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Year ended</w:t>
            </w: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color w:val="auto"/>
                <w:w w:val="91"/>
              </w:rPr>
              <w:t>Year ended</w:t>
            </w:r>
          </w:p>
        </w:tc>
        <w:tc>
          <w:tcPr>
            <w:tcW w:w="36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Year ended</w:t>
            </w:r>
          </w:p>
        </w:tc>
      </w:tr>
      <w:tr>
        <w:trPr>
          <w:trHeight w:val="149"/>
        </w:trPr>
        <w:tc>
          <w:tcPr>
            <w:tcW w:w="3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3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r>
      <w:tr>
        <w:trPr>
          <w:trHeight w:val="185"/>
        </w:trPr>
        <w:tc>
          <w:tcPr>
            <w:tcW w:w="3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2012</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20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sundry income</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3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8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(411)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r>
      <w:tr>
        <w:trPr>
          <w:trHeight w:val="20"/>
        </w:trPr>
        <w:tc>
          <w:tcPr>
            <w:tcW w:w="3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2013 is a significant shareholder of the Company, owning Class A and Class B common shares representing a 45% voting interest in the Company.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and from CMA CGM companies are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6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companies presented within current liabilities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Amounts due from CMA CGM companies presented within current assets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7,006</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500"/>
        <w:spacing w:after="0" w:line="34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December 31, 2013 and December 31, 2012 relate to amounts payable to or recoverable from CMA CGM group companies.</w:t>
      </w:r>
    </w:p>
    <w:p>
      <w:pPr>
        <w:spacing w:after="0" w:line="16"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The Company has experienced continued delays in receiving charterhire from CMA CGM, where between one and three instalments have been outstanding up to the date of these financial statements. Under the charter contracts charterhire is due to be paid every 15 days in advance on the 1st and 16th of each month.</w:t>
      </w:r>
    </w:p>
    <w:p>
      <w:pPr>
        <w:spacing w:after="0" w:line="7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As at December 31, 2013, one period of charterhire, due on December 16, 2013, was outstanding amounting to $6,184. This was received in January 2014. As at close of business on February 7, 2014, the latest practicable date prior to the issuance of these consolidated financial statements, one period of charterhire, due on February 1, 2014 amounting to $5,797 was outstanding.</w:t>
      </w:r>
    </w:p>
    <w:p>
      <w:pPr>
        <w:spacing w:after="0" w:line="73" w:lineRule="exact"/>
        <w:rPr>
          <w:sz w:val="20"/>
          <w:szCs w:val="20"/>
          <w:color w:val="auto"/>
        </w:rPr>
      </w:pPr>
    </w:p>
    <w:p>
      <w:pPr>
        <w:jc w:val="both"/>
        <w:ind w:left="460" w:right="700"/>
        <w:spacing w:after="0" w:line="342" w:lineRule="auto"/>
        <w:rPr>
          <w:sz w:val="20"/>
          <w:szCs w:val="20"/>
          <w:color w:val="auto"/>
        </w:rPr>
      </w:pPr>
      <w:r>
        <w:rPr>
          <w:rFonts w:ascii="Arial" w:cs="Arial" w:eastAsia="Arial" w:hAnsi="Arial"/>
          <w:sz w:val="16"/>
          <w:szCs w:val="16"/>
          <w:color w:val="auto"/>
        </w:rPr>
        <w:t>CMA CGM holds all of the Series A preferred shares of the Company. During the year to December 31, 2013, the Company paid CMA CGM dividends on the preferred shares of $1,037 (2012: $1,161, 2011: $1,125). Dividends on preferred shares are included within interest expense.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121"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December 31, 2013 of between 0.3 and 12.0 years (see note 2(a)). All the $912,140 maximum contracted future charter hire receivable for the fleet set out in note 13 relates to the 17 vessels currently chartered to CMA CGM.</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920" w:type="dxa"/>
            <w:vAlign w:val="bottom"/>
            <w:gridSpan w:val="2"/>
          </w:tcPr>
          <w:p>
            <w:pPr>
              <w:jc w:val="center"/>
              <w:ind w:left="732"/>
              <w:spacing w:after="0"/>
              <w:rPr>
                <w:sz w:val="20"/>
                <w:szCs w:val="20"/>
                <w:color w:val="auto"/>
              </w:rPr>
            </w:pPr>
            <w:r>
              <w:rPr>
                <w:rFonts w:ascii="Arial" w:cs="Arial" w:eastAsia="Arial" w:hAnsi="Arial"/>
                <w:sz w:val="18"/>
                <w:szCs w:val="18"/>
                <w:b w:val="1"/>
                <w:bCs w:val="1"/>
                <w:color w:val="auto"/>
                <w:w w:val="90"/>
              </w:rPr>
              <w:t>Global Ship Lease, Inc.</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920" w:type="dxa"/>
            <w:vAlign w:val="bottom"/>
            <w:gridSpan w:val="2"/>
          </w:tcPr>
          <w:p>
            <w:pPr>
              <w:jc w:val="center"/>
              <w:ind w:left="732"/>
              <w:spacing w:after="0"/>
              <w:rPr>
                <w:sz w:val="20"/>
                <w:szCs w:val="20"/>
                <w:color w:val="auto"/>
              </w:rPr>
            </w:pPr>
            <w:r>
              <w:rPr>
                <w:rFonts w:ascii="Arial" w:cs="Arial" w:eastAsia="Arial" w:hAnsi="Arial"/>
                <w:sz w:val="18"/>
                <w:szCs w:val="18"/>
                <w:b w:val="1"/>
                <w:bCs w:val="1"/>
                <w:color w:val="auto"/>
                <w:w w:val="88"/>
              </w:rPr>
              <w:t>Notes to the Consolidated Financial Statements (continued)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920" w:type="dxa"/>
            <w:vAlign w:val="bottom"/>
            <w:gridSpan w:val="2"/>
          </w:tcPr>
          <w:p>
            <w:pPr>
              <w:jc w:val="center"/>
              <w:ind w:left="732"/>
              <w:spacing w:after="0"/>
              <w:rPr>
                <w:sz w:val="20"/>
                <w:szCs w:val="20"/>
                <w:color w:val="auto"/>
              </w:rPr>
            </w:pPr>
            <w:r>
              <w:rPr>
                <w:rFonts w:ascii="Arial" w:cs="Arial" w:eastAsia="Arial" w:hAnsi="Arial"/>
                <w:sz w:val="18"/>
                <w:szCs w:val="18"/>
                <w:color w:val="auto"/>
                <w:w w:val="88"/>
              </w:rPr>
              <w:t>(Expressed in thousands of U.S. dollars except share data)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5"/>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p>
        </w:tc>
        <w:tc>
          <w:tcPr>
            <w:tcW w:w="8420" w:type="dxa"/>
            <w:vAlign w:val="bottom"/>
            <w:gridSpan w:val="3"/>
          </w:tcPr>
          <w:p>
            <w:pPr>
              <w:ind w:left="120"/>
              <w:spacing w:after="0"/>
              <w:rPr>
                <w:sz w:val="20"/>
                <w:szCs w:val="20"/>
                <w:color w:val="auto"/>
              </w:rPr>
            </w:pPr>
            <w:r>
              <w:rPr>
                <w:rFonts w:ascii="Arial" w:cs="Arial" w:eastAsia="Arial" w:hAnsi="Arial"/>
                <w:sz w:val="18"/>
                <w:szCs w:val="18"/>
                <w:b w:val="1"/>
                <w:bCs w:val="1"/>
                <w:color w:val="auto"/>
              </w:rPr>
              <w:t>Related Party Transactions (continued)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8420" w:type="dxa"/>
            <w:vAlign w:val="bottom"/>
            <w:gridSpan w:val="3"/>
          </w:tcPr>
          <w:p>
            <w:pPr>
              <w:ind w:left="120"/>
              <w:spacing w:after="0"/>
              <w:rPr>
                <w:sz w:val="20"/>
                <w:szCs w:val="20"/>
                <w:color w:val="auto"/>
              </w:rPr>
            </w:pPr>
            <w:r>
              <w:rPr>
                <w:rFonts w:ascii="Arial" w:cs="Arial" w:eastAsia="Arial" w:hAnsi="Arial"/>
                <w:sz w:val="18"/>
                <w:szCs w:val="18"/>
                <w:b w:val="1"/>
                <w:bCs w:val="1"/>
                <w:color w:val="auto"/>
              </w:rPr>
              <w:t>Ship Management Agreement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w w:val="90"/>
              </w:rPr>
              <w:t>The Company outsources day to day technical management of its 17 vessels to a ship manager, CMA Ships, a wholly owned subsidiary of CMA CGM.</w:t>
            </w:r>
          </w:p>
        </w:tc>
      </w:tr>
      <w:tr>
        <w:trPr>
          <w:trHeight w:val="216"/>
        </w:trPr>
        <w:tc>
          <w:tcPr>
            <w:tcW w:w="340" w:type="dxa"/>
            <w:vAlign w:val="bottom"/>
          </w:tcPr>
          <w:p>
            <w:pPr>
              <w:spacing w:after="0"/>
              <w:rPr>
                <w:sz w:val="18"/>
                <w:szCs w:val="18"/>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w w:val="95"/>
              </w:rPr>
              <w:t>The Company pays CMA Ships an annual management fee of $114 per vessel and reimburses costs incurred on its behalf, mainly being for the</w:t>
            </w:r>
          </w:p>
        </w:tc>
      </w:tr>
      <w:tr>
        <w:trPr>
          <w:trHeight w:val="216"/>
        </w:trPr>
        <w:tc>
          <w:tcPr>
            <w:tcW w:w="340" w:type="dxa"/>
            <w:vAlign w:val="bottom"/>
          </w:tcPr>
          <w:p>
            <w:pPr>
              <w:spacing w:after="0"/>
              <w:rPr>
                <w:sz w:val="18"/>
                <w:szCs w:val="18"/>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w w:val="90"/>
              </w:rPr>
              <w:t>provision of crew, lubricating oils and routine maintenance. Such reimbursement is subject to a cap, depending on the vessel, of between $5.4 and $8.8</w:t>
            </w:r>
          </w:p>
        </w:tc>
      </w:tr>
      <w:tr>
        <w:trPr>
          <w:trHeight w:val="216"/>
        </w:trPr>
        <w:tc>
          <w:tcPr>
            <w:tcW w:w="340" w:type="dxa"/>
            <w:vAlign w:val="bottom"/>
          </w:tcPr>
          <w:p>
            <w:pPr>
              <w:spacing w:after="0"/>
              <w:rPr>
                <w:sz w:val="18"/>
                <w:szCs w:val="18"/>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w w:val="97"/>
              </w:rPr>
              <w:t>per day per vessel. The impact of the cap is determined annually and vessel by vessel for so long as the initial charters remain in place. Ship</w:t>
            </w:r>
          </w:p>
        </w:tc>
      </w:tr>
      <w:tr>
        <w:trPr>
          <w:trHeight w:val="230"/>
        </w:trPr>
        <w:tc>
          <w:tcPr>
            <w:tcW w:w="340" w:type="dxa"/>
            <w:vAlign w:val="bottom"/>
          </w:tcPr>
          <w:p>
            <w:pPr>
              <w:spacing w:after="0"/>
              <w:rPr>
                <w:sz w:val="20"/>
                <w:szCs w:val="20"/>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rPr>
              <w:t>management fees expensed for the year ended December 31, 2013 amounted to $1,938 (2012: $1,938, 2011: $1,938).</w:t>
            </w:r>
          </w:p>
        </w:tc>
      </w:tr>
      <w:tr>
        <w:trPr>
          <w:trHeight w:val="324"/>
        </w:trPr>
        <w:tc>
          <w:tcPr>
            <w:tcW w:w="340" w:type="dxa"/>
            <w:vAlign w:val="bottom"/>
          </w:tcPr>
          <w:p>
            <w:pPr>
              <w:spacing w:after="0"/>
              <w:rPr>
                <w:sz w:val="24"/>
                <w:szCs w:val="24"/>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tc>
      </w:tr>
      <w:tr>
        <w:trPr>
          <w:trHeight w:val="581"/>
        </w:trPr>
        <w:tc>
          <w:tcPr>
            <w:tcW w:w="8760" w:type="dxa"/>
            <w:vAlign w:val="bottom"/>
            <w:gridSpan w:val="4"/>
          </w:tcPr>
          <w:p>
            <w:pPr>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84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Charter Hire Receivable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340" w:type="dxa"/>
            <w:vAlign w:val="bottom"/>
          </w:tcPr>
          <w:p>
            <w:pPr>
              <w:spacing w:after="0"/>
              <w:rPr>
                <w:sz w:val="24"/>
                <w:szCs w:val="24"/>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w w:val="93"/>
              </w:rPr>
              <w:t>The Company has entered into time charters for its vessels. The charter hire is fixed for the duration of the charter. The maximum contracted future</w:t>
            </w:r>
          </w:p>
        </w:tc>
      </w:tr>
      <w:tr>
        <w:trPr>
          <w:trHeight w:val="216"/>
        </w:trPr>
        <w:tc>
          <w:tcPr>
            <w:tcW w:w="340" w:type="dxa"/>
            <w:vAlign w:val="bottom"/>
          </w:tcPr>
          <w:p>
            <w:pPr>
              <w:spacing w:after="0"/>
              <w:rPr>
                <w:sz w:val="18"/>
                <w:szCs w:val="18"/>
                <w:color w:val="auto"/>
              </w:rPr>
            </w:pPr>
          </w:p>
        </w:tc>
        <w:tc>
          <w:tcPr>
            <w:tcW w:w="11040" w:type="dxa"/>
            <w:vAlign w:val="bottom"/>
            <w:gridSpan w:val="6"/>
          </w:tcPr>
          <w:p>
            <w:pPr>
              <w:ind w:left="120"/>
              <w:spacing w:after="0"/>
              <w:rPr>
                <w:sz w:val="20"/>
                <w:szCs w:val="20"/>
                <w:color w:val="auto"/>
              </w:rPr>
            </w:pPr>
            <w:r>
              <w:rPr>
                <w:rFonts w:ascii="Arial" w:cs="Arial" w:eastAsia="Arial" w:hAnsi="Arial"/>
                <w:sz w:val="18"/>
                <w:szCs w:val="18"/>
                <w:color w:val="auto"/>
                <w:w w:val="91"/>
              </w:rPr>
              <w:t>annual charter hire receivable (not allowing for any offhire and assuming expiry at the midpoint between the earliest and latest possible end dates) for</w:t>
            </w:r>
          </w:p>
        </w:tc>
      </w:tr>
      <w:tr>
        <w:trPr>
          <w:trHeight w:val="230"/>
        </w:trPr>
        <w:tc>
          <w:tcPr>
            <w:tcW w:w="340" w:type="dxa"/>
            <w:vAlign w:val="bottom"/>
          </w:tcPr>
          <w:p>
            <w:pPr>
              <w:spacing w:after="0"/>
              <w:rPr>
                <w:sz w:val="20"/>
                <w:szCs w:val="20"/>
                <w:color w:val="auto"/>
              </w:rPr>
            </w:pPr>
          </w:p>
        </w:tc>
        <w:tc>
          <w:tcPr>
            <w:tcW w:w="8420" w:type="dxa"/>
            <w:vAlign w:val="bottom"/>
            <w:gridSpan w:val="3"/>
          </w:tcPr>
          <w:p>
            <w:pPr>
              <w:ind w:left="120"/>
              <w:spacing w:after="0"/>
              <w:rPr>
                <w:sz w:val="20"/>
                <w:szCs w:val="20"/>
                <w:color w:val="auto"/>
              </w:rPr>
            </w:pPr>
            <w:r>
              <w:rPr>
                <w:rFonts w:ascii="Arial" w:cs="Arial" w:eastAsia="Arial" w:hAnsi="Arial"/>
                <w:sz w:val="18"/>
                <w:szCs w:val="18"/>
                <w:color w:val="auto"/>
              </w:rPr>
              <w:t>the fleet of 17 vessels as at December 31, 2013 is as follows: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9"/>
        </w:trPr>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0"/>
              </w:rPr>
              <w:t>Fleet as at</w:t>
            </w:r>
          </w:p>
        </w:tc>
      </w:tr>
      <w:tr>
        <w:trPr>
          <w:trHeight w:val="149"/>
        </w:trPr>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540" w:type="dxa"/>
            <w:vAlign w:val="bottom"/>
            <w:gridSpan w:val="5"/>
          </w:tcPr>
          <w:p>
            <w:pPr>
              <w:jc w:val="center"/>
              <w:ind w:left="4852"/>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40" w:type="dxa"/>
            <w:vAlign w:val="bottom"/>
          </w:tcPr>
          <w:p>
            <w:pPr>
              <w:spacing w:after="0"/>
              <w:rPr>
                <w:sz w:val="14"/>
                <w:szCs w:val="14"/>
                <w:color w:val="auto"/>
              </w:rPr>
            </w:pPr>
          </w:p>
        </w:tc>
        <w:tc>
          <w:tcPr>
            <w:tcW w:w="8420" w:type="dxa"/>
            <w:vAlign w:val="bottom"/>
            <w:gridSpan w:val="3"/>
          </w:tcPr>
          <w:p>
            <w:pPr>
              <w:ind w:left="1500"/>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c>
          <w:tcPr>
            <w:tcW w:w="100" w:type="dxa"/>
            <w:vAlign w:val="bottom"/>
            <w:shd w:val="clear" w:color="auto" w:fill="CCEEFF"/>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shd w:val="clear" w:color="auto" w:fill="CCEEFF"/>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107,811</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82,034</w:t>
            </w:r>
          </w:p>
        </w:tc>
        <w:tc>
          <w:tcPr>
            <w:tcW w:w="100" w:type="dxa"/>
            <w:vAlign w:val="bottom"/>
            <w:shd w:val="clear" w:color="auto" w:fill="CCEEFF"/>
          </w:tcPr>
          <w:p>
            <w:pPr>
              <w:spacing w:after="0"/>
              <w:rPr>
                <w:sz w:val="18"/>
                <w:szCs w:val="18"/>
                <w:color w:val="auto"/>
              </w:rPr>
            </w:pPr>
          </w:p>
        </w:tc>
        <w:tc>
          <w:tcPr>
            <w:tcW w:w="178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313,698</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920" w:type="dxa"/>
            <w:vAlign w:val="bottom"/>
            <w:gridSpan w:val="2"/>
            <w:shd w:val="clear" w:color="auto" w:fill="CCEEFF"/>
          </w:tcPr>
          <w:p>
            <w:pPr>
              <w:ind w:left="682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912,140</w:t>
            </w:r>
          </w:p>
        </w:tc>
        <w:tc>
          <w:tcPr>
            <w:tcW w:w="100" w:type="dxa"/>
            <w:vAlign w:val="bottom"/>
            <w:shd w:val="clear" w:color="auto" w:fill="CCEEFF"/>
          </w:tcPr>
          <w:p>
            <w:pPr>
              <w:spacing w:after="0"/>
              <w:rPr>
                <w:sz w:val="18"/>
                <w:szCs w:val="18"/>
                <w:color w:val="auto"/>
              </w:rPr>
            </w:pPr>
          </w:p>
        </w:tc>
        <w:tc>
          <w:tcPr>
            <w:tcW w:w="17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8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8420" w:type="dxa"/>
            <w:vAlign w:val="bottom"/>
            <w:gridSpan w:val="3"/>
          </w:tcPr>
          <w:p>
            <w:pPr>
              <w:ind w:left="120"/>
              <w:spacing w:after="0"/>
              <w:rPr>
                <w:sz w:val="20"/>
                <w:szCs w:val="20"/>
                <w:color w:val="auto"/>
              </w:rPr>
            </w:pPr>
            <w:r>
              <w:rPr>
                <w:rFonts w:ascii="Arial" w:cs="Arial" w:eastAsia="Arial" w:hAnsi="Arial"/>
                <w:sz w:val="18"/>
                <w:szCs w:val="18"/>
                <w:color w:val="auto"/>
              </w:rPr>
              <w:t>The above table does not include the effect of the amendments to four charters referred to in note 19.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581"/>
        </w:trPr>
        <w:tc>
          <w:tcPr>
            <w:tcW w:w="340" w:type="dxa"/>
            <w:vAlign w:val="bottom"/>
          </w:tcPr>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p>
        </w:tc>
        <w:tc>
          <w:tcPr>
            <w:tcW w:w="8420" w:type="dxa"/>
            <w:vAlign w:val="bottom"/>
            <w:gridSpan w:val="3"/>
          </w:tcPr>
          <w:p>
            <w:pPr>
              <w:ind w:left="120"/>
              <w:spacing w:after="0"/>
              <w:rPr>
                <w:sz w:val="20"/>
                <w:szCs w:val="20"/>
                <w:color w:val="auto"/>
              </w:rPr>
            </w:pPr>
            <w:r>
              <w:rPr>
                <w:rFonts w:ascii="Arial" w:cs="Arial" w:eastAsia="Arial" w:hAnsi="Arial"/>
                <w:sz w:val="18"/>
                <w:szCs w:val="18"/>
                <w:b w:val="1"/>
                <w:bCs w:val="1"/>
                <w:color w:val="auto"/>
              </w:rPr>
              <w:t>Share Capital</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94"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At December 31, 2013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7" w:lineRule="exact"/>
        <w:rPr>
          <w:sz w:val="20"/>
          <w:szCs w:val="20"/>
          <w:color w:val="auto"/>
        </w:rPr>
      </w:pPr>
    </w:p>
    <w:p>
      <w:pPr>
        <w:ind w:left="1480" w:hanging="446"/>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secondly, to all Class A common shares until they have received payment for all preceding quarters at the rate of $0.23 per share per quarter;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17"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Share Capital (continued)</w:t>
      </w:r>
    </w:p>
    <w:p>
      <w:pPr>
        <w:spacing w:after="0" w:line="162"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16).</w:t>
      </w:r>
    </w:p>
    <w:p>
      <w:pPr>
        <w:spacing w:after="0" w:line="6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16"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Total proceeds received in 2008, and recorded as restricted cash, from the exercise of Public Warrants prior to their expiry was $3,027 (December 31, 2011: $3,027). These proceeds were to be used to redeem the Series A preferred shares with a minimum redemption amount of $5,000. As part of the replacement time charters agreed in September 2012 for the Ville d’Aquarius and the Ville d’Orion, the Company accelerated the redemption of 63 Series A preferred shares of $48 each for $3,024.</w:t>
      </w:r>
    </w:p>
    <w:p>
      <w:pPr>
        <w:spacing w:after="0" w:line="79" w:lineRule="exact"/>
        <w:rPr>
          <w:sz w:val="20"/>
          <w:szCs w:val="20"/>
          <w:color w:val="auto"/>
        </w:rPr>
      </w:pPr>
    </w:p>
    <w:p>
      <w:pPr>
        <w:ind w:left="460" w:right="580"/>
        <w:spacing w:after="0" w:line="277" w:lineRule="auto"/>
        <w:rPr>
          <w:sz w:val="20"/>
          <w:szCs w:val="20"/>
          <w:color w:val="auto"/>
        </w:rPr>
      </w:pPr>
      <w:r>
        <w:rPr>
          <w:rFonts w:ascii="Arial" w:cs="Arial" w:eastAsia="Arial" w:hAnsi="Arial"/>
          <w:sz w:val="18"/>
          <w:szCs w:val="18"/>
          <w:color w:val="auto"/>
        </w:rPr>
        <w:t>On September 1, 2013, 6,188,088 Class A Warrants which were convertible to Class A common shares at a price of $9.25 expired without being exercised.</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Interest Rate Derivatives and Fair Value Measurements</w:t>
      </w:r>
    </w:p>
    <w:p>
      <w:pPr>
        <w:spacing w:after="0" w:line="121"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Company is exposed to the impact of interest rate changes on its variable rate debt. Accordingly, the Company has entered into interest rate swap agreements to manage the exposure to interest rate variability and details of existing interest rate derivatives are set out in note 7. These interest rate swap agreements are secured by first priority mortgages on each of the Company’s 17 vessels and rank secondary to the long-term debt (see note 10).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 There were no initial payments on derivatives made in the years ended December 31, 2013 and December 31, 2012.</w:t>
      </w:r>
    </w:p>
    <w:p>
      <w:pPr>
        <w:spacing w:after="0" w:line="84"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Realized gains or losses from interest rate derivatives are recognized in the consolidated statements of income together with cash settlements. In addition, the interest rate derivatives are “marked to market” at each reporting period end and are recorded at fair values. This generates unrealized gains or losses. The unrealized gain on interest rate derivatives for the year ended December 31, 2013 was $14,302 (2012: $9,725 gain, 2011: $881 loss).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 as follows:</w:t>
      </w:r>
    </w:p>
    <w:p>
      <w:pPr>
        <w:spacing w:after="0" w:line="131"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1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 and</w:t>
      </w:r>
    </w:p>
    <w:p>
      <w:pPr>
        <w:spacing w:after="0" w:line="117"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225"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2013 there was a liability of $21,289 (2012: $35,591). Within the consolidated balance sheets, there are no offsets of recognized assets or liabilities related to these derivatives. The fair value of the Company’s derivative instruments is the estimated amount that the Company would receive or pay to terminate the agreements at the reporting date, taking into account interest rates at that date.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interest rate derivatives were terminated on March 19, 2014 (see note 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color w:val="auto"/>
        </w:rPr>
        <w:t>In August 2008, the Company’s Board adopted the 2008 Equity Incentive Plan (the “Plan”), which enables management, consultants and Directors of the Company and its subsidiaries to receive options, stock appreciation rights, stock grants, stock units and dividend equivalents.</w:t>
      </w:r>
    </w:p>
    <w:p>
      <w:pPr>
        <w:spacing w:after="0" w:line="38"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plan, the Company has issued the following share based awards: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w w:val="92"/>
              </w:rPr>
              <w:t>Restricted Stock Units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3"/>
          </w:tcPr>
          <w:p>
            <w:pPr>
              <w:jc w:val="center"/>
              <w:ind w:right="480"/>
              <w:spacing w:after="0" w:line="123" w:lineRule="exact"/>
              <w:rPr>
                <w:sz w:val="20"/>
                <w:szCs w:val="20"/>
                <w:color w:val="auto"/>
              </w:rPr>
            </w:pPr>
            <w:r>
              <w:rPr>
                <w:rFonts w:ascii="Arial" w:cs="Arial" w:eastAsia="Arial" w:hAnsi="Arial"/>
                <w:sz w:val="14"/>
                <w:szCs w:val="14"/>
                <w:color w:val="auto"/>
                <w:w w:val="94"/>
              </w:rPr>
              <w:t>Weighted</w:t>
            </w: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7"/>
              </w:rPr>
              <w:t>Actual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1"/>
              </w:rPr>
              <w:t>Average</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Fair Value</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Value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340" w:type="dxa"/>
            <w:vAlign w:val="bottom"/>
            <w:gridSpan w:val="4"/>
          </w:tcPr>
          <w:p>
            <w:pPr>
              <w:jc w:val="right"/>
              <w:ind w:right="920"/>
              <w:spacing w:after="0" w:line="149" w:lineRule="exact"/>
              <w:rPr>
                <w:sz w:val="20"/>
                <w:szCs w:val="20"/>
                <w:color w:val="auto"/>
              </w:rPr>
            </w:pPr>
            <w:r>
              <w:rPr>
                <w:rFonts w:ascii="Arial" w:cs="Arial" w:eastAsia="Arial" w:hAnsi="Arial"/>
                <w:sz w:val="14"/>
                <w:szCs w:val="14"/>
                <w:color w:val="auto"/>
              </w:rPr>
              <w:t>Number of Units</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5"/>
              </w:rPr>
              <w:t>on Grant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Vesting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w w:val="90"/>
              </w:rPr>
              <w:t>Management</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w w:val="99"/>
              </w:rPr>
              <w:t>Directors</w:t>
            </w:r>
          </w:p>
        </w:tc>
        <w:tc>
          <w:tcPr>
            <w:tcW w:w="140" w:type="dxa"/>
            <w:vAlign w:val="bottom"/>
          </w:tcPr>
          <w:p>
            <w:pPr>
              <w:spacing w:after="0"/>
              <w:rPr>
                <w:sz w:val="14"/>
                <w:szCs w:val="14"/>
                <w:color w:val="auto"/>
              </w:rPr>
            </w:pPr>
          </w:p>
        </w:tc>
        <w:tc>
          <w:tcPr>
            <w:tcW w:w="94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Date</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260,000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58,511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January 2011</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(58,511)</w:t>
            </w: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17, 2011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17,886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September 2011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(206,250)</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4.84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September 2, 2011</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150,000</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October 2011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(68,750)</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4.84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17,886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3.40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January 2012</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(17,886)</w:t>
            </w: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6.15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32,070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2012</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2013</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(32,070)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 on March 7, 2013</w:t>
            </w: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27,550</w:t>
            </w: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27,550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restricted stock units granted to three members of management on August 14, 2008 were to vest over a period of three years; with a third vesting each year on the anniversary of the merger. The vesting dates were subsequently amended and a total of 260,000 vested annually during September and October of 2009, 2010 and 2011.</w:t>
      </w:r>
    </w:p>
    <w:p>
      <w:pPr>
        <w:spacing w:after="0" w:line="73"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restricted stock units granted to Directors on March 1, 2010, March 17, 2011, March 13, 2012 and March 7, 2013 vested in January 2011, January 2012, January 2013 and January 2014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2"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Restricted stock units granted to one member of management on March 17, 2011 vested during September and October 2011. 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was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71" w:lineRule="exact"/>
        <w:rPr>
          <w:sz w:val="20"/>
          <w:szCs w:val="20"/>
          <w:color w:val="auto"/>
        </w:rPr>
      </w:pPr>
    </w:p>
    <w:p>
      <w:pPr>
        <w:ind w:left="460" w:right="60"/>
        <w:spacing w:after="0" w:line="302"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46"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 the grants issued on March 1, 2010, March 17, 2011, September 2, 2011, March 13, 2012 and March 7, 2013, the fair value at the grant date was the closing price for the common stock on that date. The share value has not been discounted as no dividends were expected to be paid on the common stock at that time.</w:t>
      </w:r>
    </w:p>
    <w:p>
      <w:pPr>
        <w:spacing w:after="0" w:line="73"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During the year ended December 31, 2013 the Company recognized a total of $360 (2012: $460, 2011: $565) in respect of share based compensation costs. As at December 31, 2013 there was a total of $252 (2012: $260) unrecognized compensation costs relating to the above share based awards. The remaining costs are expected to be recognized over a period of 21 months.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Risks Associated with Concentration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13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derives 100% of its revenue from CMA CGM which is exposed to the cyclicality of the container shipping industry.</w:t>
      </w:r>
    </w:p>
    <w:p>
      <w:pPr>
        <w:spacing w:after="0" w:line="130"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2013 to the extent that substantially all of the amounts are deposited with three banks (2012; four banks). However, the Company believes this risk is remote as the banks are high credit quality financial institutions.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62"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years ended December 31, 2013, December 31, 2012 and December 31, 2011 no dividend was declared.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70"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3" w:lineRule="exact"/>
        <w:rPr>
          <w:sz w:val="20"/>
          <w:szCs w:val="20"/>
          <w:color w:val="auto"/>
        </w:rPr>
      </w:pPr>
    </w:p>
    <w:p>
      <w:pPr>
        <w:jc w:val="both"/>
        <w:ind w:left="460" w:right="80"/>
        <w:spacing w:after="0" w:line="308" w:lineRule="auto"/>
        <w:rPr>
          <w:sz w:val="20"/>
          <w:szCs w:val="20"/>
          <w:color w:val="auto"/>
        </w:rPr>
      </w:pPr>
      <w:r>
        <w:rPr>
          <w:rFonts w:ascii="Arial" w:cs="Arial" w:eastAsia="Arial" w:hAnsi="Arial"/>
          <w:sz w:val="17"/>
          <w:szCs w:val="17"/>
          <w:color w:val="auto"/>
        </w:rPr>
        <w:t>At December 31, 2013, there were 327,550 restricted stock units granted and unvested as part of management’s equity incentive plan and as part of the Directors’ compensation as at the period. As of December 31, 2013 only Class A and B common shares are participating securities.</w:t>
      </w:r>
    </w:p>
    <w:p>
      <w:pPr>
        <w:spacing w:after="0" w:line="38" w:lineRule="exact"/>
        <w:rPr>
          <w:sz w:val="20"/>
          <w:szCs w:val="20"/>
          <w:color w:val="auto"/>
        </w:rPr>
      </w:pPr>
    </w:p>
    <w:p>
      <w:pPr>
        <w:ind w:left="460" w:right="440"/>
        <w:spacing w:after="0" w:line="342" w:lineRule="auto"/>
        <w:rPr>
          <w:sz w:val="20"/>
          <w:szCs w:val="20"/>
          <w:color w:val="auto"/>
        </w:rPr>
      </w:pPr>
      <w:r>
        <w:rPr>
          <w:rFonts w:ascii="Arial" w:cs="Arial" w:eastAsia="Arial" w:hAnsi="Arial"/>
          <w:sz w:val="16"/>
          <w:szCs w:val="16"/>
          <w:color w:val="auto"/>
        </w:rPr>
        <w:t>For the years ended December 31, 2013, December 31, 2012 and December 31, 2011, the diluted weighted average number of shares includes the incremental effect of outstanding stock based incentive awards but excludes the effect of outstanding warrants as these were antidilutive.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Year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47,513,846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47,481,766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47,262,549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RSU’s without service conditions (note 16) (B)</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18,904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159,516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110,987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and common share equivalents (F)</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47,767,266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47,611,657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47,448,012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7,405,956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7,405,956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available for Class B (C)</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Class A (A/B)</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(C/D)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available for Class B (G)</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Class A (E/F)</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(G/H)</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980" w:type="dxa"/>
            <w:vAlign w:val="bottom"/>
            <w:gridSpan w:val="2"/>
          </w:tcPr>
          <w:p>
            <w:pPr>
              <w:jc w:val="right"/>
              <w:ind w:right="1568"/>
              <w:spacing w:after="0"/>
              <w:rPr>
                <w:sz w:val="20"/>
                <w:szCs w:val="20"/>
                <w:color w:val="auto"/>
              </w:rPr>
            </w:pPr>
            <w:r>
              <w:rPr>
                <w:rFonts w:ascii="Arial" w:cs="Arial" w:eastAsia="Arial" w:hAnsi="Arial"/>
                <w:sz w:val="18"/>
                <w:szCs w:val="18"/>
                <w:color w:val="auto"/>
                <w:w w:val="86"/>
              </w:rPr>
              <w:t>F-25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On January 31, 2014, the Company received notice from CMA CGM that it has reserved its right to redeliver CMA CGM Ville d’Orion and CMA CGM Ville d’Aquarius as early as between April 1 and April 15, 2014 on the expiration of the existing charters.</w:t>
      </w:r>
    </w:p>
    <w:p>
      <w:pPr>
        <w:spacing w:after="0" w:line="62"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One of the cranes on-board CMA CGM Julie Delmas was found to be damaged in January 2014 and is out of service. The Company has agreed with CMA CGM to reduce the daily charter rate pro-rata, from $18,465 to $10,000 per day, to reflect the diminished performance of the vessel, for as long as the crane is not operational, which could be as long as several months.</w:t>
      </w:r>
    </w:p>
    <w:p>
      <w:pPr>
        <w:spacing w:after="0" w:line="73"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On March 19, 2014 (the “Issue Date”), the Company completed a private placement of $420.0 million aggregate principal amount of 10.000% first priority secured notes due 2019. In connection with the private placement, on the Issue Date the Company also entered into a $40.0 million senior secured revolving credit facility. The Company used a portion of the net proceeds of the notes to repay all outstanding borrowings under its previous senior secured credit facility (the “Previous Credit Facility”) which was then terminated, to terminate its interest rate swap agreements and to pay related fees and expenses. These transactions are collectively referred to as the “Transactions.”</w:t>
      </w:r>
    </w:p>
    <w:p>
      <w:pPr>
        <w:spacing w:after="0" w:line="64"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Additionally, in connection with the Transactions, the Company and CMA CGM agreed to amend the terms of four existing charters that were scheduled to expire as early as September 2016 to provide for new expiry dates in December 2019, plus or minus 90 days at the charterer’s option, and new daily charter rates, effective as of February 1, 2014, of $15,300 (reduced from $18,465).</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459"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the Borrowers listed in Schedule 1 of the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Ian Webber / Susan Cook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Stag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SW1E 5RS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the USD 800,000,000 revolving credit facility agreement dated 10 December 2007, as amended pursuant to an Addendum No. 1 dated</w:t>
      </w:r>
    </w:p>
    <w:p>
      <w:pPr>
        <w:spacing w:after="0" w:line="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10 December 2007, the waiver letter dated 19 March 2008, the further conditions letter dated 27 June 2008, the Addendum No. 2 dated 10 February 2009, as amended and restated by an Amendment and Restatement Agreement dated 20 August 2009 and as further amended pursuant to the waiver letters dated 30 November 2011 and 9 November 2012 </w:t>
      </w:r>
      <w:r>
        <w:rPr>
          <w:rFonts w:ascii="Arial" w:cs="Arial" w:eastAsia="Arial" w:hAnsi="Arial"/>
          <w:sz w:val="18"/>
          <w:szCs w:val="18"/>
          <w:color w:val="auto"/>
        </w:rPr>
        <w:t>(the</w:t>
      </w:r>
      <w:r>
        <w:rPr>
          <w:rFonts w:ascii="Arial" w:cs="Arial" w:eastAsia="Arial" w:hAnsi="Arial"/>
          <w:sz w:val="18"/>
          <w:szCs w:val="18"/>
          <w:b w:val="1"/>
          <w:bCs w:val="1"/>
          <w:color w:val="auto"/>
        </w:rPr>
        <w:t xml:space="preserve"> Credit Agreement</w:t>
      </w:r>
      <w:r>
        <w:rPr>
          <w:rFonts w:ascii="Arial" w:cs="Arial" w:eastAsia="Arial" w:hAnsi="Arial"/>
          <w:sz w:val="18"/>
          <w:szCs w:val="18"/>
          <w:color w:val="auto"/>
        </w:rPr>
        <w:t>)</w:t>
      </w:r>
    </w:p>
    <w:p>
      <w:pPr>
        <w:spacing w:after="0" w:line="96" w:lineRule="exact"/>
        <w:rPr>
          <w:sz w:val="20"/>
          <w:szCs w:val="20"/>
          <w:color w:val="auto"/>
        </w:rPr>
      </w:pPr>
    </w:p>
    <w:p>
      <w:pPr>
        <w:ind w:left="460" w:right="160" w:hanging="452"/>
        <w:spacing w:after="0" w:line="308"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We refer to the Credit Agreement. Capitalised terms used in this Letter, unless expressly defined in this Letter, have the same meaning herein as given to those terms in the Credit Agreement and the interpretative provisions of clause 1.2 of the Credit Agreement will apply.</w:t>
      </w:r>
    </w:p>
    <w:p>
      <w:pPr>
        <w:spacing w:after="0" w:line="51" w:lineRule="exact"/>
        <w:rPr>
          <w:rFonts w:ascii="Arial" w:cs="Arial" w:eastAsia="Arial" w:hAnsi="Arial"/>
          <w:sz w:val="17"/>
          <w:szCs w:val="17"/>
          <w:color w:val="auto"/>
        </w:rPr>
      </w:pPr>
    </w:p>
    <w:p>
      <w:pPr>
        <w:ind w:left="460" w:right="40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have requested us to extend the waiver (confirmed in the waiver letter dated 9 November 2012) in respect of the requirement for the Leverage Ratio to be maintained at 75% or less as detailed in clause 16.15 of the Credit Agreement.</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hereby agree that:</w:t>
      </w:r>
    </w:p>
    <w:p>
      <w:pPr>
        <w:spacing w:after="0" w:line="130" w:lineRule="exact"/>
        <w:rPr>
          <w:rFonts w:ascii="Arial" w:cs="Arial" w:eastAsia="Arial" w:hAnsi="Arial"/>
          <w:sz w:val="18"/>
          <w:szCs w:val="18"/>
          <w:color w:val="auto"/>
        </w:rPr>
      </w:pPr>
    </w:p>
    <w:p>
      <w:pPr>
        <w:ind w:left="900" w:right="380" w:hanging="446"/>
        <w:spacing w:after="0" w:line="308" w:lineRule="auto"/>
        <w:tabs>
          <w:tab w:leader="none" w:pos="9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with effect from the Effective Date (defined below) the definition of Waiver Period in the Credit Agreement (other than in clauses 3.2(b) and 16.39 of the Credit Agreement) shall mean the period from and including the Effective Date until and including 30 April 2015;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after the Effective Date, the Leverage Ratio shall next be tested on 1 May 2015.</w:t>
      </w:r>
    </w:p>
    <w:p>
      <w:pPr>
        <w:spacing w:after="0" w:line="373"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is further agreed that with effect from the Effective Date and throughout the remaining term of the Facility, sub-clause (a) of the definition of Margin shall be amended to read as follows:</w:t>
      </w:r>
    </w:p>
    <w:p>
      <w:pPr>
        <w:sectPr>
          <w:pgSz w:w="11900" w:h="16838" w:orient="portrait"/>
          <w:cols w:equalWidth="0" w:num="1">
            <w:col w:w="11420"/>
          </w:cols>
          <w:pgMar w:left="240" w:top="121" w:right="23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aggregate of (i) the Waiver Period and (ii) the period from the end of the Waiver Period until the date upon which the Leverage Ratio is first tested following the provision by the Borrowers of Market Value for the Vessels for the first time following the end of the Waiver Period (which Market Value may be provided based on valuations provided by the Borrowers within April 2015), 3.75% per annum; and”.</w:t>
      </w:r>
    </w:p>
    <w:p>
      <w:pPr>
        <w:spacing w:after="0" w:line="200" w:lineRule="exact"/>
        <w:rPr>
          <w:sz w:val="20"/>
          <w:szCs w:val="20"/>
          <w:color w:val="auto"/>
        </w:rPr>
      </w:pPr>
    </w:p>
    <w:p>
      <w:pPr>
        <w:sectPr>
          <w:pgSz w:w="11900" w:h="16838" w:orient="portrait"/>
          <w:cols w:equalWidth="0" w:num="2">
            <w:col w:w="1200" w:space="280"/>
            <w:col w:w="9940"/>
          </w:cols>
          <w:pgMar w:left="240" w:top="121" w:right="239" w:bottom="1440" w:gutter="0" w:footer="0" w:header="0"/>
          <w:type w:val="continuous"/>
        </w:sectPr>
      </w:pPr>
    </w:p>
    <w:p>
      <w:pPr>
        <w:spacing w:after="0" w:line="13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Effective Date will be the date when</w:t>
      </w:r>
    </w:p>
    <w:p>
      <w:pPr>
        <w:spacing w:after="0" w:line="130" w:lineRule="exact"/>
        <w:rPr>
          <w:rFonts w:ascii="Arial" w:cs="Arial" w:eastAsia="Arial" w:hAnsi="Arial"/>
          <w:sz w:val="18"/>
          <w:szCs w:val="18"/>
          <w:color w:val="auto"/>
        </w:rPr>
      </w:pPr>
    </w:p>
    <w:p>
      <w:pPr>
        <w:ind w:left="5660" w:right="1640" w:hanging="5206"/>
        <w:spacing w:after="0" w:line="449" w:lineRule="auto"/>
        <w:tabs>
          <w:tab w:leader="none" w:pos="89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of the Borrowers has counter-signed this letter to indicate its agreement and willingness to be bound by the terms; and 1</w:t>
      </w:r>
    </w:p>
    <w:p>
      <w:pPr>
        <w:sectPr>
          <w:pgSz w:w="11900" w:h="16838" w:orient="portrait"/>
          <w:cols w:equalWidth="0" w:num="1">
            <w:col w:w="11420"/>
          </w:cols>
          <w:pgMar w:left="240" w:top="121" w:right="239" w:bottom="1440" w:gutter="0" w:footer="0" w:header="0"/>
          <w:type w:val="continuous"/>
        </w:sectPr>
      </w:pPr>
    </w:p>
    <w:bookmarkStart w:id="139" w:name="page140"/>
    <w:bookmarkEnd w:id="139"/>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have paid, and we have received, all other costs and expenses referred to in paragraph 6.1 of this Letter.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Representations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By counter-signing this Letter, each Borrower makes the following representations to each Finance Party on the Effective Date.</w:t>
      </w:r>
    </w:p>
    <w:p>
      <w:pPr>
        <w:spacing w:after="0" w:line="3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Powers and authority</w:t>
      </w:r>
    </w:p>
    <w:p>
      <w:pPr>
        <w:spacing w:after="0" w:line="117"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It has the power to enter into and perform, and has taken all necessary action to authorise the entry into and performance of, this Letter and the transactions contemplated by this Letter.</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Legal validity</w:t>
      </w:r>
    </w:p>
    <w:p>
      <w:pPr>
        <w:spacing w:after="0" w:line="131" w:lineRule="exact"/>
        <w:rPr>
          <w:sz w:val="20"/>
          <w:szCs w:val="20"/>
          <w:color w:val="auto"/>
        </w:rPr>
      </w:pPr>
    </w:p>
    <w:p>
      <w:pPr>
        <w:ind w:left="900" w:right="4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any general principles of law limiting its obligations, its counter-signature of this Letter constitutes its legally binding, valid and enforceable obligation.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Letter is in the proper form for its enforcement in the jurisdiction of its incorporation.</w:t>
      </w:r>
    </w:p>
    <w:p>
      <w:pPr>
        <w:spacing w:after="0" w:line="3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Non-conflict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entry into and performance by it of, and the transactions contemplated by, this Letter do not conflict with:</w:t>
      </w:r>
    </w:p>
    <w:p>
      <w:pPr>
        <w:spacing w:after="0" w:line="13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its or any of its Subsidiaries’ constitutional documents;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document which is binding on it or any of its Subsidiaries or any of its or its Subsidiaries’ assets.</w:t>
      </w:r>
    </w:p>
    <w:p>
      <w:pPr>
        <w:spacing w:after="0" w:line="3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Authorisations</w:t>
      </w:r>
    </w:p>
    <w:p>
      <w:pPr>
        <w:spacing w:after="0" w:line="11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All authorisations required by it in connection with the entry into, performance, validity and enforceability of, and the transactions contemplated by, this Letter have been obtained or effected (as appropriate) and are in full force and effect.</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Credit Agreement</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Each Borrower makes the representations and warranties set out in clause 14 (Representations) of the Credit Agreement on the Effective Date, in each case as if references to the Credit Agreement are references to the Credit Agreement, as amended by this Letter, with reference to the facts and circumstances then existing.</w:t>
      </w:r>
    </w:p>
    <w:p>
      <w:pPr>
        <w:spacing w:after="0" w:line="330" w:lineRule="exact"/>
        <w:rPr>
          <w:sz w:val="20"/>
          <w:szCs w:val="20"/>
          <w:color w:val="auto"/>
        </w:rPr>
      </w:pPr>
    </w:p>
    <w:p>
      <w:pPr>
        <w:ind w:right="9460" w:firstLine="8"/>
        <w:spacing w:after="0" w:line="431" w:lineRule="auto"/>
        <w:tabs>
          <w:tab w:leader="none" w:pos="44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Fees and Expenses 6.1 Expenses</w:t>
      </w:r>
    </w:p>
    <w:p>
      <w:pPr>
        <w:spacing w:after="0" w:line="1"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The Borrowers must pay to each Finance Party the amount of all costs and expenses (including legal fees) properly incurred by it in connection with (but not limited to) the negotiation, preparation, printing and execution of this Letter.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140" w:name="page141"/>
    <w:bookmarkEnd w:id="14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5"/>
          <w:szCs w:val="15"/>
          <w:color w:val="auto"/>
        </w:rPr>
        <w:t>Taxes</w:t>
      </w:r>
    </w:p>
    <w:p>
      <w:pPr>
        <w:spacing w:after="0" w:line="13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payments to be made under this Letter must be made exclusive of any VAT or other tax and free and clear of any withholding or deduction.</w:t>
      </w:r>
    </w:p>
    <w:p>
      <w:pPr>
        <w:spacing w:after="0" w:line="142" w:lineRule="exact"/>
        <w:rPr>
          <w:rFonts w:ascii="Arial" w:cs="Arial" w:eastAsia="Arial" w:hAnsi="Arial"/>
          <w:sz w:val="17"/>
          <w:szCs w:val="17"/>
          <w:color w:val="auto"/>
        </w:rPr>
      </w:pPr>
    </w:p>
    <w:p>
      <w:pPr>
        <w:ind w:left="460" w:right="260" w:hanging="452"/>
        <w:spacing w:after="0" w:line="308"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any withholding or deduction is required by law, the amount of the payment due from the Borrowers must be increased by an amount which (after making the deduction) leaves an amount equal to the payment which would have been made if no deduction had been made.</w:t>
      </w:r>
    </w:p>
    <w:p>
      <w:pPr>
        <w:spacing w:after="0" w:line="295"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Consents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Borrower: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agrees to the amendment of the Credit Agreement as contemplated by this Letter;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with effect from the Effective Date, confirms that any guarantee or security given by it or created under a Finance Document will:</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continue in full force and effect;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extend to the liabilities and obligations of the Borrowers to the Finance Parties under the Finance Documents as amended by this Letter.</w:t>
      </w:r>
    </w:p>
    <w:p>
      <w:pPr>
        <w:spacing w:after="0" w:line="396" w:lineRule="exact"/>
        <w:rPr>
          <w:rFonts w:ascii="Arial" w:cs="Arial" w:eastAsia="Arial" w:hAnsi="Arial"/>
          <w:sz w:val="16"/>
          <w:szCs w:val="16"/>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This Letter is a Finance Document.</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Subject to the terms of this Letter, the Credit Agreement will remain in full force and effect and, from the Effective Date, the Credit Agreement and this Letter will be read and construed as one document.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Counterparts</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This Letter may be counter-signed in any number of counterparts. This has the same effect as if the signatures on the counterparts were on a single copy of this Letter.</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This Letter and any non-contractual obligations arising out of or in connection with it are governed by English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Clause 37 of the Credit Agreement shall apply to this Letter as if set out in full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Amro Bank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its capacity as Agent for and on behalf of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 by: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Borrowers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2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3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4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5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6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7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8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9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10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12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13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14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15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16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17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GSL ALCAZAR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SERVICES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jc w:val="both"/>
        <w:ind w:left="900" w:right="300" w:hanging="446"/>
        <w:spacing w:after="0" w:line="264"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700" w:hanging="446"/>
        <w:spacing w:after="0" w:line="286" w:lineRule="auto"/>
        <w:tabs>
          <w:tab w:leader="none" w:pos="9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900" w:right="800" w:hanging="446"/>
        <w:spacing w:after="0" w:line="342" w:lineRule="auto"/>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400" w:hanging="446"/>
        <w:spacing w:after="0" w:line="342" w:lineRule="auto"/>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360" w:hanging="452"/>
        <w:spacing w:after="0" w:line="308"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Dated: April 22,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42"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jc w:val="both"/>
        <w:ind w:left="900" w:right="300" w:hanging="446"/>
        <w:spacing w:after="0" w:line="264"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700" w:hanging="446"/>
        <w:spacing w:after="0" w:line="286" w:lineRule="auto"/>
        <w:tabs>
          <w:tab w:leader="none" w:pos="90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900" w:right="800" w:hanging="446"/>
        <w:spacing w:after="0" w:line="342" w:lineRule="auto"/>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400" w:hanging="446"/>
        <w:spacing w:after="0" w:line="342" w:lineRule="auto"/>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360" w:hanging="452"/>
        <w:spacing w:after="0" w:line="308"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Dated: April 22,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Susan J. Cook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2013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87" w:lineRule="exact"/>
        <w:rPr>
          <w:sz w:val="20"/>
          <w:szCs w:val="20"/>
          <w:color w:val="auto"/>
        </w:rPr>
      </w:pPr>
    </w:p>
    <w:p>
      <w:pPr>
        <w:ind w:left="90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97"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Dated: April 22,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2013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87" w:lineRule="exact"/>
        <w:rPr>
          <w:sz w:val="20"/>
          <w:szCs w:val="20"/>
          <w:color w:val="auto"/>
        </w:rPr>
      </w:pPr>
    </w:p>
    <w:p>
      <w:pPr>
        <w:ind w:left="90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97"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Dated: April 22,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Susan J. Cook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Global Ship Lease, Inc.</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333-156454) of Global Ship Lease, Inc. of our report dated April 22, 2014 relating to the consolidated financial statements and the effectiveness of internal control over financial reporting, which appear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Maritime Strategies International Ltd.</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hereby consent to the use of our name in the Annual Report on Form 20-F, to be filed by Global Ship Lease, Inc. ( the “Annual Report”) and to the references to the statistical and graphical information provided by Maritime Strategies International Ltd. for Global Ship Lease, Inc. wherever appearing in the Annual Report, including, but not limited to, the references to our company under the heading “Item 5. Operating and Financial Review and Prospects— Trend Information” in the Annual Report.</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MARITIME STRATEGIES INTERNATIONAL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Payne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Michael Payne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Dated: April 22,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1)"/>
      <w:numFmt w:val="decimal"/>
      <w:start w:val="3"/>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lvl w:ilvl="1">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1)"/>
      <w:numFmt w:val="lowerLetter"/>
      <w:start w:val="2"/>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1)"/>
      <w:numFmt w:val="decimal"/>
      <w:start w:val="2"/>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1)"/>
      <w:numFmt w:val="upperLetter"/>
      <w:start w:val="7"/>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1)"/>
      <w:numFmt w:val="decimal"/>
      <w:start w:val="3"/>
    </w:lvl>
  </w:abstractNum>
  <w:abstractNum w:abstractNumId="43">
    <w:nsid w:val="613EFDC5"/>
    <w:multiLevelType w:val="hybridMultilevel"/>
    <w:lvl w:ilvl="0">
      <w:lvlJc w:val="left"/>
      <w:lvlText w:val="%1."/>
      <w:numFmt w:val="upperLetter"/>
      <w:start w:val="3"/>
    </w:lvl>
    <w:lvl w:ilvl="1">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1)"/>
      <w:numFmt w:val="decimal"/>
      <w:start w:val="2"/>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1)"/>
      <w:numFmt w:val="decimal"/>
      <w:start w:val="3"/>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1)"/>
      <w:numFmt w:val="lowerLetter"/>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1)"/>
      <w:numFmt w:val="lowerLetter"/>
      <w:start w:val="2"/>
    </w:lvl>
  </w:abstractNum>
  <w:abstractNum w:abstractNumId="57">
    <w:nsid w:val="1A27709E"/>
    <w:multiLevelType w:val="hybridMultilevel"/>
    <w:lvl w:ilvl="0">
      <w:lvlJc w:val="left"/>
      <w:lvlText w:val="(%1)"/>
      <w:numFmt w:val="lowerRoman"/>
      <w:start w:val="1"/>
    </w:lvl>
  </w:abstractNum>
  <w:abstractNum w:abstractNumId="58">
    <w:nsid w:val="71EA1109"/>
    <w:multiLevelType w:val="hybridMultilevel"/>
    <w:lvl w:ilvl="0">
      <w:lvlJc w:val="left"/>
      <w:lvlText w:val="(%1)"/>
      <w:numFmt w:val="lowerRoman"/>
      <w:start w:val="2"/>
    </w:lvl>
  </w:abstractNum>
  <w:abstractNum w:abstractNumId="59">
    <w:nsid w:val="100F59DC"/>
    <w:multiLevelType w:val="hybridMultilevel"/>
    <w:lvl w:ilvl="0">
      <w:lvlJc w:val="left"/>
      <w:lvlText w:val="%1."/>
      <w:numFmt w:val="decimal"/>
      <w:start w:val="3"/>
    </w:lvl>
  </w:abstractNum>
  <w:abstractNum w:abstractNumId="60">
    <w:nsid w:val="7FB7E0AA"/>
    <w:multiLevelType w:val="hybridMultilevel"/>
    <w:lvl w:ilvl="0">
      <w:lvlJc w:val="left"/>
      <w:lvlText w:val="(%1)"/>
      <w:numFmt w:val="lowerLetter"/>
      <w:start w:val="1"/>
    </w:lvl>
  </w:abstractNum>
  <w:abstractNum w:abstractNumId="61">
    <w:nsid w:val="6EB5BD4"/>
    <w:multiLevelType w:val="hybridMultilevel"/>
    <w:lvl w:ilvl="0">
      <w:lvlJc w:val="left"/>
      <w:lvlText w:val="(%1)"/>
      <w:numFmt w:val="lowerLetter"/>
      <w:start w:val="2"/>
    </w:lvl>
  </w:abstractNum>
  <w:abstractNum w:abstractNumId="62">
    <w:nsid w:val="6F6DD9AC"/>
    <w:multiLevelType w:val="hybridMultilevel"/>
    <w:lvl w:ilvl="0">
      <w:lvlJc w:val="left"/>
      <w:lvlText w:val="(%1)"/>
      <w:numFmt w:val="lowerLetter"/>
      <w:start w:val="3"/>
    </w:lvl>
  </w:abstractNum>
  <w:abstractNum w:abstractNumId="63">
    <w:nsid w:val="94211F2"/>
    <w:multiLevelType w:val="hybridMultilevel"/>
    <w:lvl w:ilvl="0">
      <w:lvlJc w:val="left"/>
      <w:lvlText w:val="(%1)"/>
      <w:numFmt w:val="lowerLetter"/>
      <w:start w:val="4"/>
    </w:lvl>
  </w:abstractNum>
  <w:abstractNum w:abstractNumId="64">
    <w:nsid w:val="885E1B"/>
    <w:multiLevelType w:val="hybridMultilevel"/>
    <w:lvl w:ilvl="0">
      <w:lvlJc w:val="left"/>
      <w:lvlText w:val="(%1)"/>
      <w:numFmt w:val="lowerLetter"/>
      <w:start w:val="5"/>
    </w:lvl>
  </w:abstractNum>
  <w:abstractNum w:abstractNumId="65">
    <w:nsid w:val="76272110"/>
    <w:multiLevelType w:val="hybridMultilevel"/>
    <w:lvl w:ilvl="0">
      <w:lvlJc w:val="left"/>
      <w:lvlText w:val="(%1)"/>
      <w:numFmt w:val="lowerLetter"/>
      <w:start w:val="6"/>
    </w:lvl>
  </w:abstractNum>
  <w:abstractNum w:abstractNumId="66">
    <w:nsid w:val="4C04A8AF"/>
    <w:multiLevelType w:val="hybridMultilevel"/>
    <w:lvl w:ilvl="0">
      <w:lvlJc w:val="left"/>
      <w:lvlText w:val="%1."/>
      <w:numFmt w:val="decimal"/>
      <w:start w:val="3"/>
    </w:lvl>
  </w:abstractNum>
  <w:abstractNum w:abstractNumId="67">
    <w:nsid w:val="1716703B"/>
    <w:multiLevelType w:val="hybridMultilevel"/>
    <w:lvl w:ilvl="0">
      <w:lvlJc w:val="left"/>
      <w:lvlText w:val="(%1)"/>
      <w:numFmt w:val="lowerLetter"/>
      <w:start w:val="6"/>
    </w:lvl>
  </w:abstractNum>
  <w:abstractNum w:abstractNumId="68">
    <w:nsid w:val="14E17E33"/>
    <w:multiLevelType w:val="hybridMultilevel"/>
    <w:lvl w:ilvl="0">
      <w:lvlJc w:val="left"/>
      <w:lvlText w:val="(%1)"/>
      <w:numFmt w:val="lowerLetter"/>
      <w:start w:val="7"/>
    </w:lvl>
  </w:abstractNum>
  <w:abstractNum w:abstractNumId="69">
    <w:nsid w:val="3222E7CD"/>
    <w:multiLevelType w:val="hybridMultilevel"/>
    <w:lvl w:ilvl="0">
      <w:lvlJc w:val="left"/>
      <w:lvlText w:val="(%1)"/>
      <w:numFmt w:val="lowerLetter"/>
      <w:start w:val="8"/>
    </w:lvl>
  </w:abstractNum>
  <w:abstractNum w:abstractNumId="70">
    <w:nsid w:val="74DE0EE3"/>
    <w:multiLevelType w:val="hybridMultilevel"/>
    <w:lvl w:ilvl="0">
      <w:lvlJc w:val="left"/>
      <w:lvlText w:val="(%1)"/>
      <w:numFmt w:val="lowerRoman"/>
      <w:start w:val="1"/>
    </w:lvl>
  </w:abstractNum>
  <w:abstractNum w:abstractNumId="71">
    <w:nsid w:val="68EBC550"/>
    <w:multiLevelType w:val="hybridMultilevel"/>
    <w:lvl w:ilvl="0">
      <w:lvlJc w:val="left"/>
      <w:lvlText w:val="(%1)"/>
      <w:numFmt w:val="lowerLetter"/>
      <w:start w:val="10"/>
    </w:lvl>
  </w:abstractNum>
  <w:abstractNum w:abstractNumId="72">
    <w:nsid w:val="2DF6D648"/>
    <w:multiLevelType w:val="hybridMultilevel"/>
    <w:lvl w:ilvl="0">
      <w:lvlJc w:val="left"/>
      <w:lvlText w:val="%1."/>
      <w:numFmt w:val="decimal"/>
      <w:start w:val="3"/>
    </w:lvl>
  </w:abstractNum>
  <w:abstractNum w:abstractNumId="73">
    <w:nsid w:val="46B7D447"/>
    <w:multiLevelType w:val="hybridMultilevel"/>
    <w:lvl w:ilvl="0">
      <w:lvlJc w:val="left"/>
      <w:lvlText w:val="(%1)"/>
      <w:numFmt w:val="lowerLetter"/>
      <w:start w:val="10"/>
    </w:lvl>
  </w:abstractNum>
  <w:abstractNum w:abstractNumId="74">
    <w:nsid w:val="4A2AC315"/>
    <w:multiLevelType w:val="hybridMultilevel"/>
    <w:lvl w:ilvl="0">
      <w:lvlJc w:val="left"/>
      <w:lvlText w:val="(%1)"/>
      <w:numFmt w:val="lowerLetter"/>
      <w:start w:val="11"/>
    </w:lvl>
  </w:abstractNum>
  <w:abstractNum w:abstractNumId="75">
    <w:nsid w:val="39EE015C"/>
    <w:multiLevelType w:val="hybridMultilevel"/>
    <w:lvl w:ilvl="0">
      <w:lvlJc w:val="left"/>
      <w:lvlText w:val="%1."/>
      <w:numFmt w:val="decimal"/>
      <w:start w:val="3"/>
    </w:lvl>
  </w:abstractNum>
  <w:abstractNum w:abstractNumId="76">
    <w:nsid w:val="57FC4FBB"/>
    <w:multiLevelType w:val="hybridMultilevel"/>
    <w:lvl w:ilvl="0">
      <w:lvlJc w:val="left"/>
      <w:lvlText w:val="(%1)"/>
      <w:numFmt w:val="lowerLetter"/>
      <w:start w:val="12"/>
    </w:lvl>
  </w:abstractNum>
  <w:abstractNum w:abstractNumId="77">
    <w:nsid w:val="CC1016F"/>
    <w:multiLevelType w:val="hybridMultilevel"/>
    <w:lvl w:ilvl="0">
      <w:lvlJc w:val="left"/>
      <w:lvlText w:val="(%1)"/>
      <w:numFmt w:val="lowerLetter"/>
      <w:start w:val="13"/>
    </w:lvl>
  </w:abstractNum>
  <w:abstractNum w:abstractNumId="78">
    <w:nsid w:val="43F18422"/>
    <w:multiLevelType w:val="hybridMultilevel"/>
    <w:lvl w:ilvl="0">
      <w:lvlJc w:val="left"/>
      <w:lvlText w:val="(%1)"/>
      <w:numFmt w:val="lowerLetter"/>
      <w:start w:val="14"/>
    </w:lvl>
  </w:abstractNum>
  <w:abstractNum w:abstractNumId="79">
    <w:nsid w:val="60EF0119"/>
    <w:multiLevelType w:val="hybridMultilevel"/>
    <w:lvl w:ilvl="0">
      <w:lvlJc w:val="left"/>
      <w:lvlText w:val="(%1)"/>
      <w:numFmt w:val="lowerLetter"/>
      <w:start w:val="15"/>
    </w:lvl>
  </w:abstractNum>
  <w:abstractNum w:abstractNumId="80">
    <w:nsid w:val="26F324BA"/>
    <w:multiLevelType w:val="hybridMultilevel"/>
    <w:lvl w:ilvl="0">
      <w:lvlJc w:val="left"/>
      <w:lvlText w:val="(%1)"/>
      <w:numFmt w:val="lowerLetter"/>
      <w:start w:val="16"/>
    </w:lvl>
  </w:abstractNum>
  <w:abstractNum w:abstractNumId="81">
    <w:nsid w:val="7F01579B"/>
    <w:multiLevelType w:val="hybridMultilevel"/>
    <w:lvl w:ilvl="0">
      <w:lvlJc w:val="left"/>
      <w:lvlText w:val="(%1)"/>
      <w:numFmt w:val="lowerLetter"/>
      <w:start w:val="17"/>
    </w:lvl>
  </w:abstractNum>
  <w:abstractNum w:abstractNumId="82">
    <w:nsid w:val="49DA307D"/>
    <w:multiLevelType w:val="hybridMultilevel"/>
    <w:lvl w:ilvl="0">
      <w:lvlJc w:val="left"/>
      <w:lvlText w:val="(%1)"/>
      <w:numFmt w:val="lowerLetter"/>
      <w:start w:val="18"/>
    </w:lvl>
  </w:abstractNum>
  <w:abstractNum w:abstractNumId="83">
    <w:nsid w:val="7055A5F5"/>
    <w:multiLevelType w:val="hybridMultilevel"/>
    <w:lvl w:ilvl="0">
      <w:lvlJc w:val="left"/>
      <w:lvlText w:val="%1."/>
      <w:numFmt w:val="decimal"/>
      <w:start w:val="3"/>
    </w:lvl>
  </w:abstractNum>
  <w:abstractNum w:abstractNumId="84">
    <w:nsid w:val="5FB8370B"/>
    <w:multiLevelType w:val="hybridMultilevel"/>
    <w:lvl w:ilvl="0">
      <w:lvlJc w:val="left"/>
      <w:lvlText w:val="(%1)"/>
      <w:numFmt w:val="lowerLetter"/>
      <w:start w:val="19"/>
    </w:lvl>
  </w:abstractNum>
  <w:abstractNum w:abstractNumId="85">
    <w:nsid w:val="50801EE1"/>
    <w:multiLevelType w:val="hybridMultilevel"/>
    <w:lvl w:ilvl="0">
      <w:lvlJc w:val="left"/>
      <w:lvlText w:val="(%1)"/>
      <w:numFmt w:val="lowerLetter"/>
      <w:start w:val="20"/>
    </w:lvl>
  </w:abstractNum>
  <w:abstractNum w:abstractNumId="86">
    <w:nsid w:val="488AC1A"/>
    <w:multiLevelType w:val="hybridMultilevel"/>
    <w:lvl w:ilvl="0">
      <w:lvlJc w:val="left"/>
      <w:lvlText w:val="(%1)"/>
      <w:numFmt w:val="lowerLetter"/>
      <w:start w:val="21"/>
    </w:lvl>
  </w:abstractNum>
  <w:abstractNum w:abstractNumId="87">
    <w:nsid w:val="5FB8011C"/>
    <w:multiLevelType w:val="hybridMultilevel"/>
    <w:lvl w:ilvl="0">
      <w:lvlJc w:val="left"/>
      <w:lvlText w:val="(%1)"/>
      <w:numFmt w:val="lowerRoman"/>
      <w:start w:val="5"/>
    </w:lvl>
  </w:abstractNum>
  <w:abstractNum w:abstractNumId="88">
    <w:nsid w:val="6AA78F7F"/>
    <w:multiLevelType w:val="hybridMultilevel"/>
    <w:lvl w:ilvl="0">
      <w:lvlJc w:val="left"/>
      <w:lvlText w:val="(%1)"/>
      <w:numFmt w:val="lowerLetter"/>
      <w:start w:val="23"/>
    </w:lvl>
  </w:abstractNum>
  <w:abstractNum w:abstractNumId="89">
    <w:nsid w:val="7672BD23"/>
    <w:multiLevelType w:val="hybridMultilevel"/>
    <w:lvl w:ilvl="0">
      <w:lvlJc w:val="left"/>
      <w:lvlText w:val="%1."/>
      <w:numFmt w:val="decimal"/>
      <w:start w:val="3"/>
    </w:lvl>
  </w:abstractNum>
  <w:abstractNum w:abstractNumId="90">
    <w:nsid w:val="6FC75AF8"/>
    <w:multiLevelType w:val="hybridMultilevel"/>
    <w:lvl w:ilvl="0">
      <w:lvlJc w:val="left"/>
      <w:lvlText w:val="(%1)"/>
      <w:numFmt w:val="lowerRoman"/>
      <w:start w:val="10"/>
    </w:lvl>
  </w:abstractNum>
  <w:abstractNum w:abstractNumId="91">
    <w:nsid w:val="6A5F7029"/>
    <w:multiLevelType w:val="hybridMultilevel"/>
    <w:lvl w:ilvl="0">
      <w:lvlJc w:val="left"/>
      <w:lvlText w:val="%1."/>
      <w:numFmt w:val="decimal"/>
      <w:start w:val="6"/>
    </w:lvl>
  </w:abstractNum>
  <w:abstractNum w:abstractNumId="92">
    <w:nsid w:val="7D5E18F8"/>
    <w:multiLevelType w:val="hybridMultilevel"/>
    <w:lvl w:ilvl="0">
      <w:lvlJc w:val="left"/>
      <w:lvlText w:val="(%1)"/>
      <w:numFmt w:val="decimal"/>
      <w:start w:val="1"/>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1)"/>
      <w:numFmt w:val="lowerRoman"/>
      <w:start w:val="1"/>
    </w:lvl>
  </w:abstractNum>
  <w:abstractNum w:abstractNumId="95">
    <w:nsid w:val="7DE67713"/>
    <w:multiLevelType w:val="hybridMultilevel"/>
    <w:lvl w:ilvl="0">
      <w:lvlJc w:val="left"/>
      <w:lvlText w:val="%1."/>
      <w:numFmt w:val="decimal"/>
      <w:start w:val="1"/>
    </w:lvl>
    <w:lvl w:ilvl="1">
      <w:lvlJc w:val="left"/>
      <w:lvlText w:val="(%2)"/>
      <w:numFmt w:val="lowerLetter"/>
      <w:start w:val="1"/>
    </w:lvl>
  </w:abstractNum>
  <w:abstractNum w:abstractNumId="96">
    <w:nsid w:val="555C55B5"/>
    <w:multiLevelType w:val="hybridMultilevel"/>
    <w:lvl w:ilvl="0">
      <w:lvlJc w:val="left"/>
      <w:lvlText w:val="%1."/>
      <w:numFmt w:val="decimal"/>
      <w:start w:val="4"/>
    </w:lvl>
    <w:lvl w:ilvl="1">
      <w:lvlJc w:val="left"/>
      <w:lvlText w:val="(%2)"/>
      <w:numFmt w:val="lowerLetter"/>
      <w:start w:val="1"/>
    </w:lvl>
  </w:abstractNum>
  <w:abstractNum w:abstractNumId="97">
    <w:nsid w:val="3FA62ACA"/>
    <w:multiLevelType w:val="hybridMultilevel"/>
    <w:lvl w:ilvl="0">
      <w:lvlJc w:val="left"/>
      <w:lvlText w:val="%1"/>
      <w:numFmt w:val="decimal"/>
      <w:start w:val="1"/>
    </w:lvl>
    <w:lvl w:ilvl="1">
      <w:lvlJc w:val="left"/>
      <w:lvlText w:val="(%2)"/>
      <w:numFmt w:val="lowerLetter"/>
      <w:start w:val="2"/>
    </w:lvl>
  </w:abstractNum>
  <w:abstractNum w:abstractNumId="98">
    <w:nsid w:val="14FCE74E"/>
    <w:multiLevelType w:val="hybridMultilevel"/>
    <w:lvl w:ilvl="0">
      <w:lvlJc w:val="left"/>
      <w:lvlText w:val="%1."/>
      <w:numFmt w:val="decimal"/>
      <w:start w:val="5"/>
    </w:lvl>
    <w:lvl w:ilvl="1">
      <w:lvlJc w:val="left"/>
      <w:lvlText w:val="%2"/>
      <w:numFmt w:val="lowerLetter"/>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decimal"/>
      <w:start w:val="6"/>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2019-12-07T18:30:14Z</dcterms:created>
  <dcterms:modified xsi:type="dcterms:W3CDTF">2019-12-07T18:30:14Z</dcterms:modified>
</cp:coreProperties>
</file>