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RULE 13A-16 OR 15D-16</w:t>
      </w: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August 12, 2010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GLOBAL SHIP LEASE,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Portland House,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Stag Place,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London SW1E 5RS,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39" w:lineRule="exact"/>
        <w:rPr>
          <w:sz w:val="24"/>
          <w:szCs w:val="24"/>
          <w:color w:val="auto"/>
        </w:rPr>
      </w:pPr>
    </w:p>
    <w:p>
      <w:pPr>
        <w:ind w:left="444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S-I Rule 101 (b)(1).</w:t>
      </w:r>
    </w:p>
    <w:p>
      <w:pPr>
        <w:spacing w:after="0" w:line="139" w:lineRule="exact"/>
        <w:rPr>
          <w:sz w:val="24"/>
          <w:szCs w:val="24"/>
          <w:color w:val="auto"/>
        </w:rPr>
      </w:pPr>
    </w:p>
    <w:p>
      <w:pPr>
        <w:ind w:left="4940"/>
        <w:spacing w:after="0" w:line="207" w:lineRule="exact"/>
        <w:tabs>
          <w:tab w:leader="none" w:pos="6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 (b)(7).</w:t>
      </w:r>
    </w:p>
    <w:p>
      <w:pPr>
        <w:spacing w:after="0" w:line="139" w:lineRule="exact"/>
        <w:rPr>
          <w:sz w:val="24"/>
          <w:szCs w:val="24"/>
          <w:color w:val="auto"/>
        </w:rPr>
      </w:pPr>
    </w:p>
    <w:p>
      <w:pPr>
        <w:ind w:left="4940"/>
        <w:spacing w:after="0" w:line="207" w:lineRule="exact"/>
        <w:tabs>
          <w:tab w:leader="none" w:pos="6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right="120"/>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5740" w:type="dxa"/>
            <w:vAlign w:val="bottom"/>
          </w:tcPr>
          <w:p>
            <w:pPr>
              <w:ind w:left="49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2660" w:type="dxa"/>
            <w:vAlign w:val="bottom"/>
          </w:tcPr>
          <w:p>
            <w:pPr>
              <w:ind w:left="2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3020" w:type="dxa"/>
            <w:vAlign w:val="bottom"/>
          </w:tcPr>
          <w:p>
            <w:pPr>
              <w:spacing w:after="0"/>
              <w:rPr>
                <w:sz w:val="23"/>
                <w:szCs w:val="23"/>
                <w:color w:val="auto"/>
              </w:rPr>
            </w:pPr>
          </w:p>
        </w:tc>
      </w:tr>
      <w:tr>
        <w:trPr>
          <w:trHeight w:val="358"/>
        </w:trPr>
        <w:tc>
          <w:tcPr>
            <w:tcW w:w="8400" w:type="dxa"/>
            <w:vAlign w:val="bottom"/>
            <w:gridSpan w:val="2"/>
          </w:tcPr>
          <w:p>
            <w:pPr>
              <w:spacing w:after="0"/>
              <w:rPr>
                <w:sz w:val="20"/>
                <w:szCs w:val="20"/>
                <w:color w:val="auto"/>
              </w:rPr>
            </w:pPr>
            <w:r>
              <w:rPr>
                <w:rFonts w:ascii="Arial" w:cs="Arial" w:eastAsia="Arial" w:hAnsi="Arial"/>
                <w:sz w:val="18"/>
                <w:szCs w:val="18"/>
                <w:color w:val="auto"/>
                <w:w w:val="92"/>
              </w:rPr>
              <w:t>If “Yes” is marked, indicate below the file number assigned to the registrant in connection with Rule 12g3-2(b): 82-</w:t>
            </w:r>
          </w:p>
        </w:tc>
        <w:tc>
          <w:tcPr>
            <w:tcW w:w="3020" w:type="dxa"/>
            <w:vAlign w:val="bottom"/>
          </w:tcPr>
          <w:p>
            <w:pPr>
              <w:jc w:val="right"/>
              <w:ind w:right="2632"/>
              <w:spacing w:after="0"/>
              <w:rPr>
                <w:sz w:val="20"/>
                <w:szCs w:val="20"/>
                <w:color w:val="auto"/>
              </w:rPr>
            </w:pPr>
            <w:r>
              <w:rPr>
                <w:rFonts w:ascii="Arial" w:cs="Arial" w:eastAsia="Arial" w:hAnsi="Arial"/>
                <w:sz w:val="18"/>
                <w:szCs w:val="18"/>
                <w:color w:val="auto"/>
              </w:rPr>
              <w:t>.</w:t>
            </w:r>
          </w:p>
        </w:tc>
      </w:tr>
      <w:tr>
        <w:trPr>
          <w:trHeight w:val="124"/>
        </w:trPr>
        <w:tc>
          <w:tcPr>
            <w:tcW w:w="5740" w:type="dxa"/>
            <w:vAlign w:val="bottom"/>
            <w:tcBorders>
              <w:bottom w:val="single" w:sz="8" w:color="auto"/>
            </w:tcBorders>
          </w:tcPr>
          <w:p>
            <w:pPr>
              <w:spacing w:after="0"/>
              <w:rPr>
                <w:sz w:val="10"/>
                <w:szCs w:val="10"/>
                <w:color w:val="auto"/>
              </w:rPr>
            </w:pPr>
          </w:p>
        </w:tc>
        <w:tc>
          <w:tcPr>
            <w:tcW w:w="266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r>
      <w:tr>
        <w:trPr>
          <w:trHeight w:val="21"/>
        </w:trPr>
        <w:tc>
          <w:tcPr>
            <w:tcW w:w="574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14"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Contained in this Form 6-K Report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Attached hereto as Exhibit I is a press release dated August 12, 2010 of Global Ship Lease, Inc. (the “Company”) reporting the Company’s financial results for the Second Quarter 2010. Attached hereto as Exhibit II are the Company’s interim unaudited consolidated financial statements for the three and six month periods ended June 30, 2010.</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GLOBAL SHIP LEASE, INC.</w:t>
      </w:r>
    </w:p>
    <w:p>
      <w:pPr>
        <w:spacing w:after="0" w:line="225" w:lineRule="exact"/>
        <w:rPr>
          <w:sz w:val="20"/>
          <w:szCs w:val="20"/>
          <w:color w:val="auto"/>
        </w:rPr>
      </w:pPr>
    </w:p>
    <w:p>
      <w:pPr>
        <w:spacing w:after="0"/>
        <w:tabs>
          <w:tab w:leader="none" w:pos="5560" w:val="left"/>
          <w:tab w:leader="none" w:pos="7800" w:val="left"/>
          <w:tab w:leader="none" w:pos="8140" w:val="left"/>
        </w:tabs>
        <w:rPr>
          <w:sz w:val="20"/>
          <w:szCs w:val="20"/>
          <w:color w:val="auto"/>
        </w:rPr>
      </w:pPr>
      <w:r>
        <w:rPr>
          <w:rFonts w:ascii="Arial" w:cs="Arial" w:eastAsia="Arial" w:hAnsi="Arial"/>
          <w:sz w:val="18"/>
          <w:szCs w:val="18"/>
          <w:color w:val="auto"/>
        </w:rPr>
        <w:t>Date: August 12,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w:t>
      </w:r>
      <w:r>
        <w:rPr>
          <w:rFonts w:ascii="Arial" w:cs="Arial" w:eastAsia="Arial" w:hAnsi="Arial"/>
          <w:sz w:val="13"/>
          <w:szCs w:val="13"/>
          <w:color w:val="auto"/>
        </w:rPr>
        <w:t>AN</w:t>
      </w:r>
      <w:r>
        <w:rPr>
          <w:rFonts w:ascii="Arial" w:cs="Arial" w:eastAsia="Arial" w:hAnsi="Arial"/>
          <w:sz w:val="16"/>
          <w:szCs w:val="16"/>
          <w:color w:val="auto"/>
        </w:rPr>
        <w:t xml:space="preserve"> J. W</w:t>
      </w:r>
      <w:r>
        <w:rPr>
          <w:rFonts w:ascii="Arial" w:cs="Arial" w:eastAsia="Arial" w:hAnsi="Arial"/>
          <w:sz w:val="13"/>
          <w:szCs w:val="13"/>
          <w:color w:val="auto"/>
        </w:rPr>
        <w:t>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Ian J. Webber</w:t>
      </w:r>
    </w:p>
    <w:p>
      <w:pPr>
        <w:spacing w:after="0" w:line="1"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380"/>
          </w:cols>
          <w:pgMar w:left="240" w:top="274" w:right="27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217930" cy="6261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1793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Investor and Media Contacts: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IGB Group</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Michael Cimini</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212-477-8261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Reports Results for the Second Quarter of 2010</w:t>
      </w:r>
    </w:p>
    <w:p>
      <w:pPr>
        <w:spacing w:after="0" w:line="171"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 xml:space="preserve">LONDON, ENGLAND—August 12, 2010 </w:t>
      </w:r>
      <w:r>
        <w:rPr>
          <w:rFonts w:ascii="Arial" w:cs="Arial" w:eastAsia="Arial" w:hAnsi="Arial"/>
          <w:sz w:val="18"/>
          <w:szCs w:val="18"/>
          <w:color w:val="auto"/>
        </w:rPr>
        <w:t>- Global Ship Lease, Inc. (NYSE:GSL, GSL.U and GSL.WS), a containership charter owner, announced today its</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 results for the three months ended June 30, 2010.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and Year To Date Highlights</w:t>
      </w:r>
    </w:p>
    <w:p>
      <w:pPr>
        <w:spacing w:after="0" w:line="96" w:lineRule="exact"/>
        <w:rPr>
          <w:sz w:val="20"/>
          <w:szCs w:val="20"/>
          <w:color w:val="auto"/>
        </w:rPr>
      </w:pPr>
    </w:p>
    <w:p>
      <w:pPr>
        <w:jc w:val="both"/>
        <w:ind w:left="220" w:right="100" w:hanging="212"/>
        <w:spacing w:after="0" w:line="259"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Generated $16.4 million of cash in the second quarter of 2010, up 11% on $14.8 million on cash generated in second quarter 2009 due mainly to the purchase of one additional vessel in August 2009. Cash generated in the six months ended June 30, 2010 was $33.3 million up 11% on $30.1 million for the six months ended June 30, 2009</w:t>
      </w:r>
    </w:p>
    <w:p>
      <w:pPr>
        <w:spacing w:after="0" w:line="59" w:lineRule="exact"/>
        <w:rPr>
          <w:rFonts w:ascii="Arial" w:cs="Arial" w:eastAsia="Arial" w:hAnsi="Arial"/>
          <w:sz w:val="18"/>
          <w:szCs w:val="18"/>
          <w:color w:val="auto"/>
        </w:rPr>
      </w:pPr>
    </w:p>
    <w:p>
      <w:pPr>
        <w:ind w:left="220" w:right="360" w:hanging="212"/>
        <w:spacing w:after="0" w:line="332" w:lineRule="auto"/>
        <w:tabs>
          <w:tab w:leader="none" w:pos="22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Reported revenue of $39.6 million for the second quarter of 2010, up 9% on $36.2 million for the second quarter 2009 due mainly to the additional vessel. Revenue for the six months ended June 30, 2010 was $78.8 million up 11% on $71.2 million for the six months ended June 30, 2009</w:t>
      </w:r>
    </w:p>
    <w:p>
      <w:pPr>
        <w:spacing w:after="0" w:line="4" w:lineRule="exact"/>
        <w:rPr>
          <w:rFonts w:ascii="Arial" w:cs="Arial" w:eastAsia="Arial" w:hAnsi="Arial"/>
          <w:sz w:val="16"/>
          <w:szCs w:val="16"/>
          <w:color w:val="auto"/>
        </w:rPr>
      </w:pPr>
    </w:p>
    <w:p>
      <w:pPr>
        <w:ind w:left="220" w:hanging="212"/>
        <w:spacing w:after="0" w:line="298" w:lineRule="auto"/>
        <w:tabs>
          <w:tab w:leader="none" w:pos="22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Reported normalized net earnings of $7.5 million, or $0.14 per A and B Common Share, for the second quarter of 2010, excluding a $12.5 million non-cash interest rate derivative mark-to-market loss. Normalized net earnings for second quarter 2009 were $6.1 million, or $0.11 per A and B Common Share, excluding $16.7 million non-cash mark-to-market gain. Normalized net earnings for the six months ended June 30, 2010 was $15.7 million, or $0.29 per A and B Common Share, compared to $13.0 million for the six months ended June 30, 2009, or $0.24 per A and B Common Share</w:t>
      </w:r>
    </w:p>
    <w:p>
      <w:pPr>
        <w:spacing w:after="0" w:line="31" w:lineRule="exact"/>
        <w:rPr>
          <w:rFonts w:ascii="Arial" w:cs="Arial" w:eastAsia="Arial" w:hAnsi="Arial"/>
          <w:sz w:val="16"/>
          <w:szCs w:val="16"/>
          <w:color w:val="auto"/>
        </w:rPr>
      </w:pPr>
    </w:p>
    <w:p>
      <w:pPr>
        <w:ind w:left="220" w:hanging="212"/>
        <w:spacing w:after="0" w:line="306" w:lineRule="auto"/>
        <w:tabs>
          <w:tab w:leader="none" w:pos="22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Including the non-cash mark-to-market items, reported net loss was $5.0 million, or $0.09 loss per share, for the second quarter of 2010 compared to net income of $22.8 million, or $0.42 income per share, for the second quarter 2009. Reported net loss for the six months ended June 30, 2010 was $1.7 million, or $0.03 loss per share, compared to net income of $33.9 million for the six months ended June 30, 2009, or $0.63 income per share</w:t>
      </w:r>
    </w:p>
    <w:p>
      <w:pPr>
        <w:spacing w:after="0" w:line="107"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Ian Webber, Chief Executive Officer of Global Ship Lease, stated, “During the second quarter, we generated record revenue as our 17 vessel fleet was employed on long-term fixed rate contracts with no off-hire days, achieving 100% utilization. While the recovery is still in its early stages, container shipping fundamentals continued to strengthen during the quarter as a result of both strong demand and reduced surplus capacity. Specifically, spot charter rates and containership values have continued to improve since the first quarter.”</w:t>
      </w:r>
    </w:p>
    <w:p>
      <w:pPr>
        <w:spacing w:after="0" w:line="14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Mr. Webber continued, “During the second quarter, we also strengthened our financial position. Since amending our credit facility approximately one year ago, we have paid down $46 million in debt.”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SELECTED FINANCIAL DATA – UNAUDITED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 of U.S. dollars except per share data)</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Three</w:t>
            </w:r>
          </w:p>
        </w:tc>
        <w:tc>
          <w:tcPr>
            <w:tcW w:w="500" w:type="dxa"/>
            <w:vAlign w:val="bottom"/>
          </w:tcPr>
          <w:p>
            <w:pPr>
              <w:jc w:val="center"/>
              <w:spacing w:after="0"/>
              <w:rPr>
                <w:sz w:val="20"/>
                <w:szCs w:val="20"/>
                <w:color w:val="auto"/>
              </w:rPr>
            </w:pPr>
            <w:r>
              <w:rPr>
                <w:rFonts w:ascii="Arial" w:cs="Arial" w:eastAsia="Arial" w:hAnsi="Arial"/>
                <w:sz w:val="14"/>
                <w:szCs w:val="14"/>
                <w:color w:val="auto"/>
                <w:w w:val="81"/>
              </w:rPr>
              <w:t>Three</w:t>
            </w:r>
          </w:p>
        </w:tc>
        <w:tc>
          <w:tcPr>
            <w:tcW w:w="20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Six</w:t>
            </w:r>
          </w:p>
        </w:tc>
        <w:tc>
          <w:tcPr>
            <w:tcW w:w="500" w:type="dxa"/>
            <w:vAlign w:val="bottom"/>
            <w:gridSpan w:val="2"/>
          </w:tcPr>
          <w:p>
            <w:pPr>
              <w:jc w:val="center"/>
              <w:ind w:right="40"/>
              <w:spacing w:after="0"/>
              <w:rPr>
                <w:sz w:val="20"/>
                <w:szCs w:val="20"/>
                <w:color w:val="auto"/>
              </w:rPr>
            </w:pPr>
            <w:r>
              <w:rPr>
                <w:rFonts w:ascii="Arial" w:cs="Arial" w:eastAsia="Arial" w:hAnsi="Arial"/>
                <w:sz w:val="14"/>
                <w:szCs w:val="14"/>
                <w:color w:val="auto"/>
                <w:w w:val="92"/>
              </w:rPr>
              <w:t>Six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months</w:t>
            </w: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w w:val="87"/>
              </w:rPr>
              <w:t>months</w:t>
            </w:r>
          </w:p>
        </w:tc>
        <w:tc>
          <w:tcPr>
            <w:tcW w:w="20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months</w:t>
            </w:r>
          </w:p>
        </w:tc>
        <w:tc>
          <w:tcPr>
            <w:tcW w:w="50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7"/>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ended</w:t>
            </w: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w w:val="82"/>
              </w:rPr>
              <w:t>ended</w:t>
            </w:r>
          </w:p>
        </w:tc>
        <w:tc>
          <w:tcPr>
            <w:tcW w:w="20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ended</w:t>
            </w:r>
          </w:p>
        </w:tc>
        <w:tc>
          <w:tcPr>
            <w:tcW w:w="50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2"/>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Jun 30,</w:t>
            </w: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auto"/>
                <w:w w:val="82"/>
              </w:rPr>
              <w:t>Jun 30,</w:t>
            </w:r>
          </w:p>
        </w:tc>
        <w:tc>
          <w:tcPr>
            <w:tcW w:w="20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Jun 30,</w:t>
            </w:r>
          </w:p>
        </w:tc>
        <w:tc>
          <w:tcPr>
            <w:tcW w:w="50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7"/>
              </w:rPr>
              <w:t>Jun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2010</w:t>
            </w:r>
          </w:p>
        </w:tc>
        <w:tc>
          <w:tcPr>
            <w:tcW w:w="3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w w:val="83"/>
              </w:rPr>
              <w:t>2009</w:t>
            </w:r>
          </w:p>
        </w:tc>
        <w:tc>
          <w:tcPr>
            <w:tcW w:w="680" w:type="dxa"/>
            <w:vAlign w:val="bottom"/>
            <w:gridSpan w:val="2"/>
          </w:tcPr>
          <w:p>
            <w:pPr>
              <w:jc w:val="center"/>
              <w:ind w:left="115"/>
              <w:spacing w:after="0"/>
              <w:rPr>
                <w:sz w:val="20"/>
                <w:szCs w:val="20"/>
                <w:color w:val="auto"/>
              </w:rPr>
            </w:pPr>
            <w:r>
              <w:rPr>
                <w:rFonts w:ascii="Arial" w:cs="Arial" w:eastAsia="Arial" w:hAnsi="Arial"/>
                <w:sz w:val="14"/>
                <w:szCs w:val="14"/>
                <w:b w:val="1"/>
                <w:bCs w:val="1"/>
                <w:color w:val="auto"/>
                <w:w w:val="89"/>
              </w:rPr>
              <w:t>2010</w:t>
            </w:r>
          </w:p>
        </w:tc>
        <w:tc>
          <w:tcPr>
            <w:tcW w:w="3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89"/>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3"/>
              </w:rPr>
              <w:t>39,611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36,193</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78,762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71,201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Operating Income</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3"/>
              </w:rPr>
              <w:t>17,438</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14,304</w:t>
            </w:r>
          </w:p>
        </w:tc>
        <w:tc>
          <w:tcPr>
            <w:tcW w:w="10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35,843</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27,723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1"/>
              </w:rPr>
              <w:t>(4,954)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22,762</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(1,672)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33,918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(Loss) Earnings per A and B share</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(0.09)</w:t>
            </w:r>
          </w:p>
        </w:tc>
        <w:tc>
          <w:tcPr>
            <w:tcW w:w="500" w:type="dxa"/>
            <w:vAlign w:val="bottom"/>
          </w:tcPr>
          <w:p>
            <w:pPr>
              <w:jc w:val="right"/>
              <w:spacing w:after="0"/>
              <w:rPr>
                <w:sz w:val="20"/>
                <w:szCs w:val="20"/>
                <w:color w:val="auto"/>
              </w:rPr>
            </w:pPr>
            <w:r>
              <w:rPr>
                <w:rFonts w:ascii="Arial" w:cs="Arial" w:eastAsia="Arial" w:hAnsi="Arial"/>
                <w:sz w:val="18"/>
                <w:szCs w:val="18"/>
                <w:color w:val="auto"/>
              </w:rPr>
              <w:t>0.42</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(0.03)</w:t>
            </w:r>
          </w:p>
        </w:tc>
        <w:tc>
          <w:tcPr>
            <w:tcW w:w="480" w:type="dxa"/>
            <w:vAlign w:val="bottom"/>
          </w:tcPr>
          <w:p>
            <w:pPr>
              <w:jc w:val="right"/>
              <w:spacing w:after="0"/>
              <w:rPr>
                <w:sz w:val="20"/>
                <w:szCs w:val="20"/>
                <w:color w:val="auto"/>
              </w:rPr>
            </w:pPr>
            <w:r>
              <w:rPr>
                <w:rFonts w:ascii="Arial" w:cs="Arial" w:eastAsia="Arial" w:hAnsi="Arial"/>
                <w:sz w:val="18"/>
                <w:szCs w:val="18"/>
                <w:color w:val="auto"/>
              </w:rPr>
              <w:t>0.63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Normalised net earnings (1)</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7,500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6,110</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15,661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12,957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Normalised earnings per A and B share (1)</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0.14</w:t>
            </w:r>
          </w:p>
        </w:tc>
        <w:tc>
          <w:tcPr>
            <w:tcW w:w="500" w:type="dxa"/>
            <w:vAlign w:val="bottom"/>
          </w:tcPr>
          <w:p>
            <w:pPr>
              <w:jc w:val="right"/>
              <w:spacing w:after="0"/>
              <w:rPr>
                <w:sz w:val="20"/>
                <w:szCs w:val="20"/>
                <w:color w:val="auto"/>
              </w:rPr>
            </w:pPr>
            <w:r>
              <w:rPr>
                <w:rFonts w:ascii="Arial" w:cs="Arial" w:eastAsia="Arial" w:hAnsi="Arial"/>
                <w:sz w:val="18"/>
                <w:szCs w:val="18"/>
                <w:color w:val="auto"/>
              </w:rPr>
              <w:t>0.11</w:t>
            </w:r>
          </w:p>
        </w:tc>
        <w:tc>
          <w:tcPr>
            <w:tcW w:w="10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0.29</w:t>
            </w:r>
          </w:p>
        </w:tc>
        <w:tc>
          <w:tcPr>
            <w:tcW w:w="480" w:type="dxa"/>
            <w:vAlign w:val="bottom"/>
          </w:tcPr>
          <w:p>
            <w:pPr>
              <w:jc w:val="right"/>
              <w:spacing w:after="0"/>
              <w:rPr>
                <w:sz w:val="20"/>
                <w:szCs w:val="20"/>
                <w:color w:val="auto"/>
              </w:rPr>
            </w:pPr>
            <w:r>
              <w:rPr>
                <w:rFonts w:ascii="Arial" w:cs="Arial" w:eastAsia="Arial" w:hAnsi="Arial"/>
                <w:sz w:val="18"/>
                <w:szCs w:val="18"/>
                <w:color w:val="auto"/>
              </w:rPr>
              <w:t>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Adjusted Cash From Operations (1)</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3"/>
              </w:rPr>
              <w:t>16,399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14,840</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33,259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300" w:hanging="452"/>
        <w:spacing w:after="0" w:line="332"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Normalized net earnings, normalized earnings per share, and adjusted cash from operations are non-US Generally Accepted Accounting Principles (US GAAP) measures, as explained further in this press release, and reconciliations are provided to the interim unaudited financial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Utilization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17-vessel fleet generated revenue from fixed rate long-term time charters of $39.6 million in the three months ended June 30, 2010, up 9% on revenue of</w:t>
      </w:r>
    </w:p>
    <w:p>
      <w:pPr>
        <w:spacing w:after="0" w:line="3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$36.2 million for the comparative period in 2009 when one fewer vessel was deployed. During the three months ended June 30, 2010, there were 1,547 ownership days, up 91 or 6% on 1,456 ownership days in the comparable period in 2009. There were no dry-dockings in the three months ended June 30, 2010 and no off-hire days, giving a utilization of 100%. In the comparable period of 2009, there were four unplanned off-hire days, representing utilization of 99.7%.</w:t>
      </w:r>
    </w:p>
    <w:p>
      <w:pPr>
        <w:spacing w:after="0" w:line="109"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For the six months ended June 30, 2010 revenue was $78.8 million, an increase of 11% on $71.2 million in the comparative period. With one additional vessel, ownership days at 3,077 were up 181 or 6% on 2,896 in the comparative period. Further, offhire days in the first half of 2010 were two, compared to 38 in the first half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 Operating Expenses</w:t>
      </w:r>
    </w:p>
    <w:p>
      <w:pPr>
        <w:spacing w:after="0" w:line="90"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Vessel operating expenses, which include costs of crew, lubricating oil, spares and insurance, were $10.2 million for the three months ended June 30, 2010. The average cost per ownership day was $6,565 in the second quarter 2010 compared to $6,269 for the first quarter, up $296 or 5% due mainly to catch up spend on maintenance. The second quarter 2010 average daily cost was down 9% from the average daily cost of $7,217 for the comparative period in 2009. The reduction on the prior year is due to lower crew costs from slightly reduced manning and lower lubricating oil consumption from slow steaming and following installation of alpha lubricating equipment on a number of vessels.</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the six months ended June 30, 2010 vessel operating expenses were $19.8 million or an average cost per vessel per day of $6,418 compared to a total of $21.2 million or an average of $7,331.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Vessel operating expenses are at less than the capped amounts included in Global Ship Lease’s ship management agreements.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00"/>
          </w:cols>
          <w:pgMar w:left="240" w:top="274"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Depreciation</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Depreciation was $10.0 million for the three months ended June 30, 2010, including the effect of the purchase of one additional vessel in August 2009, compared to $9.0 million for the comparative period in 2009.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Depreciation was $19.9 million for the six months ended June 30, 2010 compared to $17.8 million for the comparative period in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Costs General and administrative costs incurred were $2.1 million in the three months ended June 30, 2010, including $0.3 million non-cash charge for stock based incentives, compared to $2.4 million for the comparable period in 2009, including $0.9 million non-cash charge for stock based incentives.</w:t>
      </w:r>
    </w:p>
    <w:p>
      <w:pPr>
        <w:spacing w:after="0" w:line="85"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In the six months ended June 30, 2010 general and administrative costs were $3.9 million, including $0.6 million non-cash charge for stock based incentives, compared to $4.6 million for the comparable period in 2009, including $1.6 million non-cash charge for stock based incentives.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Interest expense, excluding the effect of interest rate derivatives which do not qualify for hedge accounting, for the three months ended June 30, 2010 was $6.0 million. The Company’s borrowings under its credit facility averaged $584.1 million during second quarter and were $553.1 million at June 30, 2010 after repayment in June 2010 of $31.0 million. There were $48.0 million preferred shares throughout the period. Interest expense in the comparative period in 2009 was $5.6 million based on average borrowings, including the preferred shares, of $590.1 million in the quarter.</w:t>
      </w:r>
    </w:p>
    <w:p>
      <w:pPr>
        <w:spacing w:after="0" w:line="11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For the six months ended June 30, 2010, interest expense, excluding the effect of interest rate derivatives which do not qualify for hedge accounting, was $11.9 million. The Company’s borrowings under its credit facility averaged $585.2 million during first half 2010. There were $48.0 million preferred shares throughout the period. Interest expense in first half 2009 was $10.2 million based on average borrowings, including the preferred shares, of $590.1 million in the period.</w:t>
      </w:r>
    </w:p>
    <w:p>
      <w:pPr>
        <w:spacing w:after="0" w:line="10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Interest income for the three months ended June 30, 2010 was $60,000 and was $163,000 in the comparative 2009 period. For the six months ended June 30, 2010, interest income was $95,000 and was $305,000 in the comparative 2009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Financial Instruments</w:t>
      </w:r>
    </w:p>
    <w:p>
      <w:pPr>
        <w:spacing w:after="0" w:line="9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Company hedges the majority of its interest rate exposure by entering into derivatives that swap floating rate debt for fixed rate debt to provide long-term stability and predictability to cash flows. As these hedges do not qualify for hedge accounting under US GAAP, the outstanding hedges are marked to market at each period end with any change in the fair value being booked to the income and expenditure account. The Company’s derivative hedging instruments gave a $16.4 million loss in the three months ended June 30, 2010, reflecting primarily movements in the forward curve for interest rates. Of this amount, $3.9 million was a realized loss for settlements of swaps in the period and $12.5 million was an unrealized loss for revaluation of the balance sheet position. This compares to a $13.9 million gain in the three months ended June 30, 2009 of which $2.8 million was a realized loss and $16.7 million was an unrealized gain.</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six months ended June 30, 2010 the total loss from derivative hedging instruments was $25.7 million of which $8.3 million was realized and $17.3 million unrealized compared to a total gain in the six months ended June 30, 2009 of $16.1 million of which $4.8 million was a realized loss and $21.0 million was an unrealized gain.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At June 30, 2010, the total mark-to-market unrealized loss recognized as a liability was $46.4 million.</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Unrealized mark-to-market adjustments have no impact on operating performance or cash generation in the period reported.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Earnings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Normalized net earnings was $7.5 million, or $0.14 per Class A and B common share, for the three months ended June 30, 2010 excluding the $12.5 million non-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cash interest rate derivative mark-to-market loss. Including the mark-to-market loss, the reported net loss was $5.0 million or $0.09 loss per Class A and 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share. For the three months ended June 30, 2009 normalized net earnings were $6.1 million, or $0.11 per Class A and B common share, excluding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$16.7 million non-cash interest rate derivative mark-to-market gain. Including the mark-to-market gain, reported net earnings were $22.8 million or $0.42 income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 Class A and B common share.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Normalized net earnings was $15.7 million, or $0.29 per Class A and B common share, for the six months ended June 30, 2010 excluding the $17.3 million non-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cash interest rate derivative mark-to-market loss. Including the mark-to-market loss, the reported net loss was $1.7 million or $0.03 loss per Class A and 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share. For the six months ended June 30, 2009 normalized net earnings were $13.0 million, or $0.24 per Class A and B common share, excluding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$21.0 million non-cash interest rate derivative mark-to-market gain. Including the mark-to-market gain, reported net earnings were $33.9 million or $0.63 income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 Class A and B common share.</w:t>
      </w:r>
    </w:p>
    <w:p>
      <w:pPr>
        <w:spacing w:after="0" w:line="16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Normalized net earnings and normalized earnings per share are non-US GAAP measures and are reconciled to the financial information included in this press release. We believe that they are useful measures with which to assess the Company’s financial performance as they adjust for non-cash items that do not affect the Company’s ability to generate cash.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August 20, 2009, the Company entered into an amendment to its credit facility, whereby the loan-to-value covenant has been waived up to and including November 30, 2010 with the next loan-to-value test scheduled for April 30, 2011. Further, Global Ship Lease was able to borrow sufficient funds under the credit facility to allow the purchase of the CMA CGM Berlioz in August 2009. Amounts borrowed under the amended credit facility bear interest at LIBOR plus a fixed interest margin of 3.50% up to November 30, 2010. Thereafter, the margin will be between 2.50% and 3.50% depending on the loan-to-value ratio.</w:t>
      </w:r>
    </w:p>
    <w:p>
      <w:pPr>
        <w:spacing w:after="0" w:line="11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connection with the amended credit facility, all undrawn commitments of approximately $200 million were cancelled and Global Ship Lease may not pay dividends to common shareholders, instead using its cash flow to prepay borrowings under the credit facility. Global Ship Lease will be able to resume dividends after November 30, 2010 and once the loan-to-value is at or below 75%, when the prepayment of borrowings becomes fixed at $10 million per quarter. As part of the amendment, CMA CGM has agreed to defer redemption of the $48 million preferred shares it holds until after the final maturity of the credit facility in August 2016 and retain its current holding of approximately 24.4 million common shares at least until November 30, 2010.</w:t>
      </w:r>
    </w:p>
    <w:p>
      <w:pPr>
        <w:spacing w:after="0" w:line="1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the six months ended June 30, 2010 a total of $35.1 million has been prepaid leaving a balance outstanding of $553.1 million. The Company estimates that a further $60.3 million will be prepaid in the year ending June 30,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Global Ship Lease has agreed with its lenders that it will not declare or pay any dividend to common shareholders until the later of November 30, 2010 and when loan-to-value is at or below 75%. The board of directors will review the dividend policy when appropriate.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00"/>
          </w:cols>
          <w:pgMar w:left="240" w:top="28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Adjusted Cash From Operations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Adjusted cash from operations was $16.4 million for the three months ended June 30, 2010 compared to $14.8 million for the three months ended June 30, 2009.</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Adjusted cash from operations was $33.3 million for the six months ended June 30, 2010 compared to $30.1 million for the six months ended June 30, 2009.</w:t>
      </w:r>
    </w:p>
    <w:p>
      <w:pPr>
        <w:spacing w:after="0" w:line="194"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Adjusted cash from operations is a non-US GAAP measure and is reconciled to the financial information further in this press release. The Company believes that it is a useful measure with which to assess the Company’s operating performance as it adjusts for the effects of non-cash items.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Fleet Utilization</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table below shows fleet utilization for the three and six months ended June 30, 2010 and 2009 and for year ended December 31, 2009. Unplanned offhire in the six months ended June 30, 2009 includes 18 days for drydock and associated repairs following a grounding and a seven day deviation to land a sick crew member.</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w w:val="89"/>
              </w:rPr>
              <w:t>Three months ended</w:t>
            </w: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4"/>
                <w:szCs w:val="14"/>
                <w:color w:val="auto"/>
                <w:w w:val="98"/>
              </w:rPr>
              <w:t>Six months ended</w:t>
            </w: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color w:val="auto"/>
                <w:w w:val="81"/>
              </w:rPr>
              <w:t>Year</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gridSpan w:val="2"/>
            <w:vMerge w:val="restart"/>
          </w:tcPr>
          <w:p>
            <w:pPr>
              <w:jc w:val="center"/>
              <w:ind w:right="200"/>
              <w:spacing w:after="0" w:line="125" w:lineRule="exact"/>
              <w:rPr>
                <w:sz w:val="20"/>
                <w:szCs w:val="20"/>
                <w:color w:val="auto"/>
              </w:rPr>
            </w:pPr>
            <w:r>
              <w:rPr>
                <w:rFonts w:ascii="Arial" w:cs="Arial" w:eastAsia="Arial" w:hAnsi="Arial"/>
                <w:sz w:val="14"/>
                <w:szCs w:val="14"/>
                <w:color w:val="auto"/>
                <w:w w:val="82"/>
              </w:rPr>
              <w:t>ended</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rPr>
              <w:t>Jun 30,</w:t>
            </w:r>
          </w:p>
        </w:tc>
        <w:tc>
          <w:tcPr>
            <w:tcW w:w="7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82"/>
              </w:rPr>
              <w:t>Jun 30,</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gridSpan w:val="2"/>
          </w:tcPr>
          <w:p>
            <w:pPr>
              <w:jc w:val="right"/>
              <w:ind w:right="332"/>
              <w:spacing w:after="0" w:line="149" w:lineRule="exact"/>
              <w:rPr>
                <w:sz w:val="20"/>
                <w:szCs w:val="20"/>
                <w:color w:val="auto"/>
              </w:rPr>
            </w:pPr>
            <w:r>
              <w:rPr>
                <w:rFonts w:ascii="Arial" w:cs="Arial" w:eastAsia="Arial" w:hAnsi="Arial"/>
                <w:sz w:val="14"/>
                <w:szCs w:val="14"/>
                <w:color w:val="auto"/>
                <w:w w:val="82"/>
              </w:rPr>
              <w:t>Jun 30,</w:t>
            </w:r>
          </w:p>
        </w:tc>
        <w:tc>
          <w:tcPr>
            <w:tcW w:w="8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82"/>
              </w:rPr>
              <w:t>Jun 30,</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6"/>
              </w:rPr>
              <w:t>Dec 31,</w:t>
            </w:r>
          </w:p>
        </w:tc>
        <w:tc>
          <w:tcPr>
            <w:tcW w:w="0" w:type="dxa"/>
            <w:vAlign w:val="bottom"/>
          </w:tcPr>
          <w:p>
            <w:pPr>
              <w:spacing w:after="0"/>
              <w:rPr>
                <w:sz w:val="1"/>
                <w:szCs w:val="1"/>
                <w:color w:val="auto"/>
              </w:rPr>
            </w:pPr>
          </w:p>
        </w:tc>
      </w:tr>
      <w:tr>
        <w:trPr>
          <w:trHeight w:val="159"/>
        </w:trPr>
        <w:tc>
          <w:tcPr>
            <w:tcW w:w="5900" w:type="dxa"/>
            <w:vAlign w:val="bottom"/>
            <w:gridSpan w:val="3"/>
          </w:tcPr>
          <w:p>
            <w:pPr>
              <w:spacing w:after="0" w:line="159" w:lineRule="exact"/>
              <w:rPr>
                <w:sz w:val="20"/>
                <w:szCs w:val="20"/>
                <w:color w:val="auto"/>
              </w:rPr>
            </w:pPr>
            <w:r>
              <w:rPr>
                <w:rFonts w:ascii="Arial" w:cs="Arial" w:eastAsia="Arial" w:hAnsi="Arial"/>
                <w:sz w:val="14"/>
                <w:szCs w:val="14"/>
                <w:color w:val="auto"/>
              </w:rPr>
              <w:t>Days</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2010</w:t>
            </w:r>
          </w:p>
        </w:tc>
        <w:tc>
          <w:tcPr>
            <w:tcW w:w="40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2009</w:t>
            </w:r>
          </w:p>
        </w:tc>
        <w:tc>
          <w:tcPr>
            <w:tcW w:w="380" w:type="dxa"/>
            <w:vAlign w:val="bottom"/>
          </w:tcPr>
          <w:p>
            <w:pPr>
              <w:spacing w:after="0"/>
              <w:rPr>
                <w:sz w:val="13"/>
                <w:szCs w:val="13"/>
                <w:color w:val="auto"/>
              </w:rPr>
            </w:pPr>
          </w:p>
        </w:tc>
        <w:tc>
          <w:tcPr>
            <w:tcW w:w="86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w w:val="81"/>
              </w:rPr>
              <w:t>Increase</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2010</w:t>
            </w:r>
          </w:p>
        </w:tc>
        <w:tc>
          <w:tcPr>
            <w:tcW w:w="40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2009</w:t>
            </w:r>
          </w:p>
        </w:tc>
        <w:tc>
          <w:tcPr>
            <w:tcW w:w="400" w:type="dxa"/>
            <w:vAlign w:val="bottom"/>
          </w:tcPr>
          <w:p>
            <w:pPr>
              <w:spacing w:after="0"/>
              <w:rPr>
                <w:sz w:val="13"/>
                <w:szCs w:val="13"/>
                <w:color w:val="auto"/>
              </w:rPr>
            </w:pPr>
          </w:p>
        </w:tc>
        <w:tc>
          <w:tcPr>
            <w:tcW w:w="84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w w:val="78"/>
              </w:rPr>
              <w:t>Increase</w:t>
            </w:r>
          </w:p>
        </w:tc>
        <w:tc>
          <w:tcPr>
            <w:tcW w:w="440" w:type="dxa"/>
            <w:vAlign w:val="bottom"/>
          </w:tcPr>
          <w:p>
            <w:pPr>
              <w:jc w:val="center"/>
              <w:spacing w:after="0" w:line="159" w:lineRule="exact"/>
              <w:rPr>
                <w:sz w:val="20"/>
                <w:szCs w:val="20"/>
                <w:color w:val="auto"/>
              </w:rPr>
            </w:pPr>
            <w:r>
              <w:rPr>
                <w:rFonts w:ascii="Arial" w:cs="Arial" w:eastAsia="Arial" w:hAnsi="Arial"/>
                <w:sz w:val="14"/>
                <w:szCs w:val="14"/>
                <w:color w:val="auto"/>
                <w:w w:val="89"/>
              </w:rPr>
              <w:t>2009</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560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Ownership days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1,547</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1,456</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8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84"/>
              </w:rPr>
              <w:t>3,077</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2,896</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5,968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Planned offhire - scheduled drydock</w:t>
            </w:r>
          </w:p>
        </w:tc>
        <w:tc>
          <w:tcPr>
            <w:tcW w:w="80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Unplanned offhire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(2)</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900" w:type="dxa"/>
            <w:vAlign w:val="bottom"/>
            <w:gridSpan w:val="3"/>
            <w:vMerge w:val="restart"/>
          </w:tcPr>
          <w:p>
            <w:pPr>
              <w:spacing w:after="0"/>
              <w:rPr>
                <w:sz w:val="20"/>
                <w:szCs w:val="20"/>
                <w:color w:val="auto"/>
              </w:rPr>
            </w:pPr>
            <w:r>
              <w:rPr>
                <w:rFonts w:ascii="Arial" w:cs="Arial" w:eastAsia="Arial" w:hAnsi="Arial"/>
                <w:sz w:val="18"/>
                <w:szCs w:val="18"/>
                <w:color w:val="auto"/>
              </w:rPr>
              <w:t>Operating days</w:t>
            </w: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7%</w:t>
            </w: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8%</w:t>
            </w: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00" w:type="dxa"/>
            <w:vAlign w:val="bottom"/>
            <w:gridSpan w:val="3"/>
            <w:vMerge w:val="continue"/>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1,547</w:t>
            </w:r>
          </w:p>
        </w:tc>
        <w:tc>
          <w:tcPr>
            <w:tcW w:w="4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1,452</w:t>
            </w:r>
          </w:p>
        </w:tc>
        <w:tc>
          <w:tcPr>
            <w:tcW w:w="38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800" w:type="dxa"/>
            <w:vAlign w:val="bottom"/>
            <w:gridSpan w:val="2"/>
          </w:tcPr>
          <w:p>
            <w:pPr>
              <w:jc w:val="right"/>
              <w:ind w:right="332"/>
              <w:spacing w:after="0"/>
              <w:rPr>
                <w:sz w:val="20"/>
                <w:szCs w:val="20"/>
                <w:color w:val="auto"/>
              </w:rPr>
            </w:pPr>
            <w:r>
              <w:rPr>
                <w:rFonts w:ascii="Arial" w:cs="Arial" w:eastAsia="Arial" w:hAnsi="Arial"/>
                <w:sz w:val="18"/>
                <w:szCs w:val="18"/>
                <w:color w:val="auto"/>
                <w:w w:val="84"/>
              </w:rPr>
              <w:t>3,075</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2,858</w:t>
            </w:r>
          </w:p>
        </w:tc>
        <w:tc>
          <w:tcPr>
            <w:tcW w:w="840" w:type="dxa"/>
            <w:vAlign w:val="bottom"/>
            <w:gridSpan w:val="2"/>
            <w:vMerge w:val="continue"/>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5,894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5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w:t>
            </w: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100.0%</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99.7%</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99.9%</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98.7%</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the on-the-water fleet of 17 vessels chartered to CMA CGM.</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Charter</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Capacity</w:t>
            </w:r>
          </w:p>
        </w:tc>
        <w:tc>
          <w:tcPr>
            <w:tcW w:w="100" w:type="dxa"/>
            <w:vAlign w:val="bottom"/>
          </w:tcPr>
          <w:p>
            <w:pPr>
              <w:spacing w:after="0"/>
              <w:rPr>
                <w:sz w:val="14"/>
                <w:szCs w:val="14"/>
                <w:color w:val="auto"/>
              </w:rPr>
            </w:pPr>
          </w:p>
        </w:tc>
        <w:tc>
          <w:tcPr>
            <w:tcW w:w="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220" w:type="dxa"/>
            <w:vAlign w:val="bottom"/>
          </w:tcPr>
          <w:p>
            <w:pPr>
              <w:spacing w:after="0"/>
              <w:rPr>
                <w:sz w:val="14"/>
                <w:szCs w:val="14"/>
                <w:color w:val="auto"/>
              </w:rPr>
            </w:pPr>
          </w:p>
        </w:tc>
        <w:tc>
          <w:tcPr>
            <w:tcW w:w="3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Purchase Date</w:t>
            </w:r>
          </w:p>
        </w:tc>
        <w:tc>
          <w:tcPr>
            <w:tcW w:w="20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Remaining</w:t>
            </w:r>
          </w:p>
        </w:tc>
        <w:tc>
          <w:tcPr>
            <w:tcW w:w="10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64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8"/>
              </w:rPr>
              <w:t>in TEUs</w:t>
            </w:r>
          </w:p>
        </w:tc>
        <w:tc>
          <w:tcPr>
            <w:tcW w:w="10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39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0"/>
              </w:rPr>
              <w:t>Duration</w:t>
            </w:r>
          </w:p>
        </w:tc>
        <w:tc>
          <w:tcPr>
            <w:tcW w:w="100" w:type="dxa"/>
            <w:vAlign w:val="bottom"/>
          </w:tcPr>
          <w:p>
            <w:pPr>
              <w:spacing w:after="0"/>
              <w:rPr>
                <w:sz w:val="11"/>
                <w:szCs w:val="11"/>
                <w:color w:val="auto"/>
              </w:rPr>
            </w:pPr>
          </w:p>
        </w:tc>
        <w:tc>
          <w:tcPr>
            <w:tcW w:w="60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68"/>
        </w:trPr>
        <w:tc>
          <w:tcPr>
            <w:tcW w:w="450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9"/>
              </w:rPr>
              <w:t>Built</w:t>
            </w:r>
          </w:p>
        </w:tc>
        <w:tc>
          <w:tcPr>
            <w:tcW w:w="220" w:type="dxa"/>
            <w:vAlign w:val="bottom"/>
          </w:tcPr>
          <w:p>
            <w:pPr>
              <w:spacing w:after="0"/>
              <w:rPr>
                <w:sz w:val="14"/>
                <w:szCs w:val="14"/>
                <w:color w:val="auto"/>
              </w:rPr>
            </w:pPr>
          </w:p>
        </w:tc>
        <w:tc>
          <w:tcPr>
            <w:tcW w:w="3960" w:type="dxa"/>
            <w:vAlign w:val="bottom"/>
          </w:tcPr>
          <w:p>
            <w:pPr>
              <w:jc w:val="center"/>
              <w:spacing w:after="0"/>
              <w:rPr>
                <w:sz w:val="20"/>
                <w:szCs w:val="20"/>
                <w:color w:val="auto"/>
              </w:rPr>
            </w:pPr>
            <w:r>
              <w:rPr>
                <w:rFonts w:ascii="Arial" w:cs="Arial" w:eastAsia="Arial" w:hAnsi="Arial"/>
                <w:sz w:val="14"/>
                <w:szCs w:val="14"/>
                <w:b w:val="1"/>
                <w:bCs w:val="1"/>
                <w:color w:val="auto"/>
                <w:w w:val="89"/>
              </w:rPr>
              <w:t>by GSL</w:t>
            </w:r>
          </w:p>
        </w:tc>
        <w:tc>
          <w:tcPr>
            <w:tcW w:w="2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(years)</w:t>
            </w:r>
          </w:p>
        </w:tc>
        <w:tc>
          <w:tcPr>
            <w:tcW w:w="10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Rate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Ville d’Orion</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4,113</w:t>
            </w:r>
          </w:p>
        </w:tc>
        <w:tc>
          <w:tcPr>
            <w:tcW w:w="4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9"/>
              </w:rPr>
              <w:t>1997</w:t>
            </w:r>
          </w:p>
        </w:tc>
        <w:tc>
          <w:tcPr>
            <w:tcW w:w="220" w:type="dxa"/>
            <w:vAlign w:val="bottom"/>
            <w:shd w:val="clear" w:color="auto" w:fill="CCEEFF"/>
          </w:tcPr>
          <w:p>
            <w:pPr>
              <w:spacing w:after="0"/>
              <w:rPr>
                <w:sz w:val="18"/>
                <w:szCs w:val="18"/>
                <w:color w:val="auto"/>
              </w:rPr>
            </w:pPr>
          </w:p>
        </w:tc>
        <w:tc>
          <w:tcPr>
            <w:tcW w:w="3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6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9"/>
              </w:rPr>
              <w:t>$28,500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Ville d’Aquarius</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4,113</w:t>
            </w:r>
          </w:p>
        </w:tc>
        <w:tc>
          <w:tcPr>
            <w:tcW w:w="46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1996</w:t>
            </w:r>
          </w:p>
        </w:tc>
        <w:tc>
          <w:tcPr>
            <w:tcW w:w="220" w:type="dxa"/>
            <w:vAlign w:val="bottom"/>
          </w:tcPr>
          <w:p>
            <w:pPr>
              <w:spacing w:after="0"/>
              <w:rPr>
                <w:sz w:val="18"/>
                <w:szCs w:val="18"/>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2.50</w:t>
            </w:r>
          </w:p>
        </w:tc>
        <w:tc>
          <w:tcPr>
            <w:tcW w:w="68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$28,500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2,262</w:t>
            </w:r>
          </w:p>
        </w:tc>
        <w:tc>
          <w:tcPr>
            <w:tcW w:w="4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9"/>
              </w:rPr>
              <w:t>1999</w:t>
            </w:r>
          </w:p>
        </w:tc>
        <w:tc>
          <w:tcPr>
            <w:tcW w:w="220" w:type="dxa"/>
            <w:vAlign w:val="bottom"/>
            <w:shd w:val="clear" w:color="auto" w:fill="CCEEFF"/>
          </w:tcPr>
          <w:p>
            <w:pPr>
              <w:spacing w:after="0"/>
              <w:rPr>
                <w:sz w:val="18"/>
                <w:szCs w:val="18"/>
                <w:color w:val="auto"/>
              </w:rPr>
            </w:pPr>
          </w:p>
        </w:tc>
        <w:tc>
          <w:tcPr>
            <w:tcW w:w="3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6.50</w:t>
            </w:r>
          </w:p>
        </w:tc>
        <w:tc>
          <w:tcPr>
            <w:tcW w:w="6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2,262</w:t>
            </w:r>
          </w:p>
        </w:tc>
        <w:tc>
          <w:tcPr>
            <w:tcW w:w="46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1999</w:t>
            </w:r>
          </w:p>
        </w:tc>
        <w:tc>
          <w:tcPr>
            <w:tcW w:w="220" w:type="dxa"/>
            <w:vAlign w:val="bottom"/>
          </w:tcPr>
          <w:p>
            <w:pPr>
              <w:spacing w:after="0"/>
              <w:rPr>
                <w:sz w:val="18"/>
                <w:szCs w:val="18"/>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6.50</w:t>
            </w:r>
          </w:p>
        </w:tc>
        <w:tc>
          <w:tcPr>
            <w:tcW w:w="68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2,207</w:t>
            </w:r>
          </w:p>
        </w:tc>
        <w:tc>
          <w:tcPr>
            <w:tcW w:w="4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9"/>
              </w:rPr>
              <w:t>2003</w:t>
            </w:r>
          </w:p>
        </w:tc>
        <w:tc>
          <w:tcPr>
            <w:tcW w:w="220" w:type="dxa"/>
            <w:vAlign w:val="bottom"/>
            <w:shd w:val="clear" w:color="auto" w:fill="CCEEFF"/>
          </w:tcPr>
          <w:p>
            <w:pPr>
              <w:spacing w:after="0"/>
              <w:rPr>
                <w:sz w:val="18"/>
                <w:szCs w:val="18"/>
                <w:color w:val="auto"/>
              </w:rPr>
            </w:pPr>
          </w:p>
        </w:tc>
        <w:tc>
          <w:tcPr>
            <w:tcW w:w="3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7.50</w:t>
            </w:r>
          </w:p>
        </w:tc>
        <w:tc>
          <w:tcPr>
            <w:tcW w:w="6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2,207</w:t>
            </w:r>
          </w:p>
        </w:tc>
        <w:tc>
          <w:tcPr>
            <w:tcW w:w="46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2002</w:t>
            </w:r>
          </w:p>
        </w:tc>
        <w:tc>
          <w:tcPr>
            <w:tcW w:w="220" w:type="dxa"/>
            <w:vAlign w:val="bottom"/>
          </w:tcPr>
          <w:p>
            <w:pPr>
              <w:spacing w:after="0"/>
              <w:rPr>
                <w:sz w:val="18"/>
                <w:szCs w:val="18"/>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7.50</w:t>
            </w:r>
          </w:p>
        </w:tc>
        <w:tc>
          <w:tcPr>
            <w:tcW w:w="68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2,207</w:t>
            </w:r>
          </w:p>
        </w:tc>
        <w:tc>
          <w:tcPr>
            <w:tcW w:w="4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9"/>
              </w:rPr>
              <w:t>2002</w:t>
            </w:r>
          </w:p>
        </w:tc>
        <w:tc>
          <w:tcPr>
            <w:tcW w:w="220" w:type="dxa"/>
            <w:vAlign w:val="bottom"/>
            <w:shd w:val="clear" w:color="auto" w:fill="CCEEFF"/>
          </w:tcPr>
          <w:p>
            <w:pPr>
              <w:spacing w:after="0"/>
              <w:rPr>
                <w:sz w:val="18"/>
                <w:szCs w:val="18"/>
                <w:color w:val="auto"/>
              </w:rPr>
            </w:pPr>
          </w:p>
        </w:tc>
        <w:tc>
          <w:tcPr>
            <w:tcW w:w="3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7.50</w:t>
            </w:r>
          </w:p>
        </w:tc>
        <w:tc>
          <w:tcPr>
            <w:tcW w:w="6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2,207</w:t>
            </w:r>
          </w:p>
        </w:tc>
        <w:tc>
          <w:tcPr>
            <w:tcW w:w="46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2002</w:t>
            </w:r>
          </w:p>
        </w:tc>
        <w:tc>
          <w:tcPr>
            <w:tcW w:w="220" w:type="dxa"/>
            <w:vAlign w:val="bottom"/>
          </w:tcPr>
          <w:p>
            <w:pPr>
              <w:spacing w:after="0"/>
              <w:rPr>
                <w:sz w:val="18"/>
                <w:szCs w:val="18"/>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7.50</w:t>
            </w:r>
          </w:p>
        </w:tc>
        <w:tc>
          <w:tcPr>
            <w:tcW w:w="68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2,272</w:t>
            </w:r>
          </w:p>
        </w:tc>
        <w:tc>
          <w:tcPr>
            <w:tcW w:w="4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9"/>
              </w:rPr>
              <w:t>2001</w:t>
            </w:r>
          </w:p>
        </w:tc>
        <w:tc>
          <w:tcPr>
            <w:tcW w:w="220" w:type="dxa"/>
            <w:vAlign w:val="bottom"/>
            <w:shd w:val="clear" w:color="auto" w:fill="CCEEFF"/>
          </w:tcPr>
          <w:p>
            <w:pPr>
              <w:spacing w:after="0"/>
              <w:rPr>
                <w:sz w:val="18"/>
                <w:szCs w:val="18"/>
                <w:color w:val="auto"/>
              </w:rPr>
            </w:pPr>
          </w:p>
        </w:tc>
        <w:tc>
          <w:tcPr>
            <w:tcW w:w="3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6.50</w:t>
            </w:r>
          </w:p>
        </w:tc>
        <w:tc>
          <w:tcPr>
            <w:tcW w:w="6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2,272</w:t>
            </w:r>
          </w:p>
        </w:tc>
        <w:tc>
          <w:tcPr>
            <w:tcW w:w="46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2001</w:t>
            </w:r>
          </w:p>
        </w:tc>
        <w:tc>
          <w:tcPr>
            <w:tcW w:w="220" w:type="dxa"/>
            <w:vAlign w:val="bottom"/>
          </w:tcPr>
          <w:p>
            <w:pPr>
              <w:spacing w:after="0"/>
              <w:rPr>
                <w:sz w:val="18"/>
                <w:szCs w:val="18"/>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6.50</w:t>
            </w:r>
          </w:p>
        </w:tc>
        <w:tc>
          <w:tcPr>
            <w:tcW w:w="68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5,100</w:t>
            </w:r>
          </w:p>
        </w:tc>
        <w:tc>
          <w:tcPr>
            <w:tcW w:w="4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9"/>
              </w:rPr>
              <w:t>2007</w:t>
            </w:r>
          </w:p>
        </w:tc>
        <w:tc>
          <w:tcPr>
            <w:tcW w:w="220" w:type="dxa"/>
            <w:vAlign w:val="bottom"/>
            <w:shd w:val="clear" w:color="auto" w:fill="CCEEFF"/>
          </w:tcPr>
          <w:p>
            <w:pPr>
              <w:spacing w:after="0"/>
              <w:rPr>
                <w:sz w:val="18"/>
                <w:szCs w:val="18"/>
                <w:color w:val="auto"/>
              </w:rPr>
            </w:pPr>
          </w:p>
        </w:tc>
        <w:tc>
          <w:tcPr>
            <w:tcW w:w="3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January 2008</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10.50</w:t>
            </w:r>
          </w:p>
        </w:tc>
        <w:tc>
          <w:tcPr>
            <w:tcW w:w="6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9"/>
              </w:rPr>
              <w:t>$33,750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CMA CGM Château d’If</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5,100</w:t>
            </w:r>
          </w:p>
        </w:tc>
        <w:tc>
          <w:tcPr>
            <w:tcW w:w="46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2007</w:t>
            </w:r>
          </w:p>
        </w:tc>
        <w:tc>
          <w:tcPr>
            <w:tcW w:w="220" w:type="dxa"/>
            <w:vAlign w:val="bottom"/>
          </w:tcPr>
          <w:p>
            <w:pPr>
              <w:spacing w:after="0"/>
              <w:rPr>
                <w:sz w:val="18"/>
                <w:szCs w:val="18"/>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86"/>
              </w:rPr>
              <w:t>January 2008</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10.50</w:t>
            </w:r>
          </w:p>
        </w:tc>
        <w:tc>
          <w:tcPr>
            <w:tcW w:w="68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$33,750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10,960</w:t>
            </w:r>
          </w:p>
        </w:tc>
        <w:tc>
          <w:tcPr>
            <w:tcW w:w="4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9"/>
              </w:rPr>
              <w:t>2008</w:t>
            </w:r>
          </w:p>
        </w:tc>
        <w:tc>
          <w:tcPr>
            <w:tcW w:w="220" w:type="dxa"/>
            <w:vAlign w:val="bottom"/>
            <w:shd w:val="clear" w:color="auto" w:fill="CCEEFF"/>
          </w:tcPr>
          <w:p>
            <w:pPr>
              <w:spacing w:after="0"/>
              <w:rPr>
                <w:sz w:val="18"/>
                <w:szCs w:val="18"/>
                <w:color w:val="auto"/>
              </w:rPr>
            </w:pPr>
          </w:p>
        </w:tc>
        <w:tc>
          <w:tcPr>
            <w:tcW w:w="3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2008</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15.50</w:t>
            </w:r>
          </w:p>
        </w:tc>
        <w:tc>
          <w:tcPr>
            <w:tcW w:w="6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9"/>
              </w:rPr>
              <w:t>$47,200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4,298</w:t>
            </w:r>
          </w:p>
        </w:tc>
        <w:tc>
          <w:tcPr>
            <w:tcW w:w="46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2006</w:t>
            </w:r>
          </w:p>
        </w:tc>
        <w:tc>
          <w:tcPr>
            <w:tcW w:w="220" w:type="dxa"/>
            <w:vAlign w:val="bottom"/>
          </w:tcPr>
          <w:p>
            <w:pPr>
              <w:spacing w:after="0"/>
              <w:rPr>
                <w:sz w:val="18"/>
                <w:szCs w:val="18"/>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87"/>
              </w:rPr>
              <w:t>December 2008</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12.50</w:t>
            </w:r>
          </w:p>
        </w:tc>
        <w:tc>
          <w:tcPr>
            <w:tcW w:w="68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4,045</w:t>
            </w:r>
          </w:p>
        </w:tc>
        <w:tc>
          <w:tcPr>
            <w:tcW w:w="4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9"/>
              </w:rPr>
              <w:t>2006</w:t>
            </w:r>
          </w:p>
        </w:tc>
        <w:tc>
          <w:tcPr>
            <w:tcW w:w="220" w:type="dxa"/>
            <w:vAlign w:val="bottom"/>
            <w:shd w:val="clear" w:color="auto" w:fill="CCEEFF"/>
          </w:tcPr>
          <w:p>
            <w:pPr>
              <w:spacing w:after="0"/>
              <w:rPr>
                <w:sz w:val="18"/>
                <w:szCs w:val="18"/>
                <w:color w:val="auto"/>
              </w:rPr>
            </w:pPr>
          </w:p>
        </w:tc>
        <w:tc>
          <w:tcPr>
            <w:tcW w:w="3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2008</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12.50</w:t>
            </w:r>
          </w:p>
        </w:tc>
        <w:tc>
          <w:tcPr>
            <w:tcW w:w="6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9"/>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4,045</w:t>
            </w:r>
          </w:p>
        </w:tc>
        <w:tc>
          <w:tcPr>
            <w:tcW w:w="46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2006</w:t>
            </w:r>
          </w:p>
        </w:tc>
        <w:tc>
          <w:tcPr>
            <w:tcW w:w="220" w:type="dxa"/>
            <w:vAlign w:val="bottom"/>
          </w:tcPr>
          <w:p>
            <w:pPr>
              <w:spacing w:after="0"/>
              <w:rPr>
                <w:sz w:val="18"/>
                <w:szCs w:val="18"/>
                <w:color w:val="auto"/>
              </w:rPr>
            </w:pPr>
          </w:p>
        </w:tc>
        <w:tc>
          <w:tcPr>
            <w:tcW w:w="3960" w:type="dxa"/>
            <w:vAlign w:val="bottom"/>
          </w:tcPr>
          <w:p>
            <w:pPr>
              <w:jc w:val="center"/>
              <w:spacing w:after="0"/>
              <w:rPr>
                <w:sz w:val="20"/>
                <w:szCs w:val="20"/>
                <w:color w:val="auto"/>
              </w:rPr>
            </w:pPr>
            <w:r>
              <w:rPr>
                <w:rFonts w:ascii="Arial" w:cs="Arial" w:eastAsia="Arial" w:hAnsi="Arial"/>
                <w:sz w:val="18"/>
                <w:szCs w:val="18"/>
                <w:color w:val="auto"/>
                <w:w w:val="87"/>
              </w:rPr>
              <w:t>December 2008</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12.50</w:t>
            </w:r>
          </w:p>
        </w:tc>
        <w:tc>
          <w:tcPr>
            <w:tcW w:w="68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6,627</w:t>
            </w:r>
          </w:p>
        </w:tc>
        <w:tc>
          <w:tcPr>
            <w:tcW w:w="4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9"/>
              </w:rPr>
              <w:t>2001</w:t>
            </w:r>
          </w:p>
        </w:tc>
        <w:tc>
          <w:tcPr>
            <w:tcW w:w="220" w:type="dxa"/>
            <w:vAlign w:val="bottom"/>
            <w:shd w:val="clear" w:color="auto" w:fill="CCEEFF"/>
          </w:tcPr>
          <w:p>
            <w:pPr>
              <w:spacing w:after="0"/>
              <w:rPr>
                <w:sz w:val="18"/>
                <w:szCs w:val="18"/>
                <w:color w:val="auto"/>
              </w:rPr>
            </w:pPr>
          </w:p>
        </w:tc>
        <w:tc>
          <w:tcPr>
            <w:tcW w:w="3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August 2009</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11.25</w:t>
            </w:r>
          </w:p>
        </w:tc>
        <w:tc>
          <w:tcPr>
            <w:tcW w:w="6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9"/>
              </w:rPr>
              <w:t>$34,000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provides information about the contracted fleet.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Capacity</w:t>
            </w:r>
          </w:p>
        </w:tc>
        <w:tc>
          <w:tcPr>
            <w:tcW w:w="120" w:type="dxa"/>
            <w:vAlign w:val="bottom"/>
          </w:tcPr>
          <w:p>
            <w:pPr>
              <w:spacing w:after="0"/>
              <w:rPr>
                <w:sz w:val="14"/>
                <w:szCs w:val="14"/>
                <w:color w:val="auto"/>
              </w:rPr>
            </w:pPr>
          </w:p>
        </w:tc>
        <w:tc>
          <w:tcPr>
            <w:tcW w:w="5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5"/>
              </w:rPr>
              <w:t>Year</w:t>
            </w:r>
          </w:p>
        </w:tc>
        <w:tc>
          <w:tcPr>
            <w:tcW w:w="3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Estimated Delivery</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Charter</w:t>
            </w:r>
          </w:p>
        </w:tc>
        <w:tc>
          <w:tcPr>
            <w:tcW w:w="20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620" w:type="dxa"/>
            <w:vAlign w:val="bottom"/>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w w:val="88"/>
              </w:rPr>
              <w:t>in TEUs</w:t>
            </w:r>
          </w:p>
        </w:tc>
        <w:tc>
          <w:tcPr>
            <w:tcW w:w="12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3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Duration</w:t>
            </w:r>
          </w:p>
        </w:tc>
        <w:tc>
          <w:tcPr>
            <w:tcW w:w="200" w:type="dxa"/>
            <w:vAlign w:val="bottom"/>
          </w:tcPr>
          <w:p>
            <w:pPr>
              <w:spacing w:after="0"/>
              <w:rPr>
                <w:sz w:val="11"/>
                <w:szCs w:val="11"/>
                <w:color w:val="auto"/>
              </w:rPr>
            </w:pPr>
          </w:p>
        </w:tc>
        <w:tc>
          <w:tcPr>
            <w:tcW w:w="60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68"/>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520" w:type="dxa"/>
            <w:vAlign w:val="bottom"/>
          </w:tcPr>
          <w:p>
            <w:pPr>
              <w:jc w:val="right"/>
              <w:ind w:right="127"/>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Built</w:t>
            </w: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2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Charterer</w:t>
            </w:r>
          </w:p>
        </w:tc>
        <w:tc>
          <w:tcPr>
            <w:tcW w:w="200" w:type="dxa"/>
            <w:vAlign w:val="bottom"/>
          </w:tcPr>
          <w:p>
            <w:pPr>
              <w:spacing w:after="0"/>
              <w:rPr>
                <w:sz w:val="14"/>
                <w:szCs w:val="14"/>
                <w:color w:val="auto"/>
              </w:rPr>
            </w:pPr>
          </w:p>
        </w:tc>
        <w:tc>
          <w:tcPr>
            <w:tcW w:w="540" w:type="dxa"/>
            <w:vAlign w:val="bottom"/>
            <w:gridSpan w:val="2"/>
          </w:tcPr>
          <w:p>
            <w:pPr>
              <w:jc w:val="right"/>
              <w:ind w:right="4"/>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Rate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Hull 789 </w:t>
            </w:r>
            <w:r>
              <w:rPr>
                <w:rFonts w:ascii="Arial" w:cs="Arial" w:eastAsia="Arial" w:hAnsi="Arial"/>
                <w:sz w:val="11"/>
                <w:szCs w:val="11"/>
                <w:color w:val="auto"/>
              </w:rPr>
              <w:t>(2)</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4,250</w:t>
            </w:r>
          </w:p>
        </w:tc>
        <w:tc>
          <w:tcPr>
            <w:tcW w:w="6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4"/>
              </w:rPr>
              <w:t>2010</w:t>
            </w: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2010</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ZIM</w:t>
            </w: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7-8</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$28,000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 xml:space="preserve">Hull 790 </w:t>
            </w:r>
            <w:r>
              <w:rPr>
                <w:rFonts w:ascii="Arial" w:cs="Arial" w:eastAsia="Arial" w:hAnsi="Arial"/>
                <w:sz w:val="11"/>
                <w:szCs w:val="11"/>
                <w:color w:val="auto"/>
              </w:rPr>
              <w:t>(2)</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4,250</w:t>
            </w:r>
          </w:p>
        </w:tc>
        <w:tc>
          <w:tcPr>
            <w:tcW w:w="680" w:type="dxa"/>
            <w:vAlign w:val="bottom"/>
            <w:gridSpan w:val="3"/>
          </w:tcPr>
          <w:p>
            <w:pPr>
              <w:jc w:val="center"/>
              <w:ind w:right="100"/>
              <w:spacing w:after="0"/>
              <w:rPr>
                <w:sz w:val="20"/>
                <w:szCs w:val="20"/>
                <w:color w:val="auto"/>
              </w:rPr>
            </w:pPr>
            <w:r>
              <w:rPr>
                <w:rFonts w:ascii="Arial" w:cs="Arial" w:eastAsia="Arial" w:hAnsi="Arial"/>
                <w:sz w:val="18"/>
                <w:szCs w:val="18"/>
                <w:color w:val="auto"/>
                <w:w w:val="84"/>
              </w:rPr>
              <w:t>2010</w:t>
            </w:r>
          </w:p>
        </w:tc>
        <w:tc>
          <w:tcPr>
            <w:tcW w:w="3660" w:type="dxa"/>
            <w:vAlign w:val="bottom"/>
          </w:tcPr>
          <w:p>
            <w:pPr>
              <w:jc w:val="center"/>
              <w:spacing w:after="0"/>
              <w:rPr>
                <w:sz w:val="20"/>
                <w:szCs w:val="20"/>
                <w:color w:val="auto"/>
              </w:rPr>
            </w:pPr>
            <w:r>
              <w:rPr>
                <w:rFonts w:ascii="Arial" w:cs="Arial" w:eastAsia="Arial" w:hAnsi="Arial"/>
                <w:sz w:val="18"/>
                <w:szCs w:val="18"/>
                <w:color w:val="auto"/>
                <w:w w:val="87"/>
              </w:rPr>
              <w:t>December 2010</w:t>
            </w:r>
          </w:p>
        </w:tc>
        <w:tc>
          <w:tcPr>
            <w:tcW w:w="22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ZIM</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99"/>
              </w:rPr>
              <w:t>7-8</w:t>
            </w:r>
          </w:p>
        </w:tc>
        <w:tc>
          <w:tcPr>
            <w:tcW w:w="220" w:type="dxa"/>
            <w:vAlign w:val="bottom"/>
          </w:tcPr>
          <w:p>
            <w:pPr>
              <w:jc w:val="right"/>
              <w:spacing w:after="0"/>
              <w:rPr>
                <w:sz w:val="20"/>
                <w:szCs w:val="20"/>
                <w:color w:val="auto"/>
              </w:rPr>
            </w:pPr>
            <w:r>
              <w:rPr>
                <w:rFonts w:ascii="Arial" w:cs="Arial" w:eastAsia="Arial" w:hAnsi="Arial"/>
                <w:sz w:val="11"/>
                <w:szCs w:val="11"/>
                <w:color w:val="auto"/>
              </w:rPr>
              <w:t>(3)</w:t>
            </w:r>
          </w:p>
        </w:tc>
        <w:tc>
          <w:tcPr>
            <w:tcW w:w="7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$28,000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Contracted to be purchased from German interests.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Seven-year charter that could be extended to eight years at charterer’s option.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Global Ship Lease will hold a conference call to discuss the Company’s results for the three months ended June 30, 2010 today, Thursday, August 12, 2010 at 10:30 a.m. Eastern Time. There are two ways to access the conference call:</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 Dial-in: (888) 935-4577 or (212) 444-0413; Passcode: 8030416</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dial in at least 10 minutes prior to 10:30 a.m. Eastern Time to ensure a prompt start to the call.</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 Live Internet webcast and slide presentation: </w:t>
      </w:r>
      <w:r>
        <w:rPr>
          <w:rFonts w:ascii="Arial" w:cs="Arial" w:eastAsia="Arial" w:hAnsi="Arial"/>
          <w:sz w:val="18"/>
          <w:szCs w:val="18"/>
          <w:u w:val="single" w:color="auto"/>
          <w:color w:val="auto"/>
        </w:rPr>
        <w:t>http://www.globalshiplease.com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are unable to participate at this time, a replay of the call will be available through Thursday, August 26, 2010 at (866) 932-5017 or (347) 366-9565.</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Enter the code 8030416 to access the audio replay. The webcast will also be archived on the Company’s website: </w:t>
      </w:r>
      <w:r>
        <w:rPr>
          <w:rFonts w:ascii="Arial" w:cs="Arial" w:eastAsia="Arial" w:hAnsi="Arial"/>
          <w:sz w:val="16"/>
          <w:szCs w:val="16"/>
          <w:u w:val="single" w:color="auto"/>
          <w:color w:val="auto"/>
        </w:rPr>
        <w:t>http://www.globalshiplease.com</w:t>
      </w:r>
      <w:r>
        <w:rPr>
          <w:rFonts w:ascii="Arial" w:cs="Arial" w:eastAsia="Arial" w:hAnsi="Arial"/>
          <w:sz w:val="16"/>
          <w:szCs w:val="16"/>
          <w:color w:val="auto"/>
        </w:rPr>
        <w:t>.</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Global Ship Lease</w:t>
      </w:r>
    </w:p>
    <w:p>
      <w:pPr>
        <w:spacing w:after="0" w:line="9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Global Ship Lease is a containership charter owner. Incorporated in the Marshall Islands, Global Ship Lease commenced operations in December 2007 with a business of owning and chartering out containerships under long-term, fixed rate charters to world class container liner companies.</w:t>
      </w:r>
    </w:p>
    <w:p>
      <w:pPr>
        <w:spacing w:after="0" w:line="85"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Global Ship Lease owns 17 vessels with a total capacity of 66,297 TEU with a weighted average age at June 30, 2010 of 6.3 years. All of the current vessels are fixed on long-term charters to CMA CGM with an average remaining term of 8.6 years. The Company has contracts in place to purchase two 4,250 TEU newbuildings from German interests for approximately $77 million each that are scheduled to be delivered in the fourth quarter of 2010. The Company also has agreements to charter out these newbuildings to Zim Integrated Shipping Services Limited for seven or eight years at charterer’s option.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Non-U.S. GAAP Financial Measures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Adjusted Cash From Operations</w:t>
      </w:r>
    </w:p>
    <w:p>
      <w:pPr>
        <w:spacing w:after="0" w:line="90"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Adjusted cash from operations is a non-US GAAP measure and is reconciled to the financial information below. It represents net cash provided by operating activities adjusted for certain non-cash items such as deferred taxation. Movements in working capital – changes in receivables and payables – are also adjusted as these are essentially timing differences. We also deduct cash paid to settle derivatives and an allowance for the cost of future drydockings, which due to their substantial and periodic nature could otherwise distort quarterly adjusted cashflow. Adjusted cash from operations is a non-US GAAP quantitative measure used to assist in the assessment of the Company’s ability to generate cash. Adjusted cash from operations is not defined in accounting principles generally accepted in the United States and should not be considered to be an alternate to net earnings or any other financial metric required by such accounting principles. We believe that adjusted cash from operations is a useful measure with which to assess the Company’s operating performance as it adjusts for the effects of non-cash items and includes the effect of certain cash items.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CASH FROM OPERATIONS - UNAUDITED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 of U.S.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Three</w:t>
            </w:r>
          </w:p>
        </w:tc>
        <w:tc>
          <w:tcPr>
            <w:tcW w:w="70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Three</w:t>
            </w: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Six</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Six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7"/>
              </w:rPr>
              <w:t>months</w:t>
            </w: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7"/>
              </w:rPr>
              <w:t>months</w:t>
            </w: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7"/>
              </w:rPr>
              <w:t>months</w:t>
            </w: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2"/>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2"/>
              </w:rPr>
              <w:t>ended</w:t>
            </w: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2"/>
              </w:rPr>
              <w:t>ended</w:t>
            </w: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2"/>
              </w:rPr>
              <w:t>ended</w:t>
            </w: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7"/>
              </w:rPr>
              <w:t>Jun 30,</w:t>
            </w: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7"/>
              </w:rPr>
              <w:t>Jun 30,</w:t>
            </w: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2"/>
              </w:rPr>
              <w:t>Jun 30,</w:t>
            </w: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2"/>
              </w:rPr>
              <w:t>Jun 30,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40" w:type="dxa"/>
            <w:vAlign w:val="bottom"/>
          </w:tcPr>
          <w:p>
            <w:pPr>
              <w:spacing w:after="0"/>
              <w:rPr>
                <w:sz w:val="13"/>
                <w:szCs w:val="13"/>
                <w:color w:val="auto"/>
              </w:rPr>
            </w:pPr>
          </w:p>
        </w:tc>
        <w:tc>
          <w:tcPr>
            <w:tcW w:w="48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2010</w:t>
            </w:r>
          </w:p>
        </w:tc>
        <w:tc>
          <w:tcPr>
            <w:tcW w:w="220" w:type="dxa"/>
            <w:vAlign w:val="bottom"/>
          </w:tcPr>
          <w:p>
            <w:pPr>
              <w:spacing w:after="0"/>
              <w:rPr>
                <w:sz w:val="13"/>
                <w:szCs w:val="13"/>
                <w:color w:val="auto"/>
              </w:rPr>
            </w:pPr>
          </w:p>
        </w:tc>
        <w:tc>
          <w:tcPr>
            <w:tcW w:w="48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2009</w:t>
            </w:r>
          </w:p>
        </w:tc>
        <w:tc>
          <w:tcPr>
            <w:tcW w:w="220" w:type="dxa"/>
            <w:vAlign w:val="bottom"/>
          </w:tcPr>
          <w:p>
            <w:pPr>
              <w:spacing w:after="0"/>
              <w:rPr>
                <w:sz w:val="13"/>
                <w:szCs w:val="13"/>
                <w:color w:val="auto"/>
              </w:rPr>
            </w:pPr>
          </w:p>
        </w:tc>
        <w:tc>
          <w:tcPr>
            <w:tcW w:w="48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2010</w:t>
            </w:r>
          </w:p>
        </w:tc>
        <w:tc>
          <w:tcPr>
            <w:tcW w:w="220" w:type="dxa"/>
            <w:vAlign w:val="bottom"/>
          </w:tcPr>
          <w:p>
            <w:pPr>
              <w:spacing w:after="0"/>
              <w:rPr>
                <w:sz w:val="13"/>
                <w:szCs w:val="13"/>
                <w:color w:val="auto"/>
              </w:rPr>
            </w:pPr>
          </w:p>
        </w:tc>
        <w:tc>
          <w:tcPr>
            <w:tcW w:w="5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 w:type="dxa"/>
            <w:vAlign w:val="bottom"/>
          </w:tcPr>
          <w:p>
            <w:pPr>
              <w:spacing w:after="0"/>
              <w:rPr>
                <w:sz w:val="8"/>
                <w:szCs w:val="8"/>
                <w:color w:val="auto"/>
              </w:rPr>
            </w:pPr>
          </w:p>
        </w:tc>
        <w:tc>
          <w:tcPr>
            <w:tcW w:w="80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25,687</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18,285</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45,028</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35,583</w:t>
            </w:r>
          </w:p>
        </w:tc>
        <w:tc>
          <w:tcPr>
            <w:tcW w:w="0" w:type="dxa"/>
            <w:vAlign w:val="bottom"/>
          </w:tcPr>
          <w:p>
            <w:pPr>
              <w:spacing w:after="0"/>
              <w:rPr>
                <w:sz w:val="1"/>
                <w:szCs w:val="1"/>
                <w:color w:val="auto"/>
              </w:rPr>
            </w:pPr>
          </w:p>
        </w:tc>
      </w:tr>
      <w:tr>
        <w:trPr>
          <w:trHeight w:val="323"/>
        </w:trPr>
        <w:tc>
          <w:tcPr>
            <w:tcW w:w="680" w:type="dxa"/>
            <w:vAlign w:val="bottom"/>
            <w:gridSpan w:val="2"/>
          </w:tcPr>
          <w:p>
            <w:pPr>
              <w:spacing w:after="0"/>
              <w:rPr>
                <w:sz w:val="20"/>
                <w:szCs w:val="20"/>
                <w:color w:val="auto"/>
              </w:rPr>
            </w:pPr>
            <w:r>
              <w:rPr>
                <w:rFonts w:ascii="Arial" w:cs="Arial" w:eastAsia="Arial" w:hAnsi="Arial"/>
                <w:sz w:val="18"/>
                <w:szCs w:val="18"/>
                <w:color w:val="auto"/>
              </w:rPr>
              <w:t>Adjust:</w:t>
            </w:r>
          </w:p>
        </w:tc>
        <w:tc>
          <w:tcPr>
            <w:tcW w:w="8040" w:type="dxa"/>
            <w:vAlign w:val="bottom"/>
          </w:tcPr>
          <w:p>
            <w:pPr>
              <w:ind w:left="160"/>
              <w:spacing w:after="0"/>
              <w:rPr>
                <w:sz w:val="20"/>
                <w:szCs w:val="20"/>
                <w:color w:val="auto"/>
              </w:rPr>
            </w:pPr>
            <w:r>
              <w:rPr>
                <w:rFonts w:ascii="Arial" w:cs="Arial" w:eastAsia="Arial" w:hAnsi="Arial"/>
                <w:sz w:val="18"/>
                <w:szCs w:val="18"/>
                <w:color w:val="auto"/>
              </w:rPr>
              <w:t>Deferred taxation</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(203)</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(159)</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Movement in receivables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(655)</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(460)</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40" w:type="dxa"/>
            <w:vAlign w:val="bottom"/>
          </w:tcPr>
          <w:p>
            <w:pPr>
              <w:ind w:left="200"/>
              <w:spacing w:after="0"/>
              <w:rPr>
                <w:sz w:val="20"/>
                <w:szCs w:val="20"/>
                <w:color w:val="auto"/>
              </w:rPr>
            </w:pPr>
            <w:r>
              <w:rPr>
                <w:rFonts w:ascii="Arial" w:cs="Arial" w:eastAsia="Arial" w:hAnsi="Arial"/>
                <w:sz w:val="18"/>
                <w:szCs w:val="18"/>
                <w:color w:val="auto"/>
              </w:rPr>
              <w:t>Movement in payables</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(3,643)</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(870)</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Settlement of derivatives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(3,935)</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(2,781)</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(8,330)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40" w:type="dxa"/>
            <w:vAlign w:val="bottom"/>
          </w:tcPr>
          <w:p>
            <w:pPr>
              <w:ind w:left="200"/>
              <w:spacing w:after="0"/>
              <w:rPr>
                <w:sz w:val="20"/>
                <w:szCs w:val="20"/>
                <w:color w:val="auto"/>
              </w:rPr>
            </w:pPr>
            <w:r>
              <w:rPr>
                <w:rFonts w:ascii="Arial" w:cs="Arial" w:eastAsia="Arial" w:hAnsi="Arial"/>
                <w:sz w:val="18"/>
                <w:szCs w:val="18"/>
                <w:color w:val="auto"/>
              </w:rPr>
              <w:t>Allowance for future dry-docks</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(975)</w:t>
            </w:r>
          </w:p>
        </w:tc>
        <w:tc>
          <w:tcPr>
            <w:tcW w:w="2000" w:type="dxa"/>
            <w:vAlign w:val="bottom"/>
            <w:gridSpan w:val="6"/>
          </w:tcPr>
          <w:p>
            <w:pPr>
              <w:jc w:val="right"/>
              <w:ind w:right="40"/>
              <w:spacing w:after="0"/>
              <w:rPr>
                <w:sz w:val="20"/>
                <w:szCs w:val="20"/>
                <w:color w:val="auto"/>
              </w:rPr>
            </w:pPr>
            <w:r>
              <w:rPr>
                <w:rFonts w:ascii="Arial" w:cs="Arial" w:eastAsia="Arial" w:hAnsi="Arial"/>
                <w:sz w:val="18"/>
                <w:szCs w:val="18"/>
                <w:color w:val="auto"/>
              </w:rPr>
              <w:t>(900)  (1,950)  (1,800)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60" w:type="dxa"/>
            <w:vAlign w:val="bottom"/>
          </w:tcPr>
          <w:p>
            <w:pPr>
              <w:spacing w:after="0"/>
              <w:rPr>
                <w:sz w:val="10"/>
                <w:szCs w:val="10"/>
                <w:color w:val="auto"/>
              </w:rPr>
            </w:pPr>
          </w:p>
        </w:tc>
        <w:tc>
          <w:tcPr>
            <w:tcW w:w="80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cash from operations</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16,399</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14,840</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33,259</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30,145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 Normalized net earnings</w:t>
      </w:r>
    </w:p>
    <w:p>
      <w:pPr>
        <w:spacing w:after="0" w:line="9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Normalized net earnings is a non-US GAAP measure and is reconciled to the financial information below. It represents net earnings adjusted for the change in fair value of derivatives and the accelerated write off of a portion of deferred financing costs. Normalized net earnings is a non-GAAP quantitative measure which we believe will assist investors and analysts who often adjust reported net earnings for non-operating items such as change in fair value of derivatives to eliminate the effect of non cash non-operating items that do not affect operating performance or cash generated. Normalized net earnings is not defined in accounting principles generally accepted in the United States and should not be considered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274" w:right="239" w:bottom="1440" w:gutter="0" w:footer="0" w:header="0"/>
        </w:sectPr>
      </w:pPr>
    </w:p>
    <w:bookmarkStart w:id="9" w:name="page10"/>
    <w:bookmarkEnd w:id="9"/>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be an alternate to net earnings or any other financial metric required by such accounting principles. Normalized net earnings per share is calculated based on normalized net earnings and the weighted average number of shares in the relevant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NORMALIZED NET EARNINGS - UNAUDITED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 of U.S. dollars except share and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Three</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Three</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Six</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Six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7"/>
              </w:rPr>
              <w:t>months</w:t>
            </w: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7"/>
              </w:rPr>
              <w:t>months</w:t>
            </w: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7"/>
              </w:rPr>
              <w:t>months</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2"/>
              </w:rPr>
              <w:t>ended</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2"/>
              </w:rPr>
              <w:t>ended</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7"/>
              </w:rPr>
              <w:t>ended</w:t>
            </w: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2"/>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2"/>
              </w:rPr>
              <w:t>Jun 30,</w:t>
            </w: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7"/>
              </w:rPr>
              <w:t>Jun 30,</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2"/>
              </w:rPr>
              <w:t>Jun 30,</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2"/>
              </w:rPr>
              <w:t>Jun 30,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8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2010</w:t>
            </w:r>
          </w:p>
        </w:tc>
        <w:tc>
          <w:tcPr>
            <w:tcW w:w="220" w:type="dxa"/>
            <w:vAlign w:val="bottom"/>
          </w:tcPr>
          <w:p>
            <w:pPr>
              <w:spacing w:after="0"/>
              <w:rPr>
                <w:sz w:val="13"/>
                <w:szCs w:val="13"/>
                <w:color w:val="auto"/>
              </w:rPr>
            </w:pPr>
          </w:p>
        </w:tc>
        <w:tc>
          <w:tcPr>
            <w:tcW w:w="8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2009</w:t>
            </w:r>
          </w:p>
        </w:tc>
        <w:tc>
          <w:tcPr>
            <w:tcW w:w="220" w:type="dxa"/>
            <w:vAlign w:val="bottom"/>
          </w:tcPr>
          <w:p>
            <w:pPr>
              <w:spacing w:after="0"/>
              <w:rPr>
                <w:sz w:val="13"/>
                <w:szCs w:val="13"/>
                <w:color w:val="auto"/>
              </w:rPr>
            </w:pPr>
          </w:p>
        </w:tc>
        <w:tc>
          <w:tcPr>
            <w:tcW w:w="8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2010</w:t>
            </w:r>
          </w:p>
        </w:tc>
        <w:tc>
          <w:tcPr>
            <w:tcW w:w="200" w:type="dxa"/>
            <w:vAlign w:val="bottom"/>
          </w:tcPr>
          <w:p>
            <w:pPr>
              <w:spacing w:after="0"/>
              <w:rPr>
                <w:sz w:val="13"/>
                <w:szCs w:val="13"/>
                <w:color w:val="auto"/>
              </w:rPr>
            </w:pPr>
          </w:p>
        </w:tc>
        <w:tc>
          <w:tcPr>
            <w:tcW w:w="8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2009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0" w:type="dxa"/>
            <w:vAlign w:val="bottom"/>
          </w:tcPr>
          <w:p>
            <w:pPr>
              <w:spacing w:after="0"/>
              <w:rPr>
                <w:sz w:val="8"/>
                <w:szCs w:val="8"/>
                <w:color w:val="auto"/>
              </w:rPr>
            </w:pPr>
          </w:p>
        </w:tc>
        <w:tc>
          <w:tcPr>
            <w:tcW w:w="6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(4,954)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00" w:type="dxa"/>
            <w:vAlign w:val="bottom"/>
            <w:gridSpan w:val="2"/>
          </w:tcPr>
          <w:p>
            <w:pPr>
              <w:spacing w:after="0"/>
              <w:rPr>
                <w:sz w:val="20"/>
                <w:szCs w:val="20"/>
                <w:color w:val="auto"/>
              </w:rPr>
            </w:pPr>
            <w:r>
              <w:rPr>
                <w:rFonts w:ascii="Arial" w:cs="Arial" w:eastAsia="Arial" w:hAnsi="Arial"/>
                <w:sz w:val="18"/>
                <w:szCs w:val="18"/>
                <w:color w:val="auto"/>
              </w:rPr>
              <w:t>Adjust:</w:t>
            </w:r>
          </w:p>
        </w:tc>
        <w:tc>
          <w:tcPr>
            <w:tcW w:w="6700" w:type="dxa"/>
            <w:vAlign w:val="bottom"/>
          </w:tcPr>
          <w:p>
            <w:pPr>
              <w:ind w:left="180"/>
              <w:spacing w:after="0"/>
              <w:rPr>
                <w:sz w:val="20"/>
                <w:szCs w:val="20"/>
                <w:color w:val="auto"/>
              </w:rPr>
            </w:pPr>
            <w:r>
              <w:rPr>
                <w:rFonts w:ascii="Arial" w:cs="Arial" w:eastAsia="Arial" w:hAnsi="Arial"/>
                <w:sz w:val="18"/>
                <w:szCs w:val="18"/>
                <w:color w:val="auto"/>
              </w:rPr>
              <w:t>Change in value of derivatives</w:t>
            </w:r>
          </w:p>
        </w:tc>
        <w:tc>
          <w:tcPr>
            <w:tcW w:w="820" w:type="dxa"/>
            <w:vAlign w:val="bottom"/>
          </w:tcPr>
          <w:p>
            <w:pPr>
              <w:jc w:val="right"/>
              <w:spacing w:after="0"/>
              <w:rPr>
                <w:sz w:val="20"/>
                <w:szCs w:val="20"/>
                <w:color w:val="auto"/>
              </w:rPr>
            </w:pPr>
            <w:r>
              <w:rPr>
                <w:rFonts w:ascii="Arial" w:cs="Arial" w:eastAsia="Arial" w:hAnsi="Arial"/>
                <w:sz w:val="18"/>
                <w:szCs w:val="18"/>
                <w:color w:val="auto"/>
              </w:rPr>
              <w:t>12,454</w:t>
            </w:r>
          </w:p>
        </w:tc>
        <w:tc>
          <w:tcPr>
            <w:tcW w:w="2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(16,652)</w:t>
            </w:r>
          </w:p>
        </w:tc>
        <w:tc>
          <w:tcPr>
            <w:tcW w:w="820" w:type="dxa"/>
            <w:vAlign w:val="bottom"/>
          </w:tcPr>
          <w:p>
            <w:pPr>
              <w:jc w:val="right"/>
              <w:spacing w:after="0"/>
              <w:rPr>
                <w:sz w:val="20"/>
                <w:szCs w:val="20"/>
                <w:color w:val="auto"/>
              </w:rPr>
            </w:pPr>
            <w:r>
              <w:rPr>
                <w:rFonts w:ascii="Arial" w:cs="Arial" w:eastAsia="Arial" w:hAnsi="Arial"/>
                <w:sz w:val="18"/>
                <w:szCs w:val="18"/>
                <w:color w:val="auto"/>
              </w:rPr>
              <w:t>17,333</w:t>
            </w:r>
          </w:p>
        </w:tc>
        <w:tc>
          <w:tcPr>
            <w:tcW w:w="20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(20,961)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8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Normalized net earnings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2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6,110</w:t>
            </w:r>
          </w:p>
        </w:tc>
        <w:tc>
          <w:tcPr>
            <w:tcW w:w="2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15,661</w:t>
            </w:r>
          </w:p>
        </w:tc>
        <w:tc>
          <w:tcPr>
            <w:tcW w:w="2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number of Class A and B common shares outstanding (1)</w:t>
            </w: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400" w:type="dxa"/>
            <w:vAlign w:val="bottom"/>
            <w:gridSpan w:val="3"/>
            <w:vMerge w:val="continue"/>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54,236,423</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53,786,150</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54,236,423</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53,786,150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700" w:type="dxa"/>
            <w:vAlign w:val="bottom"/>
          </w:tcPr>
          <w:p>
            <w:pPr>
              <w:ind w:left="180"/>
              <w:spacing w:after="0"/>
              <w:rPr>
                <w:sz w:val="20"/>
                <w:szCs w:val="20"/>
                <w:color w:val="auto"/>
              </w:rPr>
            </w:pPr>
            <w:r>
              <w:rPr>
                <w:rFonts w:ascii="Arial" w:cs="Arial" w:eastAsia="Arial" w:hAnsi="Arial"/>
                <w:sz w:val="18"/>
                <w:szCs w:val="18"/>
                <w:color w:val="auto"/>
              </w:rPr>
              <w:t>Diluted</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54,236,423</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53,786,150</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54,236,423</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53,922,780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80" w:type="dxa"/>
            <w:vAlign w:val="bottom"/>
            <w:gridSpan w:val="2"/>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 per share on reported earnings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700" w:type="dxa"/>
            <w:vAlign w:val="bottom"/>
          </w:tcPr>
          <w:p>
            <w:pPr>
              <w:ind w:left="180"/>
              <w:spacing w:after="0"/>
              <w:rPr>
                <w:sz w:val="20"/>
                <w:szCs w:val="20"/>
                <w:color w:val="auto"/>
              </w:rPr>
            </w:pPr>
            <w:r>
              <w:rPr>
                <w:rFonts w:ascii="Arial" w:cs="Arial" w:eastAsia="Arial" w:hAnsi="Arial"/>
                <w:sz w:val="18"/>
                <w:szCs w:val="18"/>
                <w:color w:val="auto"/>
              </w:rPr>
              <w:t>Basic</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(0.09)</w:t>
            </w:r>
          </w:p>
        </w:tc>
        <w:tc>
          <w:tcPr>
            <w:tcW w:w="800" w:type="dxa"/>
            <w:vAlign w:val="bottom"/>
          </w:tcPr>
          <w:p>
            <w:pPr>
              <w:jc w:val="right"/>
              <w:spacing w:after="0"/>
              <w:rPr>
                <w:sz w:val="20"/>
                <w:szCs w:val="20"/>
                <w:color w:val="auto"/>
              </w:rPr>
            </w:pPr>
            <w:r>
              <w:rPr>
                <w:rFonts w:ascii="Arial" w:cs="Arial" w:eastAsia="Arial" w:hAnsi="Arial"/>
                <w:sz w:val="18"/>
                <w:szCs w:val="18"/>
                <w:color w:val="auto"/>
              </w:rPr>
              <w:t>0.42</w:t>
            </w: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(0.03)</w:t>
            </w:r>
          </w:p>
        </w:tc>
        <w:tc>
          <w:tcPr>
            <w:tcW w:w="820" w:type="dxa"/>
            <w:vAlign w:val="bottom"/>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400" w:type="dxa"/>
            <w:vAlign w:val="bottom"/>
            <w:gridSpan w:val="3"/>
          </w:tcPr>
          <w:p>
            <w:pPr>
              <w:spacing w:after="0"/>
              <w:rPr>
                <w:sz w:val="20"/>
                <w:szCs w:val="20"/>
                <w:color w:val="auto"/>
              </w:rPr>
            </w:pPr>
            <w:r>
              <w:rPr>
                <w:rFonts w:ascii="Arial" w:cs="Arial" w:eastAsia="Arial" w:hAnsi="Arial"/>
                <w:sz w:val="18"/>
                <w:szCs w:val="18"/>
                <w:color w:val="auto"/>
              </w:rPr>
              <w:t>Normalized net income per share</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700" w:type="dxa"/>
            <w:vAlign w:val="bottom"/>
          </w:tcPr>
          <w:p>
            <w:pPr>
              <w:ind w:left="180"/>
              <w:spacing w:after="0"/>
              <w:rPr>
                <w:sz w:val="20"/>
                <w:szCs w:val="20"/>
                <w:color w:val="auto"/>
              </w:rPr>
            </w:pPr>
            <w:r>
              <w:rPr>
                <w:rFonts w:ascii="Arial" w:cs="Arial" w:eastAsia="Arial" w:hAnsi="Arial"/>
                <w:sz w:val="18"/>
                <w:szCs w:val="18"/>
                <w:color w:val="auto"/>
              </w:rPr>
              <w:t>Diluted</w:t>
            </w:r>
          </w:p>
        </w:tc>
        <w:tc>
          <w:tcPr>
            <w:tcW w:w="820" w:type="dxa"/>
            <w:vAlign w:val="bottom"/>
          </w:tcPr>
          <w:p>
            <w:pPr>
              <w:jc w:val="right"/>
              <w:spacing w:after="0"/>
              <w:rPr>
                <w:sz w:val="20"/>
                <w:szCs w:val="20"/>
                <w:color w:val="auto"/>
              </w:rPr>
            </w:pPr>
            <w:r>
              <w:rPr>
                <w:rFonts w:ascii="Arial" w:cs="Arial" w:eastAsia="Arial" w:hAnsi="Arial"/>
                <w:sz w:val="18"/>
                <w:szCs w:val="18"/>
                <w:color w:val="auto"/>
              </w:rPr>
              <w:t>0.14</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0.11</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0.29</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60" w:right="320" w:hanging="452"/>
        <w:spacing w:after="0" w:line="256"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weighted average number of shares (basic and diluted) for the three and six months ended June 30, 2010 and the three months ended June 30, 2009 excludes the effect of outstanding warrants and stock based incentives as these were antidilutive. For the six months ended June 30, 2009 the diluted weighted average number of shares includes the incremental effect of outstanding stock based incentive awards but excludes the effect of outstanding warrants as these were antidilutive.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9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This communication contains forward-looking statements. Forward-looking statements provide Global Ship Lease’s current expectations or forecasts of future events. Forward-looking statements include statements about Global Ship Lease’s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280" w:right="239" w:bottom="1440" w:gutter="0" w:footer="0" w:header="0"/>
        </w:sectPr>
      </w:pPr>
    </w:p>
    <w:bookmarkStart w:id="10" w:name="page11"/>
    <w:bookmarkEnd w:id="1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These forward-looking statements are based on assumptions that may be incorrect, and Global Ship Lease cannot assure you that these projections included in these forward-looking statements will come to pass. Actual results could differ materially from those expressed or implied by the forward-looking statements as a result of various factors.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risks and uncertainties include, but are not limited to:</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operating or financial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expectations regarding the future growth of the container shipping industry, including the rates of annual demand and supply growth;</w:t>
      </w:r>
    </w:p>
    <w:p>
      <w:pPr>
        <w:spacing w:after="0" w:line="113"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financial condition of CMA CGM, our charterer and sole source of operating revenue, and its ability to pay charterhire in accordance with the charters;</w:t>
      </w:r>
    </w:p>
    <w:p>
      <w:pPr>
        <w:spacing w:after="0" w:line="50" w:lineRule="exact"/>
        <w:rPr>
          <w:rFonts w:ascii="Arial" w:cs="Arial" w:eastAsia="Arial" w:hAnsi="Arial"/>
          <w:sz w:val="18"/>
          <w:szCs w:val="18"/>
          <w:color w:val="auto"/>
        </w:rPr>
      </w:pPr>
    </w:p>
    <w:p>
      <w:pPr>
        <w:ind w:left="900" w:right="160" w:hanging="325"/>
        <w:spacing w:after="0" w:line="306"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Global Ship Lease’s financial condition and liquidity, including its ability to obtain additional waivers which might be necessary under the existing credit facility or obtain additional financing to fund capital expenditures, contracted and yet to be contracted vessel acquisitions including the two newbuildings to be purchased from German interests in the fourth quarter of 2010, and other general corporate purposes;</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Ship Lease’s ability to meet its financial covenants and repay its credit facility;</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Ship Lease’s expectations relating to dividend payments and forecasts of its ability to make such payments including the availability of cash and the impact of constraints under its credit facility;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acquisitions, business strategy and expected capital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expenses, availability of crew, number of off-hire days, drydocking and survey requirements and insurance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market conditions and shipping industry trends, including charter rates and factors affecting supply and demand;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assumptions regarding interest rates and inflation;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rate of growth of global and various regional economies;</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incidental to vessel operation, including piracy, discharge of pollutants and vessel accidents and damage including total or constructive total loss;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estimated future capital expenditures needed to preserve its capital base;</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Ship Lease’s expectations about the availability of ships to purchase, the time that it may take to construct new ships, or the useful lives of its ships;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Ship Lease’s continued ability to enter into or renew long-term, fixed-rate charters;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continued performance of existing long-term, fixed-rate time charters;</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Ship Lease’s ability to capitalize on its management team’s and board of directors’ relationships and reputations in the containership industry to its advantage;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governmental and classification societies’ rules and regulations or actions taken by regulatory authorities;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expectations about the availability of insurance on commercially reasonable terms;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unanticipated changes in laws and regulations including taxation;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17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Forward-looking statements are subject to known and unknown risks and uncertainties and are based on potentially inaccurate assumptions that could cause actual results to differ materially from those expected or implied by the forward-looking statements. Global Ship Lease’s actual results could differ materially from those anticipated in forward-looking statements for many reasons specifically as described in Global Ship Lease’s filings with the SEC. Accordingly, you should not unduly rely on these forward-looking</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380"/>
          </w:cols>
          <w:pgMar w:left="240" w:top="280" w:right="279" w:bottom="1440" w:gutter="0" w:footer="0" w:header="0"/>
        </w:sectPr>
      </w:pPr>
    </w:p>
    <w:bookmarkStart w:id="11" w:name="page12"/>
    <w:bookmarkEnd w:id="11"/>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statements, which speak only as of the date of this communication. Global Ship Lease undertakes no obligation to publicly revise any forward-looking statement to reflect circumstances or events after the date of this communication or to reflect the occurrence of unanticipated events. You should, however, review the factors and risks Global Ship Lease describes in the reports it will file from time to time with the SEC after the date of this communication.</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300"/>
          </w:cols>
          <w:pgMar w:left="240" w:top="280" w:right="3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Income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w w:val="96"/>
              </w:rPr>
              <w:t>Three months ended June 30,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2010</w:t>
            </w: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Time charter revenue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39,611</w:t>
            </w:r>
          </w:p>
        </w:tc>
        <w:tc>
          <w:tcPr>
            <w:tcW w:w="3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36,193</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78,762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71,201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10,156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10,508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19,748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8,986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19,855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2,445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3,919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2"/>
        </w:trPr>
        <w:tc>
          <w:tcPr>
            <w:tcW w:w="53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22,173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21,889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42,919</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14,304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35,843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27,723</w:t>
            </w:r>
          </w:p>
        </w:tc>
        <w:tc>
          <w:tcPr>
            <w:tcW w:w="0" w:type="dxa"/>
            <w:vAlign w:val="bottom"/>
          </w:tcPr>
          <w:p>
            <w:pPr>
              <w:spacing w:after="0"/>
              <w:rPr>
                <w:sz w:val="1"/>
                <w:szCs w:val="1"/>
                <w:color w:val="auto"/>
              </w:rPr>
            </w:pPr>
          </w:p>
        </w:tc>
      </w:tr>
      <w:tr>
        <w:trPr>
          <w:trHeight w:val="322"/>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Non Operating Income (Expense)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Interest expense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(6,048)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(5,554)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(11,904)</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(loss) gain on interest rate derivatives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(16,389)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13,872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(25,663)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16,146</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(Loss) Income before Income Taxes</w:t>
            </w: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34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(4,939)</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22,785</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33,966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Income</w:t>
            </w: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4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(4,954)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22,762</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(1,672)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33,918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340" w:type="dxa"/>
            <w:vAlign w:val="bottom"/>
            <w:gridSpan w:val="2"/>
          </w:tcPr>
          <w:p>
            <w:pPr>
              <w:spacing w:after="0"/>
              <w:rPr>
                <w:sz w:val="20"/>
                <w:szCs w:val="20"/>
                <w:color w:val="auto"/>
              </w:rPr>
            </w:pPr>
            <w:r>
              <w:rPr>
                <w:rFonts w:ascii="Arial" w:cs="Arial" w:eastAsia="Arial" w:hAnsi="Arial"/>
                <w:sz w:val="18"/>
                <w:szCs w:val="18"/>
                <w:color w:val="auto"/>
              </w:rPr>
              <w:t>Weighted average number of Class A common shares outstanding</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46,830,467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46,380,194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46,830,467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46,380,194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Diluted</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46,830,467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46,380,194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46,830,467</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46,516,824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income in $ per Class A common share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Basic</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(0.11)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0.42</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(0.04)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0.42</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323"/>
        </w:trPr>
        <w:tc>
          <w:tcPr>
            <w:tcW w:w="5340" w:type="dxa"/>
            <w:vAlign w:val="bottom"/>
            <w:gridSpan w:val="2"/>
          </w:tcPr>
          <w:p>
            <w:pPr>
              <w:spacing w:after="0"/>
              <w:rPr>
                <w:sz w:val="20"/>
                <w:szCs w:val="20"/>
                <w:color w:val="auto"/>
              </w:rPr>
            </w:pPr>
            <w:r>
              <w:rPr>
                <w:rFonts w:ascii="Arial" w:cs="Arial" w:eastAsia="Arial" w:hAnsi="Arial"/>
                <w:sz w:val="18"/>
                <w:szCs w:val="18"/>
                <w:color w:val="auto"/>
              </w:rPr>
              <w:t>Weighted average number of Class B common shares outstanding</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7,405,956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7,405,956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7,405,956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7,405,956</w:t>
            </w:r>
          </w:p>
        </w:tc>
        <w:tc>
          <w:tcPr>
            <w:tcW w:w="0" w:type="dxa"/>
            <w:vAlign w:val="bottom"/>
          </w:tcPr>
          <w:p>
            <w:pPr>
              <w:spacing w:after="0"/>
              <w:rPr>
                <w:sz w:val="1"/>
                <w:szCs w:val="1"/>
                <w:color w:val="auto"/>
              </w:rPr>
            </w:pPr>
          </w:p>
        </w:tc>
      </w:tr>
      <w:tr>
        <w:trPr>
          <w:trHeight w:val="323"/>
        </w:trPr>
        <w:tc>
          <w:tcPr>
            <w:tcW w:w="5340" w:type="dxa"/>
            <w:vAlign w:val="bottom"/>
            <w:gridSpan w:val="2"/>
          </w:tcPr>
          <w:p>
            <w:pPr>
              <w:spacing w:after="0"/>
              <w:rPr>
                <w:sz w:val="20"/>
                <w:szCs w:val="20"/>
                <w:color w:val="auto"/>
              </w:rPr>
            </w:pPr>
            <w:r>
              <w:rPr>
                <w:rFonts w:ascii="Arial" w:cs="Arial" w:eastAsia="Arial" w:hAnsi="Arial"/>
                <w:sz w:val="18"/>
                <w:szCs w:val="18"/>
                <w:color w:val="auto"/>
              </w:rPr>
              <w:t>Net income in $ per Class B common share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nil</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0.42</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Balance Sheets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31,329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30,810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3,026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6,551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Other receivables</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724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44,162</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400" w:type="dxa"/>
            <w:vAlign w:val="bottom"/>
            <w:gridSpan w:val="2"/>
          </w:tcPr>
          <w:p>
            <w:pPr>
              <w:spacing w:after="0"/>
              <w:rPr>
                <w:sz w:val="20"/>
                <w:szCs w:val="20"/>
                <w:color w:val="auto"/>
              </w:rPr>
            </w:pPr>
            <w:r>
              <w:rPr>
                <w:rFonts w:ascii="Arial" w:cs="Arial" w:eastAsia="Arial" w:hAnsi="Arial"/>
                <w:sz w:val="18"/>
                <w:szCs w:val="18"/>
                <w:color w:val="auto"/>
              </w:rPr>
              <w:t>Vessels in operation</w:t>
            </w:r>
          </w:p>
        </w:tc>
        <w:tc>
          <w:tcPr>
            <w:tcW w:w="8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942,689</w:t>
            </w: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961,708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Vessel deposits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16,541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Other fixed assets</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4,626</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964,088</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1,008,250</w:t>
            </w: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1,027,358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2,119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Current portion of long term debt</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60,300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68,300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3,010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5,795</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13,784</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85,008</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94,481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Long term debt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492,841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Preferred shares</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48,000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23,229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Derivative instruments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32,663</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596,733</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681,741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699,803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00" w:type="dxa"/>
            <w:vAlign w:val="bottom"/>
            <w:gridSpan w:val="2"/>
          </w:tcPr>
          <w:p>
            <w:pPr>
              <w:spacing w:after="0"/>
              <w:rPr>
                <w:sz w:val="20"/>
                <w:szCs w:val="20"/>
                <w:color w:val="auto"/>
              </w:rPr>
            </w:pPr>
            <w:r>
              <w:rPr>
                <w:rFonts w:ascii="Arial" w:cs="Arial" w:eastAsia="Arial" w:hAnsi="Arial"/>
                <w:sz w:val="18"/>
                <w:szCs w:val="18"/>
                <w:color w:val="auto"/>
                <w:w w:val="95"/>
              </w:rPr>
              <w:t>Class A Common stock – authorized 214,000,000 shares with a $0.01 par value; 46,830,467 shares issued and outstanding</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468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w w:val="96"/>
              </w:rPr>
              <w:t>Class B Common stock – authorized 20,000,000 shares with a $0.01 par value; 7,405,956 shares issued and outstanding</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22"/>
        </w:trPr>
        <w:tc>
          <w:tcPr>
            <w:tcW w:w="9400" w:type="dxa"/>
            <w:vAlign w:val="bottom"/>
            <w:gridSpan w:val="2"/>
          </w:tcPr>
          <w:p>
            <w:pPr>
              <w:spacing w:after="0"/>
              <w:rPr>
                <w:sz w:val="20"/>
                <w:szCs w:val="20"/>
                <w:color w:val="auto"/>
              </w:rPr>
            </w:pPr>
            <w:r>
              <w:rPr>
                <w:rFonts w:ascii="Arial" w:cs="Arial" w:eastAsia="Arial" w:hAnsi="Arial"/>
                <w:sz w:val="18"/>
                <w:szCs w:val="18"/>
                <w:color w:val="auto"/>
              </w:rPr>
              <w:t>Additional paid in capital</w:t>
            </w:r>
          </w:p>
        </w:tc>
        <w:tc>
          <w:tcPr>
            <w:tcW w:w="8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350,944</w:t>
            </w: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350,319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(24,977)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(23,305)</w:t>
            </w:r>
          </w:p>
        </w:tc>
        <w:tc>
          <w:tcPr>
            <w:tcW w:w="0" w:type="dxa"/>
            <w:vAlign w:val="bottom"/>
          </w:tcPr>
          <w:p>
            <w:pPr>
              <w:spacing w:after="0"/>
              <w:rPr>
                <w:sz w:val="1"/>
                <w:szCs w:val="1"/>
                <w:color w:val="auto"/>
              </w:rPr>
            </w:pPr>
          </w:p>
        </w:tc>
      </w:tr>
      <w:tr>
        <w:trPr>
          <w:trHeight w:val="23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326,509</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327,555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1,008,250</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1,027,358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Cash Flows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20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9"/>
              </w:rPr>
              <w:t>Three months ended June 30,</w:t>
            </w:r>
          </w:p>
        </w:tc>
        <w:tc>
          <w:tcPr>
            <w:tcW w:w="140" w:type="dxa"/>
            <w:vAlign w:val="bottom"/>
          </w:tcPr>
          <w:p>
            <w:pPr>
              <w:spacing w:after="0"/>
              <w:rPr>
                <w:sz w:val="14"/>
                <w:szCs w:val="14"/>
                <w:color w:val="auto"/>
              </w:rPr>
            </w:pPr>
          </w:p>
        </w:tc>
        <w:tc>
          <w:tcPr>
            <w:tcW w:w="180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7"/>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(4,954)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22,762</w:t>
            </w:r>
          </w:p>
        </w:tc>
        <w:tc>
          <w:tcPr>
            <w:tcW w:w="1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(1,672)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33,918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9,984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19,855</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financing costs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Change in fair value of certain derivative instruments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12,454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(16,652)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17,333</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(20,961)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liability</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3,935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8,330</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Decrease (increase) in other receivables and other assets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accounts payable and other liabilities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Costs relating to drydocks</w:t>
            </w:r>
          </w:p>
        </w:tc>
        <w:tc>
          <w:tcPr>
            <w:tcW w:w="14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exchange loss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25,687</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18,285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45,028</w:t>
            </w: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35,583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4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(3,935)</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(2,781)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(8,330)</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purchases of vessels, vessel prepayments and vessel deposits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(4,755)</w:t>
            </w:r>
          </w:p>
        </w:tc>
        <w:tc>
          <w:tcPr>
            <w:tcW w:w="1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(9,458)</w:t>
            </w:r>
          </w:p>
        </w:tc>
        <w:tc>
          <w:tcPr>
            <w:tcW w:w="1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(5,549)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4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Repayments of debt</w:t>
            </w: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(30,959)</w:t>
            </w:r>
          </w:p>
        </w:tc>
        <w:tc>
          <w:tcPr>
            <w:tcW w:w="1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(35,051)</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Issuance costs of debt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Dividend payments</w:t>
            </w:r>
          </w:p>
        </w:tc>
        <w:tc>
          <w:tcPr>
            <w:tcW w:w="140" w:type="dxa"/>
            <w:vAlign w:val="bottom"/>
          </w:tcPr>
          <w:p>
            <w:pPr>
              <w:spacing w:after="0"/>
              <w:rPr>
                <w:sz w:val="18"/>
                <w:szCs w:val="18"/>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(12,371)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(30,959)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(35,051)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(15,664)</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74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(10,027)</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15,350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14,370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30,810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26,363</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7440" w:type="dxa"/>
            <w:vAlign w:val="bottom"/>
            <w:gridSpan w:val="2"/>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31,329</w:t>
            </w:r>
          </w:p>
        </w:tc>
        <w:tc>
          <w:tcPr>
            <w:tcW w:w="32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40,733</w:t>
            </w:r>
          </w:p>
        </w:tc>
        <w:tc>
          <w:tcPr>
            <w:tcW w:w="18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31,329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40,733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440" w:type="dxa"/>
            <w:vAlign w:val="bottom"/>
            <w:gridSpan w:val="2"/>
          </w:tcPr>
          <w:p>
            <w:pPr>
              <w:spacing w:after="0"/>
              <w:rPr>
                <w:sz w:val="20"/>
                <w:szCs w:val="20"/>
                <w:color w:val="auto"/>
              </w:rPr>
            </w:pPr>
            <w:r>
              <w:rPr>
                <w:rFonts w:ascii="Arial" w:cs="Arial" w:eastAsia="Arial" w:hAnsi="Arial"/>
                <w:sz w:val="18"/>
                <w:szCs w:val="18"/>
                <w:color w:val="auto"/>
              </w:rPr>
              <w:t>Non cash investing and financing activities</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paid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10,568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8,733</w:t>
            </w:r>
          </w:p>
        </w:tc>
        <w:tc>
          <w:tcPr>
            <w:tcW w:w="0" w:type="dxa"/>
            <w:vAlign w:val="bottom"/>
          </w:tcPr>
          <w:p>
            <w:pPr>
              <w:spacing w:after="0"/>
              <w:rPr>
                <w:sz w:val="1"/>
                <w:szCs w:val="1"/>
                <w:color w:val="auto"/>
              </w:rPr>
            </w:pPr>
          </w:p>
        </w:tc>
      </w:tr>
      <w:tr>
        <w:trPr>
          <w:trHeight w:val="322"/>
        </w:trPr>
        <w:tc>
          <w:tcPr>
            <w:tcW w:w="7440" w:type="dxa"/>
            <w:vAlign w:val="bottom"/>
            <w:gridSpan w:val="2"/>
          </w:tcPr>
          <w:p>
            <w:pPr>
              <w:spacing w:after="0"/>
              <w:rPr>
                <w:sz w:val="20"/>
                <w:szCs w:val="20"/>
                <w:color w:val="auto"/>
              </w:rPr>
            </w:pPr>
            <w:r>
              <w:rPr>
                <w:rFonts w:ascii="Arial" w:cs="Arial" w:eastAsia="Arial" w:hAnsi="Arial"/>
                <w:sz w:val="18"/>
                <w:szCs w:val="18"/>
                <w:color w:val="auto"/>
              </w:rPr>
              <w:t>Income tax paid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20" w:type="dxa"/>
            <w:vAlign w:val="bottom"/>
          </w:tcPr>
          <w:p>
            <w:pPr>
              <w:ind w:left="5420"/>
              <w:spacing w:after="0"/>
              <w:rPr>
                <w:sz w:val="20"/>
                <w:szCs w:val="20"/>
                <w:color w:val="auto"/>
              </w:rPr>
            </w:pPr>
            <w:r>
              <w:rPr>
                <w:rFonts w:ascii="Arial" w:cs="Arial" w:eastAsia="Arial" w:hAnsi="Arial"/>
                <w:sz w:val="18"/>
                <w:szCs w:val="18"/>
                <w:color w:val="auto"/>
              </w:rPr>
              <w:t>Page 13</w:t>
            </w: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II</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INTERIM UNAUDITED CONSOLIDATED FINANCIAL STATEMENTS</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THREE AND SIX MONTH PERIODS ENDED JUNE 30, 2010</w:t>
      </w:r>
    </w:p>
    <w:p>
      <w:pPr>
        <w:sectPr>
          <w:pgSz w:w="11900" w:h="16838" w:orient="portrait"/>
          <w:cols w:equalWidth="0" w:num="1">
            <w:col w:w="10220"/>
          </w:cols>
          <w:pgMar w:left="1440" w:top="27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Balance Sheets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jc w:val="center"/>
              <w:ind w:left="5712"/>
              <w:spacing w:after="0"/>
              <w:rPr>
                <w:sz w:val="20"/>
                <w:szCs w:val="20"/>
                <w:color w:val="auto"/>
              </w:rPr>
            </w:pPr>
            <w:r>
              <w:rPr>
                <w:rFonts w:ascii="Arial" w:cs="Arial" w:eastAsia="Arial" w:hAnsi="Arial"/>
                <w:sz w:val="18"/>
                <w:szCs w:val="18"/>
                <w:color w:val="auto"/>
                <w:w w:val="89"/>
              </w:rPr>
              <w:t>Note</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6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6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31,329</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Restricted cash</w:t>
            </w:r>
          </w:p>
        </w:tc>
        <w:tc>
          <w:tcPr>
            <w:tcW w:w="6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3,026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6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Prepaid expenses</w:t>
            </w:r>
          </w:p>
        </w:tc>
        <w:tc>
          <w:tcPr>
            <w:tcW w:w="6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6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Deferred tax</w:t>
            </w:r>
          </w:p>
        </w:tc>
        <w:tc>
          <w:tcPr>
            <w:tcW w:w="6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6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gridSpan w:val="2"/>
            <w:vMerge w:val="restart"/>
          </w:tcPr>
          <w:p>
            <w:pPr>
              <w:spacing w:after="0"/>
              <w:rPr>
                <w:sz w:val="20"/>
                <w:szCs w:val="20"/>
                <w:color w:val="auto"/>
              </w:rPr>
            </w:pPr>
            <w:r>
              <w:rPr>
                <w:rFonts w:ascii="Arial" w:cs="Arial" w:eastAsia="Arial" w:hAnsi="Arial"/>
                <w:sz w:val="18"/>
                <w:szCs w:val="18"/>
                <w:color w:val="auto"/>
              </w:rPr>
              <w:t>Total current assets</w:t>
            </w:r>
          </w:p>
        </w:tc>
        <w:tc>
          <w:tcPr>
            <w:tcW w:w="6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80" w:type="dxa"/>
            <w:vAlign w:val="bottom"/>
            <w:gridSpan w:val="2"/>
            <w:vMerge w:val="continue"/>
          </w:tcPr>
          <w:p>
            <w:pPr>
              <w:spacing w:after="0"/>
              <w:rPr>
                <w:sz w:val="19"/>
                <w:szCs w:val="19"/>
                <w:color w:val="auto"/>
              </w:rPr>
            </w:pPr>
          </w:p>
        </w:tc>
        <w:tc>
          <w:tcPr>
            <w:tcW w:w="6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44,162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44,160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860" w:type="dxa"/>
            <w:vAlign w:val="bottom"/>
          </w:tcPr>
          <w:p>
            <w:pPr>
              <w:spacing w:after="0"/>
              <w:rPr>
                <w:sz w:val="10"/>
                <w:szCs w:val="10"/>
                <w:color w:val="auto"/>
              </w:rPr>
            </w:pPr>
          </w:p>
        </w:tc>
        <w:tc>
          <w:tcPr>
            <w:tcW w:w="66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Vessels in operation</w:t>
            </w:r>
          </w:p>
        </w:tc>
        <w:tc>
          <w:tcPr>
            <w:tcW w:w="6680" w:type="dxa"/>
            <w:vAlign w:val="bottom"/>
            <w:shd w:val="clear" w:color="auto" w:fill="CCEEFF"/>
          </w:tcPr>
          <w:p>
            <w:pPr>
              <w:jc w:val="center"/>
              <w:ind w:left="5832"/>
              <w:spacing w:after="0"/>
              <w:rPr>
                <w:sz w:val="20"/>
                <w:szCs w:val="20"/>
                <w:color w:val="auto"/>
              </w:rPr>
            </w:pPr>
            <w:r>
              <w:rPr>
                <w:rFonts w:ascii="Arial" w:cs="Arial" w:eastAsia="Arial" w:hAnsi="Arial"/>
                <w:sz w:val="18"/>
                <w:szCs w:val="18"/>
                <w:color w:val="auto"/>
                <w:w w:val="79"/>
              </w:rPr>
              <w:t>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942,689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961,708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Vessel deposits</w:t>
            </w:r>
          </w:p>
        </w:tc>
        <w:tc>
          <w:tcPr>
            <w:tcW w:w="6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16,541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Other fixed assets</w:t>
            </w:r>
          </w:p>
        </w:tc>
        <w:tc>
          <w:tcPr>
            <w:tcW w:w="6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Deferred tax</w:t>
            </w:r>
          </w:p>
        </w:tc>
        <w:tc>
          <w:tcPr>
            <w:tcW w:w="6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6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gridSpan w:val="2"/>
            <w:vMerge w:val="restart"/>
          </w:tcPr>
          <w:p>
            <w:pPr>
              <w:spacing w:after="0"/>
              <w:rPr>
                <w:sz w:val="20"/>
                <w:szCs w:val="20"/>
                <w:color w:val="auto"/>
              </w:rPr>
            </w:pPr>
            <w:r>
              <w:rPr>
                <w:rFonts w:ascii="Arial" w:cs="Arial" w:eastAsia="Arial" w:hAnsi="Arial"/>
                <w:sz w:val="18"/>
                <w:szCs w:val="18"/>
                <w:color w:val="auto"/>
              </w:rPr>
              <w:t>Total non-current assets</w:t>
            </w:r>
          </w:p>
        </w:tc>
        <w:tc>
          <w:tcPr>
            <w:tcW w:w="6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80" w:type="dxa"/>
            <w:vAlign w:val="bottom"/>
            <w:gridSpan w:val="2"/>
            <w:vMerge w:val="continue"/>
          </w:tcPr>
          <w:p>
            <w:pPr>
              <w:spacing w:after="0"/>
              <w:rPr>
                <w:sz w:val="19"/>
                <w:szCs w:val="19"/>
                <w:color w:val="auto"/>
              </w:rPr>
            </w:pPr>
          </w:p>
        </w:tc>
        <w:tc>
          <w:tcPr>
            <w:tcW w:w="6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964,088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983,198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1,008,250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1,027,358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4"/>
              </w:rPr>
              <w:t>Liabilities and Stockholders’ Equity</w:t>
            </w:r>
          </w:p>
        </w:tc>
        <w:tc>
          <w:tcPr>
            <w:tcW w:w="6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880" w:type="dxa"/>
            <w:vAlign w:val="bottom"/>
            <w:gridSpan w:val="2"/>
            <w:vMerge w:val="continue"/>
          </w:tcPr>
          <w:p>
            <w:pPr>
              <w:spacing w:after="0"/>
              <w:rPr>
                <w:sz w:val="24"/>
                <w:szCs w:val="24"/>
                <w:color w:val="auto"/>
              </w:rPr>
            </w:pPr>
          </w:p>
        </w:tc>
        <w:tc>
          <w:tcPr>
            <w:tcW w:w="6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60" w:type="dxa"/>
            <w:vAlign w:val="bottom"/>
          </w:tcPr>
          <w:p>
            <w:pPr>
              <w:spacing w:after="0"/>
              <w:rPr>
                <w:sz w:val="9"/>
                <w:szCs w:val="9"/>
                <w:color w:val="auto"/>
              </w:rPr>
            </w:pPr>
          </w:p>
        </w:tc>
        <w:tc>
          <w:tcPr>
            <w:tcW w:w="6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6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880" w:type="dxa"/>
            <w:vAlign w:val="bottom"/>
            <w:gridSpan w:val="2"/>
          </w:tcPr>
          <w:p>
            <w:pPr>
              <w:spacing w:after="0"/>
              <w:rPr>
                <w:sz w:val="20"/>
                <w:szCs w:val="20"/>
                <w:color w:val="auto"/>
              </w:rPr>
            </w:pPr>
            <w:r>
              <w:rPr>
                <w:rFonts w:ascii="Arial" w:cs="Arial" w:eastAsia="Arial" w:hAnsi="Arial"/>
                <w:sz w:val="18"/>
                <w:szCs w:val="18"/>
                <w:color w:val="auto"/>
                <w:w w:val="91"/>
              </w:rPr>
              <w:t>Intangible liability – charter agreements</w:t>
            </w:r>
          </w:p>
        </w:tc>
        <w:tc>
          <w:tcPr>
            <w:tcW w:w="6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2,119</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 term debt</w:t>
            </w:r>
          </w:p>
        </w:tc>
        <w:tc>
          <w:tcPr>
            <w:tcW w:w="6680" w:type="dxa"/>
            <w:vAlign w:val="bottom"/>
            <w:shd w:val="clear" w:color="auto" w:fill="CCEEFF"/>
          </w:tcPr>
          <w:p>
            <w:pPr>
              <w:jc w:val="center"/>
              <w:ind w:left="5832"/>
              <w:spacing w:after="0"/>
              <w:rPr>
                <w:sz w:val="20"/>
                <w:szCs w:val="20"/>
                <w:color w:val="auto"/>
              </w:rPr>
            </w:pPr>
            <w:r>
              <w:rPr>
                <w:rFonts w:ascii="Arial" w:cs="Arial" w:eastAsia="Arial" w:hAnsi="Arial"/>
                <w:sz w:val="18"/>
                <w:szCs w:val="18"/>
                <w:color w:val="auto"/>
                <w:w w:val="79"/>
              </w:rPr>
              <w:t>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60,300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Accounts payable</w:t>
            </w:r>
          </w:p>
        </w:tc>
        <w:tc>
          <w:tcPr>
            <w:tcW w:w="6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3,010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6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Derivative instruments</w:t>
            </w:r>
          </w:p>
        </w:tc>
        <w:tc>
          <w:tcPr>
            <w:tcW w:w="6680" w:type="dxa"/>
            <w:vAlign w:val="bottom"/>
          </w:tcPr>
          <w:p>
            <w:pPr>
              <w:jc w:val="center"/>
              <w:ind w:left="5832"/>
              <w:spacing w:after="0"/>
              <w:rPr>
                <w:sz w:val="20"/>
                <w:szCs w:val="20"/>
                <w:color w:val="auto"/>
              </w:rPr>
            </w:pPr>
            <w:r>
              <w:rPr>
                <w:rFonts w:ascii="Arial" w:cs="Arial" w:eastAsia="Arial" w:hAnsi="Arial"/>
                <w:sz w:val="18"/>
                <w:szCs w:val="18"/>
                <w:color w:val="auto"/>
                <w:w w:val="79"/>
              </w:rPr>
              <w:t>9</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13,784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6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gridSpan w:val="2"/>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880" w:type="dxa"/>
            <w:vAlign w:val="bottom"/>
            <w:gridSpan w:val="2"/>
          </w:tcPr>
          <w:p>
            <w:pPr>
              <w:spacing w:after="0"/>
              <w:rPr>
                <w:sz w:val="20"/>
                <w:szCs w:val="20"/>
                <w:color w:val="auto"/>
              </w:rPr>
            </w:pPr>
            <w:r>
              <w:rPr>
                <w:rFonts w:ascii="Arial" w:cs="Arial" w:eastAsia="Arial" w:hAnsi="Arial"/>
                <w:sz w:val="18"/>
                <w:szCs w:val="18"/>
                <w:color w:val="auto"/>
              </w:rPr>
              <w:t>Long term debt</w:t>
            </w:r>
          </w:p>
        </w:tc>
        <w:tc>
          <w:tcPr>
            <w:tcW w:w="6680" w:type="dxa"/>
            <w:vAlign w:val="bottom"/>
          </w:tcPr>
          <w:p>
            <w:pPr>
              <w:jc w:val="center"/>
              <w:ind w:left="5832"/>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492,841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519,892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w:t>
            </w:r>
          </w:p>
        </w:tc>
        <w:tc>
          <w:tcPr>
            <w:tcW w:w="6680" w:type="dxa"/>
            <w:vAlign w:val="bottom"/>
            <w:shd w:val="clear" w:color="auto" w:fill="CCEEFF"/>
          </w:tcPr>
          <w:p>
            <w:pPr>
              <w:jc w:val="center"/>
              <w:ind w:left="5832"/>
              <w:spacing w:after="0"/>
              <w:rPr>
                <w:sz w:val="20"/>
                <w:szCs w:val="20"/>
                <w:color w:val="auto"/>
              </w:rPr>
            </w:pPr>
            <w:r>
              <w:rPr>
                <w:rFonts w:ascii="Arial" w:cs="Arial" w:eastAsia="Arial" w:hAnsi="Arial"/>
                <w:sz w:val="18"/>
                <w:szCs w:val="18"/>
                <w:color w:val="auto"/>
                <w:w w:val="79"/>
              </w:rPr>
              <w:t>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0"/>
              </w:rPr>
              <w:t>Intangible liability – charter agreements</w:t>
            </w:r>
          </w:p>
        </w:tc>
        <w:tc>
          <w:tcPr>
            <w:tcW w:w="6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23,229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6680" w:type="dxa"/>
            <w:vAlign w:val="bottom"/>
            <w:shd w:val="clear" w:color="auto" w:fill="CCEEFF"/>
          </w:tcPr>
          <w:p>
            <w:pPr>
              <w:jc w:val="center"/>
              <w:ind w:left="5832"/>
              <w:spacing w:after="0"/>
              <w:rPr>
                <w:sz w:val="20"/>
                <w:szCs w:val="20"/>
                <w:color w:val="auto"/>
              </w:rPr>
            </w:pPr>
            <w:r>
              <w:rPr>
                <w:rFonts w:ascii="Arial" w:cs="Arial" w:eastAsia="Arial" w:hAnsi="Arial"/>
                <w:sz w:val="18"/>
                <w:szCs w:val="18"/>
                <w:color w:val="auto"/>
                <w:w w:val="79"/>
              </w:rPr>
              <w:t>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gridSpan w:val="2"/>
            <w:vMerge w:val="restart"/>
          </w:tcPr>
          <w:p>
            <w:pPr>
              <w:spacing w:after="0"/>
              <w:rPr>
                <w:sz w:val="20"/>
                <w:szCs w:val="20"/>
                <w:color w:val="auto"/>
              </w:rPr>
            </w:pPr>
            <w:r>
              <w:rPr>
                <w:rFonts w:ascii="Arial" w:cs="Arial" w:eastAsia="Arial" w:hAnsi="Arial"/>
                <w:sz w:val="18"/>
                <w:szCs w:val="18"/>
                <w:color w:val="auto"/>
              </w:rPr>
              <w:t>Total long-term liabilities</w:t>
            </w:r>
          </w:p>
        </w:tc>
        <w:tc>
          <w:tcPr>
            <w:tcW w:w="6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80" w:type="dxa"/>
            <w:vAlign w:val="bottom"/>
            <w:gridSpan w:val="2"/>
            <w:vMerge w:val="continue"/>
          </w:tcPr>
          <w:p>
            <w:pPr>
              <w:spacing w:after="0"/>
              <w:rPr>
                <w:sz w:val="19"/>
                <w:szCs w:val="19"/>
                <w:color w:val="auto"/>
              </w:rPr>
            </w:pPr>
          </w:p>
        </w:tc>
        <w:tc>
          <w:tcPr>
            <w:tcW w:w="6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596,733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605,322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860" w:type="dxa"/>
            <w:vAlign w:val="bottom"/>
          </w:tcPr>
          <w:p>
            <w:pPr>
              <w:spacing w:after="0"/>
              <w:rPr>
                <w:sz w:val="10"/>
                <w:szCs w:val="10"/>
                <w:color w:val="auto"/>
              </w:rPr>
            </w:pPr>
          </w:p>
        </w:tc>
        <w:tc>
          <w:tcPr>
            <w:tcW w:w="66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6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681,741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699,803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288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6680" w:type="dxa"/>
            <w:vAlign w:val="bottom"/>
          </w:tcPr>
          <w:p>
            <w:pPr>
              <w:jc w:val="center"/>
              <w:ind w:left="5832"/>
              <w:spacing w:after="0"/>
              <w:rPr>
                <w:sz w:val="20"/>
                <w:szCs w:val="20"/>
                <w:color w:val="auto"/>
              </w:rPr>
            </w:pPr>
            <w:r>
              <w:rPr>
                <w:rFonts w:ascii="Arial" w:cs="Arial" w:eastAsia="Arial" w:hAnsi="Arial"/>
                <w:sz w:val="18"/>
                <w:szCs w:val="18"/>
                <w:color w:val="auto"/>
                <w:w w:val="79"/>
              </w:rPr>
              <w:t>7</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780" w:type="dxa"/>
            <w:vAlign w:val="bottom"/>
            <w:gridSpan w:val="2"/>
          </w:tcPr>
          <w:p>
            <w:pPr>
              <w:jc w:val="right"/>
              <w:ind w:right="1072"/>
              <w:spacing w:after="0"/>
              <w:rPr>
                <w:sz w:val="20"/>
                <w:szCs w:val="20"/>
                <w:color w:val="auto"/>
              </w:rPr>
            </w:pPr>
            <w:r>
              <w:rPr>
                <w:rFonts w:ascii="Arial" w:cs="Arial" w:eastAsia="Arial" w:hAnsi="Arial"/>
                <w:sz w:val="18"/>
                <w:szCs w:val="18"/>
                <w:color w:val="auto"/>
                <w:w w:val="88"/>
              </w:rPr>
              <w:t>See accompanying notes to interim unaudited consolidated financial statements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780" w:type="dxa"/>
            <w:vAlign w:val="bottom"/>
            <w:gridSpan w:val="2"/>
          </w:tcPr>
          <w:p>
            <w:pPr>
              <w:jc w:val="right"/>
              <w:ind w:right="3612"/>
              <w:spacing w:after="0"/>
              <w:rPr>
                <w:sz w:val="20"/>
                <w:szCs w:val="20"/>
                <w:color w:val="auto"/>
              </w:rPr>
            </w:pPr>
            <w:r>
              <w:rPr>
                <w:rFonts w:ascii="Arial" w:cs="Arial" w:eastAsia="Arial" w:hAnsi="Arial"/>
                <w:sz w:val="18"/>
                <w:szCs w:val="18"/>
                <w:color w:val="auto"/>
              </w:rPr>
              <w:t>Page 1</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Balance Sheets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89"/>
              </w:rPr>
              <w:t>Note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8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w w:val="88"/>
              </w:rPr>
              <w:t>Class A Common stock – authorized 214,000,000 shares with a $0.01 par value; 46,830,467 shares issued and outstanding</w:t>
            </w:r>
          </w:p>
        </w:tc>
        <w:tc>
          <w:tcPr>
            <w:tcW w:w="68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79"/>
              </w:rPr>
              <w:t>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w w:val="89"/>
              </w:rPr>
              <w:t>Class B Common stock – authorized 20,000,000 shares with a $0.01 par value; 7,405,956 shares issued and outstanding</w:t>
            </w:r>
          </w:p>
        </w:tc>
        <w:tc>
          <w:tcPr>
            <w:tcW w:w="680" w:type="dxa"/>
            <w:vAlign w:val="bottom"/>
          </w:tcPr>
          <w:p>
            <w:pPr>
              <w:jc w:val="center"/>
              <w:ind w:right="32"/>
              <w:spacing w:after="0"/>
              <w:rPr>
                <w:sz w:val="20"/>
                <w:szCs w:val="20"/>
                <w:color w:val="auto"/>
              </w:rPr>
            </w:pPr>
            <w:r>
              <w:rPr>
                <w:rFonts w:ascii="Arial" w:cs="Arial" w:eastAsia="Arial" w:hAnsi="Arial"/>
                <w:sz w:val="18"/>
                <w:szCs w:val="18"/>
                <w:color w:val="auto"/>
                <w:w w:val="79"/>
              </w:rPr>
              <w:t>8</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350,944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350,319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Accumulated deficit</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(24,977)</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(23,305)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6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326,509</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6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1,008,250</w:t>
            </w:r>
          </w:p>
        </w:tc>
        <w:tc>
          <w:tcPr>
            <w:tcW w:w="3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1,027,358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27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Income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w w:val="94"/>
              </w:rPr>
              <w:t>Three months ended June 30,</w:t>
            </w:r>
          </w:p>
        </w:tc>
        <w:tc>
          <w:tcPr>
            <w:tcW w:w="100" w:type="dxa"/>
            <w:vAlign w:val="bottom"/>
          </w:tcPr>
          <w:p>
            <w:pPr>
              <w:spacing w:after="0"/>
              <w:rPr>
                <w:sz w:val="14"/>
                <w:szCs w:val="14"/>
                <w:color w:val="auto"/>
              </w:rPr>
            </w:pPr>
          </w:p>
        </w:tc>
        <w:tc>
          <w:tcPr>
            <w:tcW w:w="22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Note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Operating Revenues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Time charter revenue</w:t>
            </w:r>
          </w:p>
        </w:tc>
        <w:tc>
          <w:tcPr>
            <w:tcW w:w="10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78,762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71,201</w:t>
            </w:r>
          </w:p>
        </w:tc>
        <w:tc>
          <w:tcPr>
            <w:tcW w:w="0" w:type="dxa"/>
            <w:vAlign w:val="bottom"/>
          </w:tcPr>
          <w:p>
            <w:pPr>
              <w:spacing w:after="0"/>
              <w:rPr>
                <w:sz w:val="1"/>
                <w:szCs w:val="1"/>
                <w:color w:val="auto"/>
              </w:rPr>
            </w:pPr>
          </w:p>
        </w:tc>
      </w:tr>
      <w:tr>
        <w:trPr>
          <w:trHeight w:val="329"/>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expenses</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Depreciation</w:t>
            </w:r>
          </w:p>
        </w:tc>
        <w:tc>
          <w:tcPr>
            <w:tcW w:w="1020" w:type="dxa"/>
            <w:vAlign w:val="bottom"/>
          </w:tcPr>
          <w:p>
            <w:pPr>
              <w:jc w:val="center"/>
              <w:ind w:left="232"/>
              <w:spacing w:after="0"/>
              <w:rPr>
                <w:sz w:val="20"/>
                <w:szCs w:val="20"/>
                <w:color w:val="auto"/>
              </w:rPr>
            </w:pPr>
            <w:r>
              <w:rPr>
                <w:rFonts w:ascii="Arial" w:cs="Arial" w:eastAsia="Arial" w:hAnsi="Arial"/>
                <w:sz w:val="18"/>
                <w:szCs w:val="18"/>
                <w:color w:val="auto"/>
                <w:w w:val="99"/>
              </w:rPr>
              <w:t>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9,984</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8,986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19,855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 operating income</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22,173</w:t>
            </w: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21,889</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42,919</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17,438</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14,304</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35,843</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27,723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Operating Income (Expense)</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Interest income</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(6,048)</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(5,554)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(11,904)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Realized and unrealized (loss) gain on interest rate derivatives</w:t>
            </w:r>
          </w:p>
        </w:tc>
        <w:tc>
          <w:tcPr>
            <w:tcW w:w="1020" w:type="dxa"/>
            <w:vAlign w:val="bottom"/>
          </w:tcPr>
          <w:p>
            <w:pPr>
              <w:jc w:val="center"/>
              <w:ind w:left="232"/>
              <w:spacing w:after="0"/>
              <w:rPr>
                <w:sz w:val="20"/>
                <w:szCs w:val="20"/>
                <w:color w:val="auto"/>
              </w:rPr>
            </w:pPr>
            <w:r>
              <w:rPr>
                <w:rFonts w:ascii="Arial" w:cs="Arial" w:eastAsia="Arial" w:hAnsi="Arial"/>
                <w:sz w:val="18"/>
                <w:szCs w:val="18"/>
                <w:color w:val="auto"/>
                <w:w w:val="99"/>
              </w:rPr>
              <w:t>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(16,389)</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13,872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(25,663)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16,146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Income before Income Taxes</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(4,939)</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(1,629)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33,966</w:t>
            </w:r>
          </w:p>
        </w:tc>
        <w:tc>
          <w:tcPr>
            <w:tcW w:w="0" w:type="dxa"/>
            <w:vAlign w:val="bottom"/>
          </w:tcPr>
          <w:p>
            <w:pPr>
              <w:spacing w:after="0"/>
              <w:rPr>
                <w:sz w:val="1"/>
                <w:szCs w:val="1"/>
                <w:color w:val="auto"/>
              </w:rPr>
            </w:pPr>
          </w:p>
        </w:tc>
      </w:tr>
      <w:tr>
        <w:trPr>
          <w:trHeight w:val="323"/>
        </w:trPr>
        <w:tc>
          <w:tcPr>
            <w:tcW w:w="51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(4,954)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33,918</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12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w w:val="95"/>
              </w:rPr>
              <w:t>Weighted average number of Class A common shares outstanding</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Basic</w:t>
            </w:r>
          </w:p>
        </w:tc>
        <w:tc>
          <w:tcPr>
            <w:tcW w:w="1020" w:type="dxa"/>
            <w:vAlign w:val="bottom"/>
          </w:tcPr>
          <w:p>
            <w:pPr>
              <w:jc w:val="center"/>
              <w:ind w:left="232"/>
              <w:spacing w:after="0"/>
              <w:rPr>
                <w:sz w:val="20"/>
                <w:szCs w:val="20"/>
                <w:color w:val="auto"/>
              </w:rPr>
            </w:pPr>
            <w:r>
              <w:rPr>
                <w:rFonts w:ascii="Arial" w:cs="Arial" w:eastAsia="Arial" w:hAnsi="Arial"/>
                <w:sz w:val="18"/>
                <w:szCs w:val="18"/>
                <w:color w:val="auto"/>
                <w:w w:val="89"/>
              </w:rPr>
              <w:t>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46,830,467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46,380,194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46,830,467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46,380,194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2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89"/>
              </w:rPr>
              <w:t>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46,830,467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46,380,194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46,830,467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46,516,824</w:t>
            </w:r>
          </w:p>
        </w:tc>
        <w:tc>
          <w:tcPr>
            <w:tcW w:w="0" w:type="dxa"/>
            <w:vAlign w:val="bottom"/>
          </w:tcPr>
          <w:p>
            <w:pPr>
              <w:spacing w:after="0"/>
              <w:rPr>
                <w:sz w:val="1"/>
                <w:szCs w:val="1"/>
                <w:color w:val="auto"/>
              </w:rPr>
            </w:pPr>
          </w:p>
        </w:tc>
      </w:tr>
      <w:tr>
        <w:trPr>
          <w:trHeight w:val="323"/>
        </w:trPr>
        <w:tc>
          <w:tcPr>
            <w:tcW w:w="5120" w:type="dxa"/>
            <w:vAlign w:val="bottom"/>
            <w:gridSpan w:val="2"/>
          </w:tcPr>
          <w:p>
            <w:pPr>
              <w:spacing w:after="0"/>
              <w:rPr>
                <w:sz w:val="20"/>
                <w:szCs w:val="20"/>
                <w:color w:val="auto"/>
              </w:rPr>
            </w:pPr>
            <w:r>
              <w:rPr>
                <w:rFonts w:ascii="Arial" w:cs="Arial" w:eastAsia="Arial" w:hAnsi="Arial"/>
                <w:sz w:val="18"/>
                <w:szCs w:val="18"/>
                <w:color w:val="auto"/>
              </w:rPr>
              <w:t>Net (loss) income in $ per Class A common share</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2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89"/>
              </w:rPr>
              <w:t>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20" w:type="dxa"/>
            <w:vAlign w:val="bottom"/>
          </w:tcPr>
          <w:p>
            <w:pPr>
              <w:jc w:val="center"/>
              <w:ind w:left="232"/>
              <w:spacing w:after="0"/>
              <w:rPr>
                <w:sz w:val="20"/>
                <w:szCs w:val="20"/>
                <w:color w:val="auto"/>
              </w:rPr>
            </w:pPr>
            <w:r>
              <w:rPr>
                <w:rFonts w:ascii="Arial" w:cs="Arial" w:eastAsia="Arial" w:hAnsi="Arial"/>
                <w:sz w:val="18"/>
                <w:szCs w:val="18"/>
                <w:color w:val="auto"/>
                <w:w w:val="89"/>
              </w:rPr>
              <w:t>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(0.11)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0.42</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(0.04)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w w:val="95"/>
              </w:rPr>
              <w:t>Weighted average number of Class B common shares outstanding</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1020" w:type="dxa"/>
            <w:vAlign w:val="bottom"/>
          </w:tcPr>
          <w:p>
            <w:pPr>
              <w:jc w:val="center"/>
              <w:ind w:left="232"/>
              <w:spacing w:after="0"/>
              <w:rPr>
                <w:sz w:val="20"/>
                <w:szCs w:val="20"/>
                <w:color w:val="auto"/>
              </w:rPr>
            </w:pPr>
            <w:r>
              <w:rPr>
                <w:rFonts w:ascii="Arial" w:cs="Arial" w:eastAsia="Arial" w:hAnsi="Arial"/>
                <w:sz w:val="18"/>
                <w:szCs w:val="18"/>
                <w:color w:val="auto"/>
                <w:w w:val="89"/>
              </w:rPr>
              <w:t>11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7,405,956</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7,405,956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income in $ per Class B common share</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1020" w:type="dxa"/>
            <w:vAlign w:val="bottom"/>
          </w:tcPr>
          <w:p>
            <w:pPr>
              <w:jc w:val="center"/>
              <w:ind w:left="232"/>
              <w:spacing w:after="0"/>
              <w:rPr>
                <w:sz w:val="20"/>
                <w:szCs w:val="20"/>
                <w:color w:val="auto"/>
              </w:rPr>
            </w:pPr>
            <w:r>
              <w:rPr>
                <w:rFonts w:ascii="Arial" w:cs="Arial" w:eastAsia="Arial" w:hAnsi="Arial"/>
                <w:sz w:val="18"/>
                <w:szCs w:val="18"/>
                <w:color w:val="auto"/>
                <w:w w:val="89"/>
              </w:rPr>
              <w:t>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nil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0.42</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nil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7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Cash Flows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9"/>
              </w:rPr>
              <w:t>Three months ended June 30,</w:t>
            </w:r>
          </w:p>
        </w:tc>
        <w:tc>
          <w:tcPr>
            <w:tcW w:w="140" w:type="dxa"/>
            <w:vAlign w:val="bottom"/>
          </w:tcPr>
          <w:p>
            <w:pPr>
              <w:spacing w:after="0"/>
              <w:rPr>
                <w:sz w:val="14"/>
                <w:szCs w:val="14"/>
                <w:color w:val="auto"/>
              </w:rPr>
            </w:pPr>
          </w:p>
        </w:tc>
        <w:tc>
          <w:tcPr>
            <w:tcW w:w="180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7"/>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Note</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(4,954)</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33,918</w:t>
            </w:r>
          </w:p>
        </w:tc>
        <w:tc>
          <w:tcPr>
            <w:tcW w:w="0" w:type="dxa"/>
            <w:vAlign w:val="bottom"/>
          </w:tcPr>
          <w:p>
            <w:pPr>
              <w:spacing w:after="0"/>
              <w:rPr>
                <w:sz w:val="1"/>
                <w:szCs w:val="1"/>
                <w:color w:val="auto"/>
              </w:rPr>
            </w:pPr>
          </w:p>
        </w:tc>
      </w:tr>
      <w:tr>
        <w:trPr>
          <w:trHeight w:val="310"/>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w w:val="93"/>
              </w:rPr>
              <w:t>Adjustments to Reconcile Net (Loss) Income to Net Cash Provided by Operating</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40" w:type="dxa"/>
            <w:vAlign w:val="bottom"/>
          </w:tcPr>
          <w:p>
            <w:pPr>
              <w:ind w:left="200"/>
              <w:spacing w:after="0"/>
              <w:rPr>
                <w:sz w:val="20"/>
                <w:szCs w:val="20"/>
                <w:color w:val="auto"/>
              </w:rPr>
            </w:pPr>
            <w:r>
              <w:rPr>
                <w:rFonts w:ascii="Arial" w:cs="Arial" w:eastAsia="Arial" w:hAnsi="Arial"/>
                <w:sz w:val="18"/>
                <w:szCs w:val="18"/>
                <w:b w:val="1"/>
                <w:bCs w:val="1"/>
                <w:color w:val="auto"/>
              </w:rPr>
              <w:t>Activities</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980" w:type="dxa"/>
            <w:vAlign w:val="bottom"/>
            <w:shd w:val="clear" w:color="auto" w:fill="CCEEFF"/>
          </w:tcPr>
          <w:p>
            <w:pPr>
              <w:jc w:val="center"/>
              <w:ind w:left="132"/>
              <w:spacing w:after="0"/>
              <w:rPr>
                <w:sz w:val="20"/>
                <w:szCs w:val="20"/>
                <w:color w:val="auto"/>
              </w:rPr>
            </w:pPr>
            <w:r>
              <w:rPr>
                <w:rFonts w:ascii="Arial" w:cs="Arial" w:eastAsia="Arial" w:hAnsi="Arial"/>
                <w:sz w:val="18"/>
                <w:szCs w:val="18"/>
                <w:color w:val="auto"/>
                <w:w w:val="79"/>
              </w:rPr>
              <w:t>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19,855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certain derivative instruments</w:t>
            </w:r>
          </w:p>
        </w:tc>
        <w:tc>
          <w:tcPr>
            <w:tcW w:w="980" w:type="dxa"/>
            <w:vAlign w:val="bottom"/>
            <w:shd w:val="clear" w:color="auto" w:fill="CCEEFF"/>
          </w:tcPr>
          <w:p>
            <w:pPr>
              <w:jc w:val="center"/>
              <w:ind w:left="132"/>
              <w:spacing w:after="0"/>
              <w:rPr>
                <w:sz w:val="20"/>
                <w:szCs w:val="20"/>
                <w:color w:val="auto"/>
              </w:rPr>
            </w:pPr>
            <w:r>
              <w:rPr>
                <w:rFonts w:ascii="Arial" w:cs="Arial" w:eastAsia="Arial" w:hAnsi="Arial"/>
                <w:sz w:val="18"/>
                <w:szCs w:val="18"/>
                <w:color w:val="auto"/>
                <w:w w:val="79"/>
              </w:rPr>
              <w:t>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(16,652)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17,333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(20,961)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Amortization of intangible liability</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(529)</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(1,059)</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980" w:type="dxa"/>
            <w:vAlign w:val="bottom"/>
            <w:shd w:val="clear" w:color="auto" w:fill="CCEEFF"/>
          </w:tcPr>
          <w:p>
            <w:pPr>
              <w:jc w:val="center"/>
              <w:ind w:left="132"/>
              <w:spacing w:after="0"/>
              <w:rPr>
                <w:sz w:val="20"/>
                <w:szCs w:val="20"/>
                <w:color w:val="auto"/>
              </w:rPr>
            </w:pPr>
            <w:r>
              <w:rPr>
                <w:rFonts w:ascii="Arial" w:cs="Arial" w:eastAsia="Arial" w:hAnsi="Arial"/>
                <w:sz w:val="18"/>
                <w:szCs w:val="18"/>
                <w:color w:val="auto"/>
                <w:w w:val="79"/>
              </w:rPr>
              <w:t>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8,330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980" w:type="dxa"/>
            <w:vAlign w:val="bottom"/>
          </w:tcPr>
          <w:p>
            <w:pPr>
              <w:jc w:val="center"/>
              <w:ind w:left="132"/>
              <w:spacing w:after="0"/>
              <w:rPr>
                <w:sz w:val="20"/>
                <w:szCs w:val="20"/>
                <w:color w:val="auto"/>
              </w:rPr>
            </w:pPr>
            <w:r>
              <w:rPr>
                <w:rFonts w:ascii="Arial" w:cs="Arial" w:eastAsia="Arial" w:hAnsi="Arial"/>
                <w:sz w:val="18"/>
                <w:szCs w:val="18"/>
                <w:color w:val="auto"/>
                <w:w w:val="79"/>
              </w:rPr>
              <w:t>10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other receivables and other assets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Increase (decrease) in accounts payable and other liabilities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3,643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Costs relating to drydocks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Unrealized foreign exchange loss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45,028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35,583</w:t>
            </w:r>
          </w:p>
        </w:tc>
        <w:tc>
          <w:tcPr>
            <w:tcW w:w="0" w:type="dxa"/>
            <w:vAlign w:val="bottom"/>
          </w:tcPr>
          <w:p>
            <w:pPr>
              <w:spacing w:after="0"/>
              <w:rPr>
                <w:sz w:val="1"/>
                <w:szCs w:val="1"/>
                <w:color w:val="auto"/>
              </w:rPr>
            </w:pPr>
          </w:p>
        </w:tc>
      </w:tr>
      <w:tr>
        <w:trPr>
          <w:trHeight w:val="329"/>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980" w:type="dxa"/>
            <w:vAlign w:val="bottom"/>
            <w:shd w:val="clear" w:color="auto" w:fill="CCEEFF"/>
          </w:tcPr>
          <w:p>
            <w:pPr>
              <w:jc w:val="center"/>
              <w:ind w:left="132"/>
              <w:spacing w:after="0"/>
              <w:rPr>
                <w:sz w:val="20"/>
                <w:szCs w:val="20"/>
                <w:color w:val="auto"/>
              </w:rPr>
            </w:pPr>
            <w:r>
              <w:rPr>
                <w:rFonts w:ascii="Arial" w:cs="Arial" w:eastAsia="Arial" w:hAnsi="Arial"/>
                <w:sz w:val="18"/>
                <w:szCs w:val="18"/>
                <w:color w:val="auto"/>
                <w:w w:val="79"/>
              </w:rPr>
              <w:t>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(3,935)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(8,330)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Cash paid for purchases of vessels, vessel prepayments and vessel deposits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(820)</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(1,128)</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(4,755)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(9,458)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(5,549)</w:t>
            </w:r>
          </w:p>
        </w:tc>
        <w:tc>
          <w:tcPr>
            <w:tcW w:w="0" w:type="dxa"/>
            <w:vAlign w:val="bottom"/>
          </w:tcPr>
          <w:p>
            <w:pPr>
              <w:spacing w:after="0"/>
              <w:rPr>
                <w:sz w:val="1"/>
                <w:szCs w:val="1"/>
                <w:color w:val="auto"/>
              </w:rPr>
            </w:pPr>
          </w:p>
        </w:tc>
      </w:tr>
      <w:tr>
        <w:trPr>
          <w:trHeight w:val="329"/>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Repayments of debt</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(30,959)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(35,051)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Issuance costs of debt</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Dividend payments</w:t>
            </w:r>
          </w:p>
        </w:tc>
        <w:tc>
          <w:tcPr>
            <w:tcW w:w="980" w:type="dxa"/>
            <w:vAlign w:val="bottom"/>
            <w:shd w:val="clear" w:color="auto" w:fill="CCEEFF"/>
          </w:tcPr>
          <w:p>
            <w:pPr>
              <w:jc w:val="center"/>
              <w:ind w:left="132"/>
              <w:spacing w:after="0"/>
              <w:rPr>
                <w:sz w:val="20"/>
                <w:szCs w:val="20"/>
                <w:color w:val="auto"/>
              </w:rPr>
            </w:pPr>
            <w:r>
              <w:rPr>
                <w:rFonts w:ascii="Arial" w:cs="Arial" w:eastAsia="Arial" w:hAnsi="Arial"/>
                <w:sz w:val="18"/>
                <w:szCs w:val="18"/>
                <w:color w:val="auto"/>
                <w:w w:val="79"/>
              </w:rPr>
              <w:t>8</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(12,371)</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60" w:type="dxa"/>
            <w:vAlign w:val="bottom"/>
            <w:gridSpan w:val="2"/>
            <w:vMerge w:val="continue"/>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(30,959)</w:t>
            </w:r>
          </w:p>
        </w:tc>
        <w:tc>
          <w:tcPr>
            <w:tcW w:w="16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(35,051)</w:t>
            </w:r>
          </w:p>
        </w:tc>
        <w:tc>
          <w:tcPr>
            <w:tcW w:w="1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(15,664)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4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(10,027)</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41,356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25,383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30,810</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26,363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40,733</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31,329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40,733</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information</w:t>
            </w: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46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Non cash investing and financing activities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460" w:type="dxa"/>
            <w:vAlign w:val="bottom"/>
            <w:gridSpan w:val="2"/>
          </w:tcPr>
          <w:p>
            <w:pPr>
              <w:spacing w:after="0"/>
              <w:rPr>
                <w:sz w:val="20"/>
                <w:szCs w:val="20"/>
                <w:color w:val="auto"/>
              </w:rPr>
            </w:pPr>
            <w:r>
              <w:rPr>
                <w:rFonts w:ascii="Arial" w:cs="Arial" w:eastAsia="Arial" w:hAnsi="Arial"/>
                <w:sz w:val="18"/>
                <w:szCs w:val="18"/>
                <w:color w:val="auto"/>
              </w:rPr>
              <w:t>Total interest paid</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4,776</w:t>
            </w:r>
          </w:p>
        </w:tc>
        <w:tc>
          <w:tcPr>
            <w:tcW w:w="32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4,968</w:t>
            </w:r>
          </w:p>
        </w:tc>
        <w:tc>
          <w:tcPr>
            <w:tcW w:w="18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10,568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8,733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Income tax paid</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500" w:type="dxa"/>
            <w:vAlign w:val="bottom"/>
            <w:gridSpan w:val="5"/>
          </w:tcPr>
          <w:p>
            <w:pPr>
              <w:jc w:val="center"/>
              <w:ind w:left="2792"/>
              <w:spacing w:after="0"/>
              <w:rPr>
                <w:sz w:val="20"/>
                <w:szCs w:val="20"/>
                <w:color w:val="auto"/>
              </w:rPr>
            </w:pPr>
            <w:r>
              <w:rPr>
                <w:rFonts w:ascii="Arial" w:cs="Arial" w:eastAsia="Arial" w:hAnsi="Arial"/>
                <w:sz w:val="18"/>
                <w:szCs w:val="18"/>
                <w:color w:val="auto"/>
                <w:w w:val="87"/>
              </w:rPr>
              <w:t>See accompanying notes to interim unaudited consolidated financial statements</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440" w:type="dxa"/>
            <w:vAlign w:val="bottom"/>
          </w:tcPr>
          <w:p>
            <w:pPr>
              <w:jc w:val="center"/>
              <w:ind w:left="4872"/>
              <w:spacing w:after="0"/>
              <w:rPr>
                <w:sz w:val="20"/>
                <w:szCs w:val="20"/>
                <w:color w:val="auto"/>
              </w:rPr>
            </w:pPr>
            <w:r>
              <w:rPr>
                <w:rFonts w:ascii="Arial" w:cs="Arial" w:eastAsia="Arial" w:hAnsi="Arial"/>
                <w:sz w:val="18"/>
                <w:szCs w:val="18"/>
                <w:color w:val="auto"/>
                <w:w w:val="84"/>
              </w:rPr>
              <w:t>Page 4</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Stockholders’ Equity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Number of</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Common Stock</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97"/>
              </w:rPr>
              <w:t>Additional</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2"/>
              </w:rPr>
              <w:t>at $0.01</w:t>
            </w:r>
          </w:p>
        </w:tc>
        <w:tc>
          <w:tcPr>
            <w:tcW w:w="1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Common</w:t>
            </w:r>
          </w:p>
        </w:tc>
        <w:tc>
          <w:tcPr>
            <w:tcW w:w="10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Paid in</w:t>
            </w:r>
          </w:p>
        </w:tc>
        <w:tc>
          <w:tcPr>
            <w:tcW w:w="96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1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w w:val="99"/>
              </w:rPr>
              <w:t>Stockholders’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08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4"/>
              </w:rPr>
              <w:t>Par value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spacing w:after="0" w:line="159" w:lineRule="exact"/>
              <w:rPr>
                <w:sz w:val="20"/>
                <w:szCs w:val="20"/>
                <w:color w:val="auto"/>
              </w:rPr>
            </w:pPr>
            <w:r>
              <w:rPr>
                <w:rFonts w:ascii="Arial" w:cs="Arial" w:eastAsia="Arial" w:hAnsi="Arial"/>
                <w:sz w:val="14"/>
                <w:szCs w:val="14"/>
                <w:color w:val="auto"/>
              </w:rPr>
              <w:t>Stock</w:t>
            </w:r>
          </w:p>
        </w:tc>
        <w:tc>
          <w:tcPr>
            <w:tcW w:w="108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Capital</w:t>
            </w:r>
          </w:p>
        </w:tc>
        <w:tc>
          <w:tcPr>
            <w:tcW w:w="140" w:type="dxa"/>
            <w:vAlign w:val="bottom"/>
          </w:tcPr>
          <w:p>
            <w:pPr>
              <w:spacing w:after="0"/>
              <w:rPr>
                <w:sz w:val="13"/>
                <w:szCs w:val="13"/>
                <w:color w:val="auto"/>
              </w:rPr>
            </w:pPr>
          </w:p>
        </w:tc>
        <w:tc>
          <w:tcPr>
            <w:tcW w:w="82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Deficit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2008</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53,749,317</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537</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$347,810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(53,308)</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295,039</w:t>
            </w:r>
          </w:p>
        </w:tc>
        <w:tc>
          <w:tcPr>
            <w:tcW w:w="0" w:type="dxa"/>
            <w:vAlign w:val="bottom"/>
          </w:tcPr>
          <w:p>
            <w:pPr>
              <w:spacing w:after="0"/>
              <w:rPr>
                <w:sz w:val="1"/>
                <w:szCs w:val="1"/>
                <w:color w:val="auto"/>
              </w:rPr>
            </w:pPr>
          </w:p>
        </w:tc>
      </w:tr>
      <w:tr>
        <w:trPr>
          <w:trHeight w:val="323"/>
        </w:trPr>
        <w:tc>
          <w:tcPr>
            <w:tcW w:w="2720" w:type="dxa"/>
            <w:vAlign w:val="bottom"/>
            <w:gridSpan w:val="2"/>
          </w:tcPr>
          <w:p>
            <w:pPr>
              <w:spacing w:after="0"/>
              <w:rPr>
                <w:sz w:val="20"/>
                <w:szCs w:val="20"/>
                <w:color w:val="auto"/>
              </w:rPr>
            </w:pPr>
            <w:r>
              <w:rPr>
                <w:rFonts w:ascii="Arial" w:cs="Arial" w:eastAsia="Arial" w:hAnsi="Arial"/>
                <w:sz w:val="18"/>
                <w:szCs w:val="18"/>
                <w:color w:val="auto"/>
                <w:w w:val="92"/>
              </w:rPr>
              <w:t>Class C shares converted to Class A</w:t>
            </w:r>
          </w:p>
        </w:tc>
        <w:tc>
          <w:tcPr>
            <w:tcW w:w="3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C</w:t>
            </w:r>
          </w:p>
        </w:tc>
        <w:tc>
          <w:tcPr>
            <w:tcW w:w="4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(12,375,000)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00" w:type="dxa"/>
            <w:vAlign w:val="bottom"/>
          </w:tcPr>
          <w:p>
            <w:pPr>
              <w:ind w:left="420"/>
              <w:spacing w:after="0"/>
              <w:rPr>
                <w:sz w:val="20"/>
                <w:szCs w:val="20"/>
                <w:color w:val="auto"/>
              </w:rPr>
            </w:pPr>
            <w:r>
              <w:rPr>
                <w:rFonts w:ascii="Arial" w:cs="Arial" w:eastAsia="Arial" w:hAnsi="Arial"/>
                <w:sz w:val="18"/>
                <w:szCs w:val="18"/>
                <w:color w:val="auto"/>
              </w:rPr>
              <w:t>Class A</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12,375,000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w w:val="79"/>
              </w:rPr>
              <w:t>124</w:t>
            </w:r>
          </w:p>
        </w:tc>
        <w:tc>
          <w:tcPr>
            <w:tcW w:w="40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 (note 10)</w:t>
            </w:r>
          </w:p>
        </w:tc>
        <w:tc>
          <w:tcPr>
            <w:tcW w:w="3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Shares issued (note 8)</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336,833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the period</w:t>
            </w:r>
          </w:p>
        </w:tc>
        <w:tc>
          <w:tcPr>
            <w:tcW w:w="3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Dividends declared (note 8)</w:t>
            </w:r>
          </w:p>
        </w:tc>
        <w:tc>
          <w:tcPr>
            <w:tcW w:w="34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(12,371)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(12,371)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70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2009</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54,086,150</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541</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$350,319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(23,305)</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327,555</w:t>
            </w:r>
          </w:p>
        </w:tc>
        <w:tc>
          <w:tcPr>
            <w:tcW w:w="0" w:type="dxa"/>
            <w:vAlign w:val="bottom"/>
          </w:tcPr>
          <w:p>
            <w:pPr>
              <w:spacing w:after="0"/>
              <w:rPr>
                <w:sz w:val="1"/>
                <w:szCs w:val="1"/>
                <w:color w:val="auto"/>
              </w:rPr>
            </w:pPr>
          </w:p>
        </w:tc>
      </w:tr>
      <w:tr>
        <w:trPr>
          <w:trHeight w:val="322"/>
        </w:trPr>
        <w:tc>
          <w:tcPr>
            <w:tcW w:w="2720" w:type="dxa"/>
            <w:vAlign w:val="bottom"/>
            <w:gridSpan w:val="2"/>
          </w:tcPr>
          <w:p>
            <w:pPr>
              <w:spacing w:after="0"/>
              <w:rPr>
                <w:sz w:val="20"/>
                <w:szCs w:val="20"/>
                <w:color w:val="auto"/>
              </w:rPr>
            </w:pPr>
            <w:r>
              <w:rPr>
                <w:rFonts w:ascii="Arial" w:cs="Arial" w:eastAsia="Arial" w:hAnsi="Arial"/>
                <w:sz w:val="18"/>
                <w:szCs w:val="18"/>
                <w:color w:val="auto"/>
              </w:rPr>
              <w:t>Restricted Stock Units (note 10)</w:t>
            </w:r>
          </w:p>
        </w:tc>
        <w:tc>
          <w:tcPr>
            <w:tcW w:w="344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626</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Shares issued (note 8)</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150,273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34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(1,672)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70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2010</w:t>
            </w:r>
          </w:p>
        </w:tc>
        <w:tc>
          <w:tcPr>
            <w:tcW w:w="3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54,236,423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542</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350,944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(24,977)</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326,509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700" w:type="dxa"/>
            <w:vAlign w:val="bottom"/>
            <w:gridSpan w:val="9"/>
          </w:tcPr>
          <w:p>
            <w:pPr>
              <w:jc w:val="right"/>
              <w:ind w:right="920"/>
              <w:spacing w:after="0"/>
              <w:rPr>
                <w:sz w:val="20"/>
                <w:szCs w:val="20"/>
                <w:color w:val="auto"/>
              </w:rPr>
            </w:pPr>
            <w:r>
              <w:rPr>
                <w:rFonts w:ascii="Arial" w:cs="Arial" w:eastAsia="Arial" w:hAnsi="Arial"/>
                <w:sz w:val="18"/>
                <w:szCs w:val="18"/>
                <w:color w:val="auto"/>
                <w:w w:val="90"/>
              </w:rPr>
              <w:t>See accompanying notes to interim unaudited consolidated financial statements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520" w:type="dxa"/>
            <w:vAlign w:val="bottom"/>
            <w:gridSpan w:val="3"/>
          </w:tcPr>
          <w:p>
            <w:pPr>
              <w:jc w:val="right"/>
              <w:ind w:right="1280"/>
              <w:spacing w:after="0"/>
              <w:rPr>
                <w:sz w:val="20"/>
                <w:szCs w:val="20"/>
                <w:color w:val="auto"/>
              </w:rPr>
            </w:pPr>
            <w:r>
              <w:rPr>
                <w:rFonts w:ascii="Arial" w:cs="Arial" w:eastAsia="Arial" w:hAnsi="Arial"/>
                <w:sz w:val="18"/>
                <w:szCs w:val="18"/>
                <w:color w:val="auto"/>
              </w:rPr>
              <w:t>Page 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1" w:name="page22"/>
    <w:bookmarkEnd w:id="21"/>
    <w:p>
      <w:pPr>
        <w:jc w:val="center"/>
        <w:ind w:right="-19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191"/>
        <w:spacing w:after="0"/>
        <w:rPr>
          <w:sz w:val="20"/>
          <w:szCs w:val="20"/>
          <w:color w:val="auto"/>
        </w:rPr>
      </w:pPr>
      <w:r>
        <w:rPr>
          <w:rFonts w:ascii="Arial" w:cs="Arial" w:eastAsia="Arial" w:hAnsi="Arial"/>
          <w:sz w:val="18"/>
          <w:szCs w:val="18"/>
          <w:b w:val="1"/>
          <w:bCs w:val="1"/>
          <w:color w:val="auto"/>
        </w:rPr>
        <w:t>Notes to the Interim Unaudited Consolidated Financial Statements</w:t>
      </w:r>
    </w:p>
    <w:p>
      <w:pPr>
        <w:spacing w:after="0" w:line="177"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(Expressed in thousands of U.S. dollars)</w:t>
      </w:r>
    </w:p>
    <w:p>
      <w:pPr>
        <w:spacing w:after="0" w:line="206" w:lineRule="exact"/>
        <w:rPr>
          <w:sz w:val="20"/>
          <w:szCs w:val="20"/>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96" w:lineRule="exact"/>
        <w:rPr>
          <w:rFonts w:ascii="Arial" w:cs="Arial" w:eastAsia="Arial" w:hAnsi="Arial"/>
          <w:sz w:val="18"/>
          <w:szCs w:val="18"/>
          <w:b w:val="1"/>
          <w:bCs w:val="1"/>
          <w:color w:val="auto"/>
        </w:rPr>
      </w:pPr>
    </w:p>
    <w:p>
      <w:pPr>
        <w:jc w:val="both"/>
        <w:ind w:left="452" w:right="6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On August 14, 2008, Global Ship Lease, Inc. (the “Company” or “GSL”) merged indirectly with Marathon Acquisition Corp. (“Marathon”), a company then listed on The American Stock Exchange. Following the merger, the Company became listed on the New York Stock Exchange on August 15, 2008.</w:t>
      </w:r>
    </w:p>
    <w:p>
      <w:pPr>
        <w:spacing w:after="0" w:line="177" w:lineRule="exact"/>
        <w:rPr>
          <w:rFonts w:ascii="Arial" w:cs="Arial" w:eastAsia="Arial" w:hAnsi="Arial"/>
          <w:sz w:val="18"/>
          <w:szCs w:val="18"/>
          <w:b w:val="1"/>
          <w:bCs w:val="1"/>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Basis of Preparation</w:t>
      </w:r>
    </w:p>
    <w:p>
      <w:pPr>
        <w:spacing w:after="0" w:line="90"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(a) Nature of Operations</w:t>
      </w:r>
    </w:p>
    <w:p>
      <w:pPr>
        <w:spacing w:after="0" w:line="96" w:lineRule="exact"/>
        <w:rPr>
          <w:sz w:val="20"/>
          <w:szCs w:val="20"/>
          <w:color w:val="auto"/>
        </w:rPr>
      </w:pPr>
    </w:p>
    <w:p>
      <w:pPr>
        <w:ind w:left="452"/>
        <w:spacing w:after="0" w:line="298" w:lineRule="auto"/>
        <w:rPr>
          <w:sz w:val="20"/>
          <w:szCs w:val="20"/>
          <w:color w:val="auto"/>
        </w:rPr>
      </w:pPr>
      <w:r>
        <w:rPr>
          <w:rFonts w:ascii="Arial" w:cs="Arial" w:eastAsia="Arial" w:hAnsi="Arial"/>
          <w:sz w:val="16"/>
          <w:szCs w:val="16"/>
          <w:color w:val="auto"/>
        </w:rPr>
        <w:t>The Company has a business of owning and chartering out containerships under long term time charters. All vessels in operation are time chartered to CMA CGM for remaining terms as at June 30, 2010 ranging from 2.50 to 15.50 years. The Company has also entered into an agreement with German interests to purchase in the fourth quarter of 2010 two newbuildings for approximately $77,000 per vessel. The Company has an agreement to charter out these vessels to ZIM Integrated Shipping Services Limited (“ZIM”) for a period of seven years that could be extended to eight years at ZIM’s option.</w:t>
      </w:r>
    </w:p>
    <w:p>
      <w:pPr>
        <w:spacing w:after="0" w:line="32" w:lineRule="exact"/>
        <w:rPr>
          <w:sz w:val="20"/>
          <w:szCs w:val="20"/>
          <w:color w:val="auto"/>
        </w:rPr>
      </w:pPr>
    </w:p>
    <w:p>
      <w:pPr>
        <w:ind w:left="452" w:right="140"/>
        <w:spacing w:after="0" w:line="268" w:lineRule="auto"/>
        <w:rPr>
          <w:sz w:val="20"/>
          <w:szCs w:val="20"/>
          <w:color w:val="auto"/>
        </w:rPr>
      </w:pPr>
      <w:r>
        <w:rPr>
          <w:rFonts w:ascii="Arial" w:cs="Arial" w:eastAsia="Arial" w:hAnsi="Arial"/>
          <w:sz w:val="18"/>
          <w:szCs w:val="18"/>
          <w:color w:val="auto"/>
        </w:rPr>
        <w:t>The following table provides information about the 17 vessels chartered to CMA CGM and which are reflected in these interim unaudited consolidated financial statements:</w:t>
      </w:r>
    </w:p>
    <w:p>
      <w:pPr>
        <w:spacing w:after="0" w:line="156"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Charter</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Capacity</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Purchase Date</w:t>
            </w:r>
          </w:p>
        </w:tc>
        <w:tc>
          <w:tcPr>
            <w:tcW w:w="4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Remaining</w:t>
            </w:r>
          </w:p>
        </w:tc>
        <w:tc>
          <w:tcPr>
            <w:tcW w:w="20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94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8"/>
              </w:rPr>
              <w:t>in TEUs</w:t>
            </w: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Duration</w:t>
            </w:r>
          </w:p>
        </w:tc>
        <w:tc>
          <w:tcPr>
            <w:tcW w:w="200" w:type="dxa"/>
            <w:vAlign w:val="bottom"/>
          </w:tcPr>
          <w:p>
            <w:pPr>
              <w:spacing w:after="0"/>
              <w:rPr>
                <w:sz w:val="11"/>
                <w:szCs w:val="11"/>
                <w:color w:val="auto"/>
              </w:rPr>
            </w:pPr>
          </w:p>
        </w:tc>
        <w:tc>
          <w:tcPr>
            <w:tcW w:w="60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68"/>
        </w:trPr>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520" w:type="dxa"/>
            <w:vAlign w:val="bottom"/>
          </w:tcPr>
          <w:p>
            <w:pPr>
              <w:jc w:val="center"/>
              <w:spacing w:after="0"/>
              <w:rPr>
                <w:sz w:val="20"/>
                <w:szCs w:val="20"/>
                <w:color w:val="auto"/>
              </w:rPr>
            </w:pPr>
            <w:r>
              <w:rPr>
                <w:rFonts w:ascii="Arial" w:cs="Arial" w:eastAsia="Arial" w:hAnsi="Arial"/>
                <w:sz w:val="11"/>
                <w:szCs w:val="11"/>
                <w:b w:val="1"/>
                <w:bCs w:val="1"/>
                <w:color w:val="auto"/>
              </w:rPr>
              <w:t>(1)</w:t>
            </w:r>
          </w:p>
        </w:tc>
        <w:tc>
          <w:tcPr>
            <w:tcW w:w="42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5"/>
              </w:rPr>
              <w:t>Year Built</w:t>
            </w:r>
          </w:p>
        </w:tc>
        <w:tc>
          <w:tcPr>
            <w:tcW w:w="1120" w:type="dxa"/>
            <w:vAlign w:val="bottom"/>
          </w:tcPr>
          <w:p>
            <w:pPr>
              <w:jc w:val="center"/>
              <w:spacing w:after="0" w:line="168" w:lineRule="exact"/>
              <w:rPr>
                <w:sz w:val="20"/>
                <w:szCs w:val="20"/>
                <w:color w:val="auto"/>
              </w:rPr>
            </w:pPr>
            <w:r>
              <w:rPr>
                <w:rFonts w:ascii="Arial" w:cs="Arial" w:eastAsia="Arial" w:hAnsi="Arial"/>
                <w:sz w:val="12"/>
                <w:szCs w:val="12"/>
                <w:b w:val="1"/>
                <w:bCs w:val="1"/>
                <w:color w:val="auto"/>
              </w:rPr>
              <w:t>by GSL</w:t>
            </w:r>
            <w:r>
              <w:rPr>
                <w:rFonts w:ascii="Arial" w:cs="Arial" w:eastAsia="Arial" w:hAnsi="Arial"/>
                <w:sz w:val="19"/>
                <w:szCs w:val="19"/>
                <w:b w:val="1"/>
                <w:bCs w:val="1"/>
                <w:color w:val="auto"/>
                <w:vertAlign w:val="superscript"/>
              </w:rPr>
              <w:t>(2)</w:t>
            </w:r>
          </w:p>
        </w:tc>
        <w:tc>
          <w:tcPr>
            <w:tcW w:w="4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(years)</w:t>
            </w:r>
          </w:p>
        </w:tc>
        <w:tc>
          <w:tcPr>
            <w:tcW w:w="20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Rate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Ville d’Orion</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4,113</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1997</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$28.500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Ville d’Aquarius</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4,113</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1996</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18"/>
                <w:szCs w:val="18"/>
                <w:color w:val="auto"/>
              </w:rPr>
            </w:pPr>
          </w:p>
        </w:tc>
        <w:tc>
          <w:tcPr>
            <w:tcW w:w="7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2,262</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1999</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2,262</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1999</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6.50</w:t>
            </w:r>
          </w:p>
        </w:tc>
        <w:tc>
          <w:tcPr>
            <w:tcW w:w="200" w:type="dxa"/>
            <w:vAlign w:val="bottom"/>
          </w:tcPr>
          <w:p>
            <w:pPr>
              <w:spacing w:after="0"/>
              <w:rPr>
                <w:sz w:val="18"/>
                <w:szCs w:val="18"/>
                <w:color w:val="auto"/>
              </w:rPr>
            </w:pPr>
          </w:p>
        </w:tc>
        <w:tc>
          <w:tcPr>
            <w:tcW w:w="7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2,207</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2003</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2,207</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2002</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7.50</w:t>
            </w:r>
          </w:p>
        </w:tc>
        <w:tc>
          <w:tcPr>
            <w:tcW w:w="200" w:type="dxa"/>
            <w:vAlign w:val="bottom"/>
          </w:tcPr>
          <w:p>
            <w:pPr>
              <w:spacing w:after="0"/>
              <w:rPr>
                <w:sz w:val="18"/>
                <w:szCs w:val="18"/>
                <w:color w:val="auto"/>
              </w:rPr>
            </w:pPr>
          </w:p>
        </w:tc>
        <w:tc>
          <w:tcPr>
            <w:tcW w:w="7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2,207</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2002</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2,207</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2002</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7.50</w:t>
            </w:r>
          </w:p>
        </w:tc>
        <w:tc>
          <w:tcPr>
            <w:tcW w:w="200" w:type="dxa"/>
            <w:vAlign w:val="bottom"/>
          </w:tcPr>
          <w:p>
            <w:pPr>
              <w:spacing w:after="0"/>
              <w:rPr>
                <w:sz w:val="18"/>
                <w:szCs w:val="18"/>
                <w:color w:val="auto"/>
              </w:rPr>
            </w:pPr>
          </w:p>
        </w:tc>
        <w:tc>
          <w:tcPr>
            <w:tcW w:w="7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2,272</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2001</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2,272</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2001</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6.50</w:t>
            </w:r>
          </w:p>
        </w:tc>
        <w:tc>
          <w:tcPr>
            <w:tcW w:w="200" w:type="dxa"/>
            <w:vAlign w:val="bottom"/>
          </w:tcPr>
          <w:p>
            <w:pPr>
              <w:spacing w:after="0"/>
              <w:rPr>
                <w:sz w:val="18"/>
                <w:szCs w:val="18"/>
                <w:color w:val="auto"/>
              </w:rPr>
            </w:pPr>
          </w:p>
        </w:tc>
        <w:tc>
          <w:tcPr>
            <w:tcW w:w="7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5,100</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2007</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January 2008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$33.750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CMA CGM Château d’lf</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5,100</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2007</w:t>
            </w: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January 2008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10.50</w:t>
            </w:r>
          </w:p>
        </w:tc>
        <w:tc>
          <w:tcPr>
            <w:tcW w:w="200" w:type="dxa"/>
            <w:vAlign w:val="bottom"/>
          </w:tcPr>
          <w:p>
            <w:pPr>
              <w:spacing w:after="0"/>
              <w:rPr>
                <w:sz w:val="18"/>
                <w:szCs w:val="18"/>
                <w:color w:val="auto"/>
              </w:rPr>
            </w:pPr>
          </w:p>
        </w:tc>
        <w:tc>
          <w:tcPr>
            <w:tcW w:w="7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$33.750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0"/>
              </w:rPr>
              <w:t>10,960</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2008</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$47.200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4,298</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2006</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12.50</w:t>
            </w:r>
          </w:p>
        </w:tc>
        <w:tc>
          <w:tcPr>
            <w:tcW w:w="200" w:type="dxa"/>
            <w:vAlign w:val="bottom"/>
          </w:tcPr>
          <w:p>
            <w:pPr>
              <w:spacing w:after="0"/>
              <w:rPr>
                <w:sz w:val="18"/>
                <w:szCs w:val="18"/>
                <w:color w:val="auto"/>
              </w:rPr>
            </w:pPr>
          </w:p>
        </w:tc>
        <w:tc>
          <w:tcPr>
            <w:tcW w:w="7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4,045</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2006</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4,045</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2006</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12.50</w:t>
            </w:r>
          </w:p>
        </w:tc>
        <w:tc>
          <w:tcPr>
            <w:tcW w:w="200" w:type="dxa"/>
            <w:vAlign w:val="bottom"/>
          </w:tcPr>
          <w:p>
            <w:pPr>
              <w:spacing w:after="0"/>
              <w:rPr>
                <w:sz w:val="18"/>
                <w:szCs w:val="18"/>
                <w:color w:val="auto"/>
              </w:rPr>
            </w:pPr>
          </w:p>
        </w:tc>
        <w:tc>
          <w:tcPr>
            <w:tcW w:w="7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6,627</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2001</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August 2009</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11.25</w:t>
            </w: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$34.000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892" w:hanging="446"/>
        <w:spacing w:after="0"/>
        <w:tabs>
          <w:tab w:leader="none" w:pos="892"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5" w:lineRule="exact"/>
        <w:rPr>
          <w:rFonts w:ascii="Arial" w:cs="Arial" w:eastAsia="Arial" w:hAnsi="Arial"/>
          <w:sz w:val="18"/>
          <w:szCs w:val="18"/>
          <w:i w:val="1"/>
          <w:iCs w:val="1"/>
          <w:color w:val="auto"/>
        </w:rPr>
      </w:pPr>
    </w:p>
    <w:p>
      <w:pPr>
        <w:ind w:left="892" w:hanging="446"/>
        <w:spacing w:after="0"/>
        <w:tabs>
          <w:tab w:leader="none" w:pos="892"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The table shows purchase dates of vessels related to the Company’s time charter business.</w:t>
      </w:r>
    </w:p>
    <w:p>
      <w:pPr>
        <w:spacing w:after="0" w:line="165" w:lineRule="exact"/>
        <w:rPr>
          <w:sz w:val="20"/>
          <w:szCs w:val="20"/>
          <w:color w:val="auto"/>
        </w:rPr>
      </w:pPr>
    </w:p>
    <w:p>
      <w:pPr>
        <w:ind w:left="452" w:right="60"/>
        <w:spacing w:after="0" w:line="268" w:lineRule="auto"/>
        <w:rPr>
          <w:sz w:val="20"/>
          <w:szCs w:val="20"/>
          <w:color w:val="auto"/>
        </w:rPr>
      </w:pPr>
      <w:r>
        <w:rPr>
          <w:rFonts w:ascii="Arial" w:cs="Arial" w:eastAsia="Arial" w:hAnsi="Arial"/>
          <w:sz w:val="18"/>
          <w:szCs w:val="18"/>
          <w:color w:val="auto"/>
        </w:rPr>
        <w:t>The following table provides information about the contracted fleet not reflected in these interim unaudited consolidated financial statements, other than deposits paid:</w:t>
      </w:r>
    </w:p>
    <w:p>
      <w:pPr>
        <w:spacing w:after="0" w:line="156"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5"/>
              </w:rPr>
              <w:t>Capacity</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6"/>
              </w:rPr>
              <w:t>Estimated</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Charter</w:t>
            </w:r>
          </w:p>
        </w:tc>
        <w:tc>
          <w:tcPr>
            <w:tcW w:w="18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520" w:type="dxa"/>
            <w:vAlign w:val="bottom"/>
          </w:tcPr>
          <w:p>
            <w:pPr>
              <w:jc w:val="right"/>
              <w:ind w:right="125"/>
              <w:spacing w:after="0" w:line="135" w:lineRule="exact"/>
              <w:rPr>
                <w:sz w:val="20"/>
                <w:szCs w:val="20"/>
                <w:color w:val="auto"/>
              </w:rPr>
            </w:pPr>
            <w:r>
              <w:rPr>
                <w:rFonts w:ascii="Arial" w:cs="Arial" w:eastAsia="Arial" w:hAnsi="Arial"/>
                <w:sz w:val="14"/>
                <w:szCs w:val="14"/>
                <w:b w:val="1"/>
                <w:bCs w:val="1"/>
                <w:color w:val="auto"/>
              </w:rPr>
              <w:t>in</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Delivery Date</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Duration</w:t>
            </w:r>
          </w:p>
        </w:tc>
        <w:tc>
          <w:tcPr>
            <w:tcW w:w="180" w:type="dxa"/>
            <w:vAlign w:val="bottom"/>
          </w:tcPr>
          <w:p>
            <w:pPr>
              <w:spacing w:after="0"/>
              <w:rPr>
                <w:sz w:val="11"/>
                <w:szCs w:val="11"/>
                <w:color w:val="auto"/>
              </w:rPr>
            </w:pPr>
          </w:p>
        </w:tc>
        <w:tc>
          <w:tcPr>
            <w:tcW w:w="60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76"/>
        </w:trPr>
        <w:tc>
          <w:tcPr>
            <w:tcW w:w="490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520" w:type="dxa"/>
            <w:vAlign w:val="bottom"/>
          </w:tcPr>
          <w:p>
            <w:pPr>
              <w:jc w:val="right"/>
              <w:spacing w:after="0" w:line="176" w:lineRule="exact"/>
              <w:rPr>
                <w:sz w:val="20"/>
                <w:szCs w:val="20"/>
                <w:color w:val="auto"/>
              </w:rPr>
            </w:pPr>
            <w:r>
              <w:rPr>
                <w:rFonts w:ascii="Arial" w:cs="Arial" w:eastAsia="Arial" w:hAnsi="Arial"/>
                <w:sz w:val="13"/>
                <w:szCs w:val="13"/>
                <w:b w:val="1"/>
                <w:bCs w:val="1"/>
                <w:color w:val="auto"/>
                <w:w w:val="90"/>
              </w:rPr>
              <w:t xml:space="preserve">TEUs </w:t>
            </w:r>
            <w:r>
              <w:rPr>
                <w:rFonts w:ascii="Arial" w:cs="Arial" w:eastAsia="Arial" w:hAnsi="Arial"/>
                <w:sz w:val="20"/>
                <w:szCs w:val="20"/>
                <w:b w:val="1"/>
                <w:bCs w:val="1"/>
                <w:color w:val="auto"/>
                <w:w w:val="90"/>
                <w:vertAlign w:val="superscript"/>
              </w:rPr>
              <w:t>(1)</w:t>
            </w:r>
          </w:p>
        </w:tc>
        <w:tc>
          <w:tcPr>
            <w:tcW w:w="30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8"/>
              </w:rPr>
              <w:t>Year Built</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to GSL</w:t>
            </w:r>
          </w:p>
        </w:tc>
        <w:tc>
          <w:tcPr>
            <w:tcW w:w="2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1"/>
              </w:rPr>
              <w:t>Charterer</w:t>
            </w:r>
          </w:p>
        </w:tc>
        <w:tc>
          <w:tcPr>
            <w:tcW w:w="300" w:type="dxa"/>
            <w:vAlign w:val="bottom"/>
          </w:tcPr>
          <w:p>
            <w:pPr>
              <w:spacing w:after="0"/>
              <w:rPr>
                <w:sz w:val="15"/>
                <w:szCs w:val="15"/>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(years)</w:t>
            </w:r>
          </w:p>
        </w:tc>
        <w:tc>
          <w:tcPr>
            <w:tcW w:w="180" w:type="dxa"/>
            <w:vAlign w:val="bottom"/>
          </w:tcPr>
          <w:p>
            <w:pPr>
              <w:spacing w:after="0"/>
              <w:rPr>
                <w:sz w:val="15"/>
                <w:szCs w:val="15"/>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Rate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Hull 789 </w:t>
            </w:r>
            <w:r>
              <w:rPr>
                <w:rFonts w:ascii="Arial" w:cs="Arial" w:eastAsia="Arial" w:hAnsi="Arial"/>
                <w:sz w:val="11"/>
                <w:szCs w:val="11"/>
                <w:color w:val="auto"/>
              </w:rPr>
              <w:t>(2)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2010</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2010</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ZIM</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xml:space="preserve">7-8 </w:t>
            </w:r>
            <w:r>
              <w:rPr>
                <w:rFonts w:ascii="Arial" w:cs="Arial" w:eastAsia="Arial" w:hAnsi="Arial"/>
                <w:sz w:val="11"/>
                <w:szCs w:val="11"/>
                <w:color w:val="auto"/>
              </w:rPr>
              <w:t>(3)</w:t>
            </w:r>
          </w:p>
        </w:tc>
        <w:tc>
          <w:tcPr>
            <w:tcW w:w="7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$28.000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 xml:space="preserve">Hull 790 </w:t>
            </w:r>
            <w:r>
              <w:rPr>
                <w:rFonts w:ascii="Arial" w:cs="Arial" w:eastAsia="Arial" w:hAnsi="Arial"/>
                <w:sz w:val="11"/>
                <w:szCs w:val="11"/>
                <w:color w:val="auto"/>
              </w:rPr>
              <w:t>(2)</w:t>
            </w:r>
          </w:p>
        </w:tc>
        <w:tc>
          <w:tcPr>
            <w:tcW w:w="520" w:type="dxa"/>
            <w:vAlign w:val="bottom"/>
          </w:tcPr>
          <w:p>
            <w:pPr>
              <w:jc w:val="right"/>
              <w:spacing w:after="0"/>
              <w:rPr>
                <w:sz w:val="20"/>
                <w:szCs w:val="20"/>
                <w:color w:val="auto"/>
              </w:rPr>
            </w:pPr>
            <w:r>
              <w:rPr>
                <w:rFonts w:ascii="Arial" w:cs="Arial" w:eastAsia="Arial" w:hAnsi="Arial"/>
                <w:sz w:val="18"/>
                <w:szCs w:val="18"/>
                <w:color w:val="auto"/>
              </w:rPr>
              <w:t>4,250</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2010</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2010</w:t>
            </w:r>
          </w:p>
        </w:tc>
        <w:tc>
          <w:tcPr>
            <w:tcW w:w="28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ZIM</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 xml:space="preserve">7-8 </w:t>
            </w:r>
            <w:r>
              <w:rPr>
                <w:rFonts w:ascii="Arial" w:cs="Arial" w:eastAsia="Arial" w:hAnsi="Arial"/>
                <w:sz w:val="11"/>
                <w:szCs w:val="11"/>
                <w:color w:val="auto"/>
              </w:rPr>
              <w:t>(3)</w:t>
            </w:r>
          </w:p>
        </w:tc>
        <w:tc>
          <w:tcPr>
            <w:tcW w:w="76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$28.000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892" w:hanging="446"/>
        <w:spacing w:after="0"/>
        <w:tabs>
          <w:tab w:leader="none" w:pos="892"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5" w:lineRule="exact"/>
        <w:rPr>
          <w:rFonts w:ascii="Arial" w:cs="Arial" w:eastAsia="Arial" w:hAnsi="Arial"/>
          <w:sz w:val="18"/>
          <w:szCs w:val="18"/>
          <w:i w:val="1"/>
          <w:iCs w:val="1"/>
          <w:color w:val="auto"/>
        </w:rPr>
      </w:pPr>
    </w:p>
    <w:p>
      <w:pPr>
        <w:ind w:left="892" w:hanging="446"/>
        <w:spacing w:after="0"/>
        <w:tabs>
          <w:tab w:leader="none" w:pos="892"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Contracted to be purchased from German interests (note 7).</w:t>
      </w:r>
    </w:p>
    <w:p>
      <w:pPr>
        <w:spacing w:after="0" w:line="9" w:lineRule="exact"/>
        <w:rPr>
          <w:rFonts w:ascii="Arial" w:cs="Arial" w:eastAsia="Arial" w:hAnsi="Arial"/>
          <w:sz w:val="18"/>
          <w:szCs w:val="18"/>
          <w:i w:val="1"/>
          <w:iCs w:val="1"/>
          <w:color w:val="auto"/>
        </w:rPr>
      </w:pPr>
    </w:p>
    <w:p>
      <w:pPr>
        <w:ind w:left="892" w:hanging="446"/>
        <w:spacing w:after="0"/>
        <w:tabs>
          <w:tab w:leader="none" w:pos="892"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Seven years charter that could be extended to eight years at Charterer’s option.</w:t>
      </w:r>
    </w:p>
    <w:p>
      <w:pPr>
        <w:spacing w:after="0" w:line="151"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212"/>
          </w:cols>
          <w:pgMar w:left="248" w:top="274" w:right="439" w:bottom="1440" w:gutter="0" w:footer="0" w:header="0"/>
        </w:sectPr>
      </w:pPr>
    </w:p>
    <w:bookmarkStart w:id="22" w:name="page23"/>
    <w:bookmarkEnd w:id="22"/>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Global Ship Lease, Inc.</w:t>
      </w:r>
    </w:p>
    <w:p>
      <w:pPr>
        <w:spacing w:after="0" w:line="17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the Interim Unaudited Consolidated Financial Statements</w:t>
      </w:r>
    </w:p>
    <w:p>
      <w:pPr>
        <w:spacing w:after="0" w:line="17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Basis of Preparation (continued)</w:t>
      </w:r>
    </w:p>
    <w:p>
      <w:pPr>
        <w:spacing w:after="0" w:line="158"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(b) Basis of Preparation</w:t>
      </w:r>
    </w:p>
    <w:p>
      <w:pPr>
        <w:spacing w:after="0" w:line="96" w:lineRule="exact"/>
        <w:rPr>
          <w:sz w:val="20"/>
          <w:szCs w:val="20"/>
          <w:color w:val="auto"/>
        </w:rPr>
      </w:pPr>
    </w:p>
    <w:p>
      <w:pPr>
        <w:ind w:left="452" w:right="140"/>
        <w:spacing w:after="0" w:line="255" w:lineRule="auto"/>
        <w:rPr>
          <w:sz w:val="20"/>
          <w:szCs w:val="20"/>
          <w:color w:val="auto"/>
        </w:rPr>
      </w:pPr>
      <w:r>
        <w:rPr>
          <w:rFonts w:ascii="Arial" w:cs="Arial" w:eastAsia="Arial" w:hAnsi="Arial"/>
          <w:sz w:val="18"/>
          <w:szCs w:val="18"/>
          <w:color w:val="auto"/>
        </w:rPr>
        <w:t>CMA CGM, the Company’s sole source of operating revenue, announced in September 2009 that it and its lenders were exploring a potential financial restructuring to address its short and medium term financing requirements and that it was seeking to reduce and in some cases cancel certain ship deliveries. The Company is not involved in these discussions. The Company has experienced increased delays in receiving charterhire from CMA CGM, where between one and three instalments have been outstanding. Under the charter contracts charterhire is due to be paid every 15 days in advance on the 1</w:t>
      </w:r>
      <w:r>
        <w:rPr>
          <w:rFonts w:ascii="Arial" w:cs="Arial" w:eastAsia="Arial" w:hAnsi="Arial"/>
          <w:sz w:val="11"/>
          <w:szCs w:val="11"/>
          <w:color w:val="auto"/>
        </w:rPr>
        <w:t>st</w:t>
      </w:r>
      <w:r>
        <w:rPr>
          <w:rFonts w:ascii="Arial" w:cs="Arial" w:eastAsia="Arial" w:hAnsi="Arial"/>
          <w:sz w:val="18"/>
          <w:szCs w:val="18"/>
          <w:color w:val="auto"/>
        </w:rPr>
        <w:t xml:space="preserve"> and 16</w:t>
      </w:r>
      <w:r>
        <w:rPr>
          <w:rFonts w:ascii="Arial" w:cs="Arial" w:eastAsia="Arial" w:hAnsi="Arial"/>
          <w:sz w:val="11"/>
          <w:szCs w:val="11"/>
          <w:color w:val="auto"/>
        </w:rPr>
        <w:t>th</w:t>
      </w:r>
      <w:r>
        <w:rPr>
          <w:rFonts w:ascii="Arial" w:cs="Arial" w:eastAsia="Arial" w:hAnsi="Arial"/>
          <w:sz w:val="18"/>
          <w:szCs w:val="18"/>
          <w:color w:val="auto"/>
        </w:rPr>
        <w:t xml:space="preserve"> of each month.</w:t>
      </w:r>
    </w:p>
    <w:p>
      <w:pPr>
        <w:spacing w:after="0" w:line="62" w:lineRule="exact"/>
        <w:rPr>
          <w:sz w:val="20"/>
          <w:szCs w:val="20"/>
          <w:color w:val="auto"/>
        </w:rPr>
      </w:pPr>
    </w:p>
    <w:p>
      <w:pPr>
        <w:ind w:left="452" w:right="300"/>
        <w:spacing w:after="0" w:line="259" w:lineRule="auto"/>
        <w:rPr>
          <w:sz w:val="20"/>
          <w:szCs w:val="20"/>
          <w:color w:val="auto"/>
        </w:rPr>
      </w:pPr>
      <w:r>
        <w:rPr>
          <w:rFonts w:ascii="Arial" w:cs="Arial" w:eastAsia="Arial" w:hAnsi="Arial"/>
          <w:sz w:val="18"/>
          <w:szCs w:val="18"/>
          <w:color w:val="auto"/>
        </w:rPr>
        <w:t>As at June 30, 2010, one period of charterhire, due on June 16, 2010, was outstanding amounting to $6.4 million. This was received in July 2010. As at close of business on August 10, 2010, the latest practicable date prior to the issuance of these interim unaudited consolidated financial statements, charterhire due on August 1, 2010 totalling approximately $6.4 million was outstanding.</w:t>
      </w:r>
    </w:p>
    <w:p>
      <w:pPr>
        <w:spacing w:after="0" w:line="59" w:lineRule="exact"/>
        <w:rPr>
          <w:sz w:val="20"/>
          <w:szCs w:val="20"/>
          <w:color w:val="auto"/>
        </w:rPr>
      </w:pPr>
    </w:p>
    <w:p>
      <w:pPr>
        <w:ind w:left="452" w:right="240"/>
        <w:spacing w:after="0" w:line="298" w:lineRule="auto"/>
        <w:rPr>
          <w:sz w:val="20"/>
          <w:szCs w:val="20"/>
          <w:color w:val="auto"/>
        </w:rPr>
      </w:pPr>
      <w:r>
        <w:rPr>
          <w:rFonts w:ascii="Arial" w:cs="Arial" w:eastAsia="Arial" w:hAnsi="Arial"/>
          <w:sz w:val="16"/>
          <w:szCs w:val="16"/>
          <w:color w:val="auto"/>
        </w:rPr>
        <w:t>The Company’s interim unaudited consolidated financial statements have been prepared on a going concern basis, which contemplates the realization of assets and the satisfaction of liabilities in the normal course of business. These interim unaudited consolidated financial statements do not include any adjustments relating to the recoverability and classification of recorded assets, nor to the amounts and classification of liabilities that may be necessary should the Company be unable to continue as a going concern.</w:t>
      </w:r>
    </w:p>
    <w:p>
      <w:pPr>
        <w:spacing w:after="0" w:line="32" w:lineRule="exact"/>
        <w:rPr>
          <w:sz w:val="20"/>
          <w:szCs w:val="20"/>
          <w:color w:val="auto"/>
        </w:rPr>
      </w:pPr>
    </w:p>
    <w:p>
      <w:pPr>
        <w:ind w:left="452"/>
        <w:spacing w:after="0" w:line="298" w:lineRule="auto"/>
        <w:rPr>
          <w:sz w:val="20"/>
          <w:szCs w:val="20"/>
          <w:color w:val="auto"/>
        </w:rPr>
      </w:pPr>
      <w:r>
        <w:rPr>
          <w:rFonts w:ascii="Arial" w:cs="Arial" w:eastAsia="Arial" w:hAnsi="Arial"/>
          <w:sz w:val="16"/>
          <w:szCs w:val="16"/>
          <w:color w:val="auto"/>
        </w:rPr>
        <w:t>If CMA CGM is unable to accomplish a financial restructuring and ceases doing business or otherwise fails to perform its obligations under the Company’s charters, Global Ship Lease’s business, financial position and results of operations would be materially adversely affected as it is probable that, should the Company be able to find replacement charters, these would be at significantly lower daily rates and for shorter durations than currently in place. In this situation there would be significant uncertainty about the Company’s ability to continue as a going concern.</w:t>
      </w:r>
    </w:p>
    <w:p>
      <w:pPr>
        <w:spacing w:after="0" w:line="228" w:lineRule="exact"/>
        <w:rPr>
          <w:sz w:val="20"/>
          <w:szCs w:val="20"/>
          <w:color w:val="auto"/>
        </w:rPr>
      </w:pPr>
    </w:p>
    <w:p>
      <w:pPr>
        <w:ind w:left="452" w:hanging="452"/>
        <w:spacing w:after="0"/>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and Disclosure</w:t>
      </w:r>
    </w:p>
    <w:p>
      <w:pPr>
        <w:spacing w:after="0" w:line="96" w:lineRule="exact"/>
        <w:rPr>
          <w:rFonts w:ascii="Arial" w:cs="Arial" w:eastAsia="Arial" w:hAnsi="Arial"/>
          <w:sz w:val="18"/>
          <w:szCs w:val="18"/>
          <w:b w:val="1"/>
          <w:bCs w:val="1"/>
          <w:color w:val="auto"/>
        </w:rPr>
      </w:pPr>
    </w:p>
    <w:p>
      <w:pPr>
        <w:ind w:left="452" w:right="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accompanying financial information is unaudited and reflects all adjustments, consisting solely of normal recurring adjustments, which, in the opinion of management, are necessary for a fair statement of financial position and results of operations for the interim periods presented. The results of operations for the period ended June 30, 2010 are not necessarily indicative of the results for the year ending December 31, 2010. The financial information does not include all disclosures required under United States Generally Accepted Accounting Principles (“US GAAP”) for annual financial statements. These interim unaudited consolidated financial statements should be read in conjunction with the Company’s financial statements as of December 31, 2009 filed with the Securities and Exchange Commission on May 18, 2010 in the Company’s Annual Report on Form 20-F.</w:t>
      </w:r>
    </w:p>
    <w:p>
      <w:pPr>
        <w:spacing w:after="0" w:line="20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Recently issued accounting standards</w:t>
      </w:r>
    </w:p>
    <w:p>
      <w:pPr>
        <w:spacing w:after="0" w:line="90" w:lineRule="exact"/>
        <w:rPr>
          <w:rFonts w:ascii="Arial" w:cs="Arial" w:eastAsia="Arial" w:hAnsi="Arial"/>
          <w:sz w:val="18"/>
          <w:szCs w:val="18"/>
          <w:b w:val="1"/>
          <w:bCs w:val="1"/>
          <w:color w:val="auto"/>
        </w:rPr>
      </w:pPr>
    </w:p>
    <w:p>
      <w:pPr>
        <w:ind w:left="452"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February 2010, the Financial Accounting Standards Board (“FASB”) issued an additional accounting pronouncement that amended certain requirements for subsequent events (FASB ASC Topic 855), which requires an SEC filer to evaluate subsequent events through the date the financial statements are available to be issued and removes the previous requirement to disclose the date through which subsequent events have been evaluated. The amendments were effective on issuance of the final pronouncement. The adoption of this pronouncement had no effect on the interim unaudited consolidated financial statements of the Company.</w:t>
      </w:r>
    </w:p>
    <w:p>
      <w:pPr>
        <w:spacing w:after="0" w:line="61" w:lineRule="exact"/>
        <w:rPr>
          <w:rFonts w:ascii="Arial" w:cs="Arial" w:eastAsia="Arial" w:hAnsi="Arial"/>
          <w:sz w:val="18"/>
          <w:szCs w:val="18"/>
          <w:b w:val="1"/>
          <w:bCs w:val="1"/>
          <w:color w:val="auto"/>
        </w:rPr>
      </w:pPr>
    </w:p>
    <w:p>
      <w:pPr>
        <w:ind w:left="452" w:right="1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Management do not believe that any recently issued, but not yet effective accounting pronouncements, if currently adopted, would have a material impact on the interim unaudited consolidated financial statements of the Company.</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392"/>
          </w:cols>
          <w:pgMar w:left="248" w:top="274" w:right="259" w:bottom="1440" w:gutter="0" w:footer="0" w:header="0"/>
        </w:sectPr>
      </w:pPr>
    </w:p>
    <w:bookmarkStart w:id="23" w:name="page24"/>
    <w:bookmarkEnd w:id="23"/>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Vessels in Operation, less Accumulated Depreciation</w:t>
      </w:r>
    </w:p>
    <w:p>
      <w:pPr>
        <w:spacing w:after="0" w:line="201"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June 30,</w:t>
            </w:r>
          </w:p>
        </w:tc>
        <w:tc>
          <w:tcPr>
            <w:tcW w:w="2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1,008,330</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1,007,500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(65,641)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(45,792)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942,689</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961,708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52" w:hanging="452"/>
        <w:spacing w:after="0"/>
        <w:tabs>
          <w:tab w:leader="none" w:pos="45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96" w:lineRule="exact"/>
        <w:rPr>
          <w:rFonts w:ascii="Arial" w:cs="Arial" w:eastAsia="Arial" w:hAnsi="Arial"/>
          <w:sz w:val="18"/>
          <w:szCs w:val="18"/>
          <w:b w:val="1"/>
          <w:bCs w:val="1"/>
          <w:color w:val="auto"/>
        </w:rPr>
      </w:pPr>
    </w:p>
    <w:p>
      <w:pPr>
        <w:ind w:left="452" w:right="42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In December 2007 the Company entered into an $800,000 senior secured credit facility with ABN Amro Bank (formerly Fortis Bank), Citibank, HSH Nordbank, Sumitomo Mitsui Banking Corporation, KFW and DnB Nor Bank. Subsequently, Bank of Scotland joined the syndicate.</w:t>
      </w:r>
    </w:p>
    <w:p>
      <w:pPr>
        <w:spacing w:after="0" w:line="4" w:lineRule="exact"/>
        <w:rPr>
          <w:rFonts w:ascii="Arial" w:cs="Arial" w:eastAsia="Arial" w:hAnsi="Arial"/>
          <w:sz w:val="18"/>
          <w:szCs w:val="18"/>
          <w:b w:val="1"/>
          <w:bCs w:val="1"/>
          <w:color w:val="auto"/>
        </w:rPr>
      </w:pPr>
    </w:p>
    <w:p>
      <w:pPr>
        <w:ind w:left="452" w:right="4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On February 10, 2009 the Company announced it had amended the terms of the original agreement in response to significant decreases in market values of containerships and the consequent implications on the loan to value covenant in the credit facility. The amended agreement increased temporarily the permitted maximum loan to value to 100% (previously 75%) applicable for test dates up to and including April 30, 2010. Loan to value is the ratio of the balance outstanding on the credit facility to the aggregate charter free market value of the secured vessels, determined in April and November each year. The margin applicable on interest payable under the credit facility varied from 1.25% to 2.75% over Libor depending on the loan to value. The Company also paid a commitment fee of 0.50% per annum based on the undrawn portion of the credit facility (0.25% per annum up to February 10, 2009). During this period, the Company had no restrictions on its ability to distribute dividends unless the loan to value exceeded 90%, at which point the Company would have been required to place 50% of its quarterly cash available for distribution in a pledged account. The pledged account would be released back to the Company if loan to value fell back below 90% during a subsequent valuation period. If the loan to value ratio exceeded 100%, the Company may have been required to prepay the loan or provide additional security to reduce the loan to value to below 100%. The credit facility amount of $800,000 was to be reduced by 19 equal quarterly instalments, based on the market value weighted average age of the secured vessels compared to 18 years, commencing in December 2011. The final maturity date of the credit facility continued to be August 14, 2016 at which point any remaining outstanding balance had to be repaid.</w:t>
      </w:r>
    </w:p>
    <w:p>
      <w:pPr>
        <w:spacing w:after="0" w:line="39" w:lineRule="exact"/>
        <w:rPr>
          <w:rFonts w:ascii="Arial" w:cs="Arial" w:eastAsia="Arial" w:hAnsi="Arial"/>
          <w:sz w:val="18"/>
          <w:szCs w:val="18"/>
          <w:b w:val="1"/>
          <w:bCs w:val="1"/>
          <w:color w:val="auto"/>
        </w:rPr>
      </w:pPr>
    </w:p>
    <w:p>
      <w:pPr>
        <w:ind w:left="452" w:right="1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On April 29, 2009, the Company agreed with the lenders that no loan to value tests would be performed pending agreement of a further amendment to the credit facility in response to further deterioration in market values of containerships. The margin applicable during this waiver period was 2.75% and the Company agreed that no dividends would be declared or paid on common shares during this time. The waiver period was extended on June 25, 2009 and again on July 30, 2009 through until August 31, 2009.</w:t>
      </w:r>
    </w:p>
    <w:p>
      <w:pPr>
        <w:spacing w:after="0" w:line="62" w:lineRule="exact"/>
        <w:rPr>
          <w:rFonts w:ascii="Arial" w:cs="Arial" w:eastAsia="Arial" w:hAnsi="Arial"/>
          <w:sz w:val="18"/>
          <w:szCs w:val="18"/>
          <w:b w:val="1"/>
          <w:bCs w:val="1"/>
          <w:color w:val="auto"/>
        </w:rPr>
      </w:pPr>
    </w:p>
    <w:p>
      <w:pPr>
        <w:ind w:left="452" w:right="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On August 20, 2009, the Company further amended the terms of the credit facility. Under the revised terms of the credit facility, the loan to value covenant has been waived up to and including November 30, 2010 with the next loan to value test scheduled for April 30, 2011. Further, the amendment enabled the Company to borrow $57,000 under the credit facility including a $15,000 newly created Over Advance Portion (“OAP Loan”) to allow the purchase of the CMA CGM Berlioz on August 26, 2009. The balance of the $82,000 vessel purchase price was funded by cash. Amounts borrowed under the amended credit facility bear interest at Libor plus a fixed margin of 3.50% up to November 30, 2010. Thereafter, the margin will be between 2.50% and 3.50% depending on the loan to value, to be determined at the end of April and November each year.</w:t>
      </w:r>
    </w:p>
    <w:p>
      <w:pPr>
        <w:spacing w:after="0" w:line="39" w:lineRule="exact"/>
        <w:rPr>
          <w:rFonts w:ascii="Arial" w:cs="Arial" w:eastAsia="Arial" w:hAnsi="Arial"/>
          <w:sz w:val="18"/>
          <w:szCs w:val="18"/>
          <w:b w:val="1"/>
          <w:bCs w:val="1"/>
          <w:color w:val="auto"/>
        </w:rPr>
      </w:pPr>
    </w:p>
    <w:p>
      <w:pPr>
        <w:ind w:left="452"/>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Under the amendment, all undrawn commitments of $200,900 were cancelled after the delivery of the CMA CGM Berlioz. No further commitment fees are payable subsequent to the cancellation of the undrawn commitments. The commitment fee in the three months and six months ended June 30, 2010 amounted to $nil (2009: $325) and $nil (2009: $578) respectively. The Company may not declare or pay dividends to common shareholders during the period up to November 30, 2010 or thereafter until the loan to value is at or below 75%.</w:t>
      </w:r>
    </w:p>
    <w:p>
      <w:pPr>
        <w:spacing w:after="0" w:line="62"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 OAP loan was fully repaid in two instalments in November 2009 and February 2010.</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12"/>
          </w:cols>
          <w:pgMar w:left="248" w:top="274" w:right="239" w:bottom="1440" w:gutter="0" w:footer="0" w:header="0"/>
        </w:sectPr>
      </w:pPr>
    </w:p>
    <w:bookmarkStart w:id="24" w:name="page25"/>
    <w:bookmarkEnd w:id="24"/>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(continued)</w:t>
      </w:r>
    </w:p>
    <w:p>
      <w:pPr>
        <w:spacing w:after="0" w:line="163"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6"/>
          <w:szCs w:val="16"/>
          <w:color w:val="auto"/>
        </w:rPr>
        <w:t>Commencing June 30, 2010 the balance of borrowings under the credit facility is to be repaid quarterly in an amount equal to free cash in excess of</w:t>
      </w:r>
    </w:p>
    <w:p>
      <w:pPr>
        <w:spacing w:after="0" w:line="38" w:lineRule="exact"/>
        <w:rPr>
          <w:rFonts w:ascii="Arial" w:cs="Arial" w:eastAsia="Arial" w:hAnsi="Arial"/>
          <w:sz w:val="18"/>
          <w:szCs w:val="18"/>
          <w:b w:val="1"/>
          <w:bCs w:val="1"/>
          <w:color w:val="auto"/>
        </w:rPr>
      </w:pPr>
    </w:p>
    <w:p>
      <w:pPr>
        <w:ind w:left="452" w:right="1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$20,000 determined as at the previous month end subject to a minimum of $40,000 repayment a year on a rolling 12 month trailing basis. A repayment of $30,959 of the credit facility was made on this basis on June 30, 2010. Once loan to value is at or below 75%, repayment of borrowings will become fixed at $10,000 per quarter. The final maturity date of the credit facility remains August 14, 2016 at which point any remaining outstanding balance must be repaid.</w:t>
      </w:r>
    </w:p>
    <w:p>
      <w:pPr>
        <w:spacing w:after="0" w:line="62" w:lineRule="exact"/>
        <w:rPr>
          <w:rFonts w:ascii="Arial" w:cs="Arial" w:eastAsia="Arial" w:hAnsi="Arial"/>
          <w:sz w:val="18"/>
          <w:szCs w:val="18"/>
          <w:b w:val="1"/>
          <w:bCs w:val="1"/>
          <w:color w:val="auto"/>
        </w:rPr>
      </w:pPr>
    </w:p>
    <w:p>
      <w:pPr>
        <w:ind w:left="452" w:right="10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As part of the August 20, 2009 amendment, CMA CGM has agreed to defer redemption of the $48,000 preferred shares it holds until after the final maturity of the credit facility in August 2016, subject to any earlier redemption from proceeds from the exercise of warrants (see note 8), and also to retain its current holding of approximately 24.4 million common shares in the Company until at least November 30, 2010.</w:t>
      </w:r>
    </w:p>
    <w:p>
      <w:pPr>
        <w:spacing w:after="0" w:line="25" w:lineRule="exact"/>
        <w:rPr>
          <w:rFonts w:ascii="Arial" w:cs="Arial" w:eastAsia="Arial" w:hAnsi="Arial"/>
          <w:sz w:val="18"/>
          <w:szCs w:val="18"/>
          <w:b w:val="1"/>
          <w:bCs w:val="1"/>
          <w:color w:val="auto"/>
        </w:rPr>
      </w:pPr>
    </w:p>
    <w:p>
      <w:pPr>
        <w:ind w:left="452" w:right="4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credit facility is secured by, inter alia, first priority mortgages on each of the vessels in the security package, a pledge of shares of the vessel owning subsidiaries as well as assignments of earnings and insurances. The financial covenants in the credit facility are: a) a minimum cash balance of the lower of $15,000 or six months net interest expense; b) net debt to total capitalization ratio not to exceed 75%; c) EBITDA to debt service, on a trailing four-quarter basis, to be no less than 1.10 to 1; and d) a minimum net worth of $200,000 (with all terms as defined in the credit facility).</w:t>
      </w:r>
    </w:p>
    <w:p>
      <w:pPr>
        <w:spacing w:after="0" w:line="31" w:lineRule="exact"/>
        <w:rPr>
          <w:rFonts w:ascii="Arial" w:cs="Arial" w:eastAsia="Arial" w:hAnsi="Arial"/>
          <w:sz w:val="18"/>
          <w:szCs w:val="18"/>
          <w:b w:val="1"/>
          <w:bCs w:val="1"/>
          <w:color w:val="auto"/>
        </w:rPr>
      </w:pPr>
    </w:p>
    <w:p>
      <w:pPr>
        <w:ind w:left="452" w:right="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As the borrowing capacity was reduced by the amendment dated February 10, 2009 a portion of the unamortized deferred financing costs at the date of the amendment was written off in proportion to the decrease in the borrowing capacity. This amounted to $176. The remaining unamortized deferred financing costs existing at the date of the amendment together with the additional $3,293 fees and related costs for the February 10, 2009 amendment are deferred and amortized over the remaining term of the credit agreement.</w:t>
      </w:r>
    </w:p>
    <w:p>
      <w:pPr>
        <w:spacing w:after="0" w:line="62" w:lineRule="exact"/>
        <w:rPr>
          <w:rFonts w:ascii="Arial" w:cs="Arial" w:eastAsia="Arial" w:hAnsi="Arial"/>
          <w:sz w:val="18"/>
          <w:szCs w:val="18"/>
          <w:b w:val="1"/>
          <w:bCs w:val="1"/>
          <w:color w:val="auto"/>
        </w:rPr>
      </w:pPr>
    </w:p>
    <w:p>
      <w:pPr>
        <w:ind w:left="452" w:right="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borrowing capacity was further reduced by the amendment dated August 20, 2009. An additional amount of $2,015 was written off in proportion to the further decrease in borrowing capacity. The remaining unamortized deferred financing costs at the date of this amendment and the $2,138 paid in fees and related costs paid for the August 20, 2009 amendment are deferred and amortized over the remaining term of the credit agreement.</w:t>
      </w:r>
    </w:p>
    <w:p>
      <w:pPr>
        <w:spacing w:after="0" w:line="25"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Long-term debt is summarized as follows:</w:t>
      </w:r>
    </w:p>
    <w:p>
      <w:pPr>
        <w:spacing w:after="0" w:line="195"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June 30,</w:t>
            </w:r>
          </w:p>
        </w:tc>
        <w:tc>
          <w:tcPr>
            <w:tcW w:w="1120" w:type="dxa"/>
            <w:vAlign w:val="bottom"/>
            <w:gridSpan w:val="4"/>
          </w:tcPr>
          <w:p>
            <w:pPr>
              <w:ind w:left="24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40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57"/>
              <w:spacing w:after="0"/>
              <w:rPr>
                <w:sz w:val="20"/>
                <w:szCs w:val="20"/>
                <w:color w:val="auto"/>
              </w:rPr>
            </w:pPr>
            <w:r>
              <w:rPr>
                <w:rFonts w:ascii="Arial" w:cs="Arial" w:eastAsia="Arial" w:hAnsi="Arial"/>
                <w:sz w:val="14"/>
                <w:szCs w:val="14"/>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at Libor USD + 2.5% to 3.5%</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$553,141</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588,192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Less current instalments of long-term debt</w:t>
            </w:r>
          </w:p>
        </w:tc>
        <w:tc>
          <w:tcPr>
            <w:tcW w:w="17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(60,300)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(68,300)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492,841</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519,892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52" w:right="20"/>
        <w:spacing w:after="0" w:line="259" w:lineRule="auto"/>
        <w:rPr>
          <w:sz w:val="20"/>
          <w:szCs w:val="20"/>
          <w:color w:val="auto"/>
        </w:rPr>
      </w:pPr>
      <w:r>
        <w:rPr>
          <w:rFonts w:ascii="Arial" w:cs="Arial" w:eastAsia="Arial" w:hAnsi="Arial"/>
          <w:sz w:val="18"/>
          <w:szCs w:val="18"/>
          <w:color w:val="auto"/>
        </w:rPr>
        <w:t>Repayments become fixed at $10,000 per quarter once loan to value is at or below 75% which, for the purposes of the following table, is assumed to be April 30, 2011, the next scheduled test date. Based on management’s reasonable estimates of excess cashflow, as at June 30, 2010 the estimated repayments in each of the relevant periods are as follows:</w:t>
      </w:r>
    </w:p>
    <w:p>
      <w:pPr>
        <w:spacing w:after="0" w:line="176" w:lineRule="exact"/>
        <w:rPr>
          <w:sz w:val="20"/>
          <w:szCs w:val="20"/>
          <w:color w:val="auto"/>
        </w:rPr>
      </w:pPr>
    </w:p>
    <w:tbl>
      <w:tblPr>
        <w:tblLayout w:type="fixed"/>
        <w:tblInd w:w="1832" w:type="dxa"/>
        <w:tblCellMar>
          <w:top w:w="0" w:type="dxa"/>
          <w:left w:w="0" w:type="dxa"/>
          <w:bottom w:w="0" w:type="dxa"/>
          <w:right w:w="0" w:type="dxa"/>
        </w:tblCellMar>
      </w:tblPr>
      <w:tr>
        <w:trPr>
          <w:trHeight w:val="174"/>
        </w:trPr>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Year ending June 30,</w:t>
            </w:r>
          </w:p>
        </w:tc>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2012</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2014</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Thereafter</w:t>
            </w:r>
          </w:p>
        </w:tc>
        <w:tc>
          <w:tcPr>
            <w:tcW w:w="2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332,841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553,141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52"/>
        <w:spacing w:after="0" w:line="306" w:lineRule="auto"/>
        <w:rPr>
          <w:sz w:val="20"/>
          <w:szCs w:val="20"/>
          <w:color w:val="auto"/>
        </w:rPr>
      </w:pPr>
      <w:r>
        <w:rPr>
          <w:rFonts w:ascii="Arial" w:cs="Arial" w:eastAsia="Arial" w:hAnsi="Arial"/>
          <w:sz w:val="16"/>
          <w:szCs w:val="16"/>
          <w:color w:val="auto"/>
        </w:rPr>
        <w:t>The amount of excess cash generated may vary significantly from management’s estimates and consequently the repayment profile of outstanding debt may be significantly different from that presented. Further, loan to value may not be at or below 75% as at April 30, 2011 in which case, assuming a continuation of the current waiver, prepayments will continue to be based on free cash in excess of $20,000 at the measurement dates.</w:t>
      </w:r>
    </w:p>
    <w:p>
      <w:pPr>
        <w:spacing w:after="0" w:line="9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12"/>
          </w:cols>
          <w:pgMar w:left="248" w:top="274" w:right="239" w:bottom="1440" w:gutter="0" w:footer="0" w:header="0"/>
        </w:sectPr>
      </w:pPr>
    </w:p>
    <w:bookmarkStart w:id="25" w:name="page26"/>
    <w:bookmarkEnd w:id="25"/>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96" w:lineRule="exact"/>
        <w:rPr>
          <w:rFonts w:ascii="Arial" w:cs="Arial" w:eastAsia="Arial" w:hAnsi="Arial"/>
          <w:sz w:val="18"/>
          <w:szCs w:val="18"/>
          <w:b w:val="1"/>
          <w:bCs w:val="1"/>
          <w:color w:val="auto"/>
        </w:rPr>
      </w:pPr>
    </w:p>
    <w:p>
      <w:pPr>
        <w:ind w:left="452" w:right="22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CMA CGM is presented as a related party as it was, until the merger, the parent company of Global Ship Lease, Inc. and at June 30, 2010 is a significant shareholder of the Company, owning Class A and Class B common shares representing a 45% voting interest in the Company.</w:t>
      </w:r>
    </w:p>
    <w:p>
      <w:pPr>
        <w:spacing w:after="0" w:line="4"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Amounts due to and from CMA CGM companies are summarized as follows:</w:t>
      </w:r>
    </w:p>
    <w:p>
      <w:pPr>
        <w:spacing w:after="0" w:line="195"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82"/>
              </w:rPr>
              <w:t>June 30,</w:t>
            </w:r>
          </w:p>
        </w:tc>
        <w:tc>
          <w:tcPr>
            <w:tcW w:w="1280" w:type="dxa"/>
            <w:vAlign w:val="bottom"/>
            <w:gridSpan w:val="3"/>
          </w:tcPr>
          <w:p>
            <w:pPr>
              <w:ind w:left="500"/>
              <w:spacing w:after="0"/>
              <w:rPr>
                <w:sz w:val="20"/>
                <w:szCs w:val="20"/>
                <w:color w:val="auto"/>
              </w:rPr>
            </w:pPr>
            <w:r>
              <w:rPr>
                <w:rFonts w:ascii="Arial" w:cs="Arial" w:eastAsia="Arial" w:hAnsi="Arial"/>
                <w:sz w:val="14"/>
                <w:szCs w:val="14"/>
                <w:color w:val="auto"/>
                <w:w w:val="8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2010</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 (below)</w:t>
            </w:r>
          </w:p>
        </w:tc>
        <w:tc>
          <w:tcPr>
            <w:tcW w:w="500" w:type="dxa"/>
            <w:vAlign w:val="bottom"/>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3,175</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23"/>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Amounts due to CMA CGM companies presented within liabilities</w:t>
            </w:r>
          </w:p>
        </w:tc>
        <w:tc>
          <w:tcPr>
            <w:tcW w:w="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3,175</w:t>
            </w: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8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 (below)</w:t>
            </w:r>
          </w:p>
        </w:tc>
        <w:tc>
          <w:tcPr>
            <w:tcW w:w="500" w:type="dxa"/>
            <w:vAlign w:val="bottom"/>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6,551</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7,838</w:t>
            </w:r>
          </w:p>
        </w:tc>
        <w:tc>
          <w:tcPr>
            <w:tcW w:w="0" w:type="dxa"/>
            <w:vAlign w:val="bottom"/>
          </w:tcPr>
          <w:p>
            <w:pPr>
              <w:spacing w:after="0"/>
              <w:rPr>
                <w:sz w:val="1"/>
                <w:szCs w:val="1"/>
                <w:color w:val="auto"/>
              </w:rPr>
            </w:pPr>
          </w:p>
        </w:tc>
      </w:tr>
      <w:tr>
        <w:trPr>
          <w:trHeight w:val="223"/>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Amounts due from CMA CGM companies presented within assets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6,551</w:t>
            </w: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52" w:right="460"/>
        <w:spacing w:after="0" w:line="357" w:lineRule="auto"/>
        <w:rPr>
          <w:sz w:val="20"/>
          <w:szCs w:val="20"/>
          <w:color w:val="auto"/>
        </w:rPr>
      </w:pPr>
      <w:r>
        <w:rPr>
          <w:rFonts w:ascii="Arial" w:cs="Arial" w:eastAsia="Arial" w:hAnsi="Arial"/>
          <w:sz w:val="15"/>
          <w:szCs w:val="15"/>
          <w:color w:val="auto"/>
        </w:rPr>
        <w:t>CMA CGM charters all of the Company’s vessels in operation and one of its subsidiaries provides the Company with ship management services. The current account balances at June 30, 2010 and December 31, 2009 relate to amounts payable to or recoverable from CMA CGM group companies.</w:t>
      </w:r>
    </w:p>
    <w:p>
      <w:pPr>
        <w:ind w:left="452" w:right="40"/>
        <w:spacing w:after="0" w:line="259" w:lineRule="auto"/>
        <w:rPr>
          <w:sz w:val="20"/>
          <w:szCs w:val="20"/>
          <w:color w:val="auto"/>
        </w:rPr>
      </w:pPr>
      <w:r>
        <w:rPr>
          <w:rFonts w:ascii="Arial" w:cs="Arial" w:eastAsia="Arial" w:hAnsi="Arial"/>
          <w:sz w:val="18"/>
          <w:szCs w:val="18"/>
          <w:color w:val="auto"/>
        </w:rPr>
        <w:t>CMA CGM holds all of the Series A preferred shares of the Company. During the three months to June 30, 2010, the Company paid CMA CGM dividends of $286 (2009: $371). During the six months to June 30, 2010, the Company paid CMA CGM dividends of $557 (2009: $1,662 of which $848 related to the year ended December 31, 2008).</w:t>
      </w:r>
    </w:p>
    <w:p>
      <w:pPr>
        <w:spacing w:after="0" w:line="215"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Time Charter Agreements</w:t>
      </w:r>
    </w:p>
    <w:p>
      <w:pPr>
        <w:spacing w:after="0" w:line="96" w:lineRule="exact"/>
        <w:rPr>
          <w:sz w:val="20"/>
          <w:szCs w:val="20"/>
          <w:color w:val="auto"/>
        </w:rPr>
      </w:pPr>
    </w:p>
    <w:p>
      <w:pPr>
        <w:ind w:left="452"/>
        <w:spacing w:after="0" w:line="298" w:lineRule="auto"/>
        <w:rPr>
          <w:sz w:val="20"/>
          <w:szCs w:val="20"/>
          <w:color w:val="auto"/>
        </w:rPr>
      </w:pPr>
      <w:r>
        <w:rPr>
          <w:rFonts w:ascii="Arial" w:cs="Arial" w:eastAsia="Arial" w:hAnsi="Arial"/>
          <w:sz w:val="16"/>
          <w:szCs w:val="16"/>
          <w:color w:val="auto"/>
        </w:rPr>
        <w:t>All of the Company’s vessels in operation are time chartered to CMA CGM. Under each of the time charters, hire is payable in advance and the daily rate is fixed for the duration of the charter. The charters are for remaining periods as at June 30, 2010 of between 2.50 and 15.50 years. Of the $1,582,069 maximum future charter hire receivable for the total fleet set out in note 7 (including for two vessels scheduled to be purchased in fourth quarter 2010 and to be chartered to ZIM, a company not related to CMA CGM), $1,438,877 relates to the 17 ships currently chartered to CMA CGM.</w:t>
      </w:r>
    </w:p>
    <w:p>
      <w:pPr>
        <w:spacing w:after="0" w:line="188"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Ship Management Agreements</w:t>
      </w:r>
    </w:p>
    <w:p>
      <w:pPr>
        <w:spacing w:after="0" w:line="96" w:lineRule="exact"/>
        <w:rPr>
          <w:sz w:val="20"/>
          <w:szCs w:val="20"/>
          <w:color w:val="auto"/>
        </w:rPr>
      </w:pPr>
    </w:p>
    <w:p>
      <w:pPr>
        <w:ind w:left="452" w:right="60"/>
        <w:spacing w:after="0" w:line="294" w:lineRule="auto"/>
        <w:rPr>
          <w:sz w:val="20"/>
          <w:szCs w:val="20"/>
          <w:color w:val="auto"/>
        </w:rPr>
      </w:pPr>
      <w:r>
        <w:rPr>
          <w:rFonts w:ascii="Arial" w:cs="Arial" w:eastAsia="Arial" w:hAnsi="Arial"/>
          <w:sz w:val="16"/>
          <w:szCs w:val="16"/>
          <w:color w:val="auto"/>
        </w:rPr>
        <w:t>The Company outsources day to day technical management of its 17 vessels in operation to a ship manager, CMA Ships Ltd, a wholly owned subsidiary of CMA CGM. The Company pays CMA Ships Ltd an annual management fee of $114 per vessel and reimburses costs incurred on its behalf, mainly being for the provision of crew, lubricating oils and routine maintenance. Such reimbursement is subject to a cap of between $5.4 and $8.8 per day per vessel depending on the vessel. The impact of the cap is determined quarterly and for the fleet as a whole. Ship management fees expensed for the three months and six months ended June 30, 2010 amounted to $484 (2009: $456) and $969 (2009: $912) respectively.</w:t>
      </w:r>
    </w:p>
    <w:p>
      <w:pPr>
        <w:spacing w:after="0" w:line="3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Except for transactions with CMA CGM, the Company did not enter into any related party transactions.</w:t>
      </w:r>
    </w:p>
    <w:p>
      <w:pPr>
        <w:spacing w:after="0" w:line="158" w:lineRule="exact"/>
        <w:rPr>
          <w:sz w:val="20"/>
          <w:szCs w:val="20"/>
          <w:color w:val="auto"/>
        </w:rPr>
      </w:pPr>
    </w:p>
    <w:p>
      <w:pPr>
        <w:ind w:left="5432"/>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12"/>
          </w:cols>
          <w:pgMar w:left="248" w:top="274" w:right="239" w:bottom="1440" w:gutter="0" w:footer="0" w:header="0"/>
        </w:sectPr>
      </w:pPr>
    </w:p>
    <w:bookmarkStart w:id="26" w:name="page27"/>
    <w:bookmarkEnd w:id="26"/>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right="8480" w:hanging="452"/>
        <w:spacing w:after="0" w:line="417" w:lineRule="auto"/>
        <w:tabs>
          <w:tab w:leader="none" w:pos="441" w:val="left"/>
        </w:tabs>
        <w:numPr>
          <w:ilvl w:val="0"/>
          <w:numId w:val="16"/>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 Contracted Vessel Purchases</w:t>
      </w:r>
    </w:p>
    <w:p>
      <w:pPr>
        <w:ind w:left="452" w:right="140"/>
        <w:spacing w:after="0" w:line="290" w:lineRule="auto"/>
        <w:rPr>
          <w:rFonts w:ascii="Arial" w:cs="Arial" w:eastAsia="Arial" w:hAnsi="Arial"/>
          <w:sz w:val="15"/>
          <w:szCs w:val="15"/>
          <w:b w:val="1"/>
          <w:bCs w:val="1"/>
          <w:color w:val="auto"/>
        </w:rPr>
      </w:pPr>
      <w:r>
        <w:rPr>
          <w:rFonts w:ascii="Arial" w:cs="Arial" w:eastAsia="Arial" w:hAnsi="Arial"/>
          <w:sz w:val="16"/>
          <w:szCs w:val="16"/>
          <w:color w:val="auto"/>
        </w:rPr>
        <w:t>As reported in note 2, the Company has agreed to purchase two vessels from German interests in the fourth quarter of 2010 for approximately $77,400 each. The purchase contracts are non-cancellable. A deposit of 10% has been paid on these two vessels. The remaining purchase obligation of approximately $139,300 is unfunded and is due on delivery of the vessels, which is anticipated to be in December 2010. The vessels are to be chartered to Zim Integrated Shipping Services Limited for seven to eight years. Global Ship Lease has no capacity to borrow any further amounts under its credit facility to fund the remainder of the purchase price, and therefore, must secure other sources of financing to meet its obligations to the sellers under the contracts. The Company continues to discuss opportunities for raising sufficient capital to meet its obligations with a number of different providers of finance, but can give no assurances as to the likely success of these discussions.</w:t>
      </w:r>
    </w:p>
    <w:p>
      <w:pPr>
        <w:spacing w:after="0" w:line="37" w:lineRule="exact"/>
        <w:rPr>
          <w:rFonts w:ascii="Arial" w:cs="Arial" w:eastAsia="Arial" w:hAnsi="Arial"/>
          <w:sz w:val="15"/>
          <w:szCs w:val="15"/>
          <w:b w:val="1"/>
          <w:bCs w:val="1"/>
          <w:color w:val="auto"/>
        </w:rPr>
      </w:pPr>
    </w:p>
    <w:p>
      <w:pPr>
        <w:ind w:left="452"/>
        <w:spacing w:after="0" w:line="298" w:lineRule="auto"/>
        <w:rPr>
          <w:rFonts w:ascii="Arial" w:cs="Arial" w:eastAsia="Arial" w:hAnsi="Arial"/>
          <w:sz w:val="15"/>
          <w:szCs w:val="15"/>
          <w:b w:val="1"/>
          <w:bCs w:val="1"/>
          <w:color w:val="auto"/>
        </w:rPr>
      </w:pPr>
      <w:r>
        <w:rPr>
          <w:rFonts w:ascii="Arial" w:cs="Arial" w:eastAsia="Arial" w:hAnsi="Arial"/>
          <w:sz w:val="16"/>
          <w:szCs w:val="16"/>
          <w:color w:val="auto"/>
        </w:rPr>
        <w:t>The purchase contracts contain a clause to limit liability in the event of buyer default to the forfeiture of the previously paid deposit. However, this intended limitation on liability may not be effective. Unless Global Ship Lease can secure additional financing or an amendment to the purchase contracts, Global Ship Lease may be exposed to legal action by the sellers for damages which may exceed the deposit already paid. In addition, Global Ship Lease may suffer impairment loss on any part of the deposit which has been paid and which might not be recoverable.</w:t>
      </w:r>
    </w:p>
    <w:p>
      <w:pPr>
        <w:spacing w:after="0" w:line="187" w:lineRule="exact"/>
        <w:rPr>
          <w:rFonts w:ascii="Arial" w:cs="Arial" w:eastAsia="Arial" w:hAnsi="Arial"/>
          <w:sz w:val="15"/>
          <w:szCs w:val="15"/>
          <w:b w:val="1"/>
          <w:bCs w:val="1"/>
          <w:color w:val="auto"/>
        </w:rPr>
      </w:pPr>
    </w:p>
    <w:p>
      <w:pPr>
        <w:ind w:left="452"/>
        <w:spacing w:after="0"/>
        <w:rPr>
          <w:rFonts w:ascii="Arial" w:cs="Arial" w:eastAsia="Arial" w:hAnsi="Arial"/>
          <w:sz w:val="15"/>
          <w:szCs w:val="15"/>
          <w:b w:val="1"/>
          <w:bCs w:val="1"/>
          <w:color w:val="auto"/>
        </w:rPr>
      </w:pPr>
      <w:r>
        <w:rPr>
          <w:rFonts w:ascii="Arial" w:cs="Arial" w:eastAsia="Arial" w:hAnsi="Arial"/>
          <w:sz w:val="18"/>
          <w:szCs w:val="18"/>
          <w:b w:val="1"/>
          <w:bCs w:val="1"/>
          <w:color w:val="auto"/>
        </w:rPr>
        <w:t>Charter Hire Receivable</w:t>
      </w:r>
    </w:p>
    <w:p>
      <w:pPr>
        <w:spacing w:after="0" w:line="96" w:lineRule="exact"/>
        <w:rPr>
          <w:rFonts w:ascii="Arial" w:cs="Arial" w:eastAsia="Arial" w:hAnsi="Arial"/>
          <w:sz w:val="15"/>
          <w:szCs w:val="15"/>
          <w:b w:val="1"/>
          <w:bCs w:val="1"/>
          <w:color w:val="auto"/>
        </w:rPr>
      </w:pPr>
    </w:p>
    <w:p>
      <w:pPr>
        <w:ind w:left="452" w:right="280"/>
        <w:spacing w:after="0" w:line="298" w:lineRule="auto"/>
        <w:rPr>
          <w:rFonts w:ascii="Arial" w:cs="Arial" w:eastAsia="Arial" w:hAnsi="Arial"/>
          <w:sz w:val="15"/>
          <w:szCs w:val="15"/>
          <w:b w:val="1"/>
          <w:bCs w:val="1"/>
          <w:color w:val="auto"/>
        </w:rPr>
      </w:pPr>
      <w:r>
        <w:rPr>
          <w:rFonts w:ascii="Arial" w:cs="Arial" w:eastAsia="Arial" w:hAnsi="Arial"/>
          <w:sz w:val="16"/>
          <w:szCs w:val="16"/>
          <w:color w:val="auto"/>
        </w:rPr>
        <w:t>The Company has entered into long term time charters for its vessels owned at June 30, 2010. The charter hire (including that relating to vessels due for delivery in 2010), is fixed for the duration of the charter. The charters were originally for periods of between five and 17 years and the maximum future annual charter hire receivable for the fleet of 17 vessels as at June 30, 2010 and for the total contracted fleet of 19 vessels, taking account of actual or anticipated delivery dates and before allowance for any off-hire periods, is as follows:</w:t>
      </w:r>
    </w:p>
    <w:p>
      <w:pPr>
        <w:spacing w:after="0" w:line="136"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540" w:type="dxa"/>
            <w:vAlign w:val="bottom"/>
            <w:gridSpan w:val="3"/>
          </w:tcPr>
          <w:p>
            <w:pPr>
              <w:ind w:left="2700"/>
              <w:spacing w:after="0"/>
              <w:rPr>
                <w:sz w:val="20"/>
                <w:szCs w:val="20"/>
                <w:color w:val="auto"/>
              </w:rPr>
            </w:pPr>
            <w:r>
              <w:rPr>
                <w:rFonts w:ascii="Arial" w:cs="Arial" w:eastAsia="Arial" w:hAnsi="Arial"/>
                <w:sz w:val="14"/>
                <w:szCs w:val="14"/>
                <w:b w:val="1"/>
                <w:bCs w:val="1"/>
                <w:color w:val="auto"/>
                <w:w w:val="85"/>
              </w:rPr>
              <w:t>Fleet operated</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7"/>
              </w:rPr>
              <w:t>as at June 30,</w:t>
            </w:r>
          </w:p>
        </w:tc>
        <w:tc>
          <w:tcPr>
            <w:tcW w:w="4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Total fleet to</w:t>
            </w:r>
          </w:p>
        </w:tc>
        <w:tc>
          <w:tcPr>
            <w:tcW w:w="0" w:type="dxa"/>
            <w:vAlign w:val="bottom"/>
          </w:tcPr>
          <w:p>
            <w:pPr>
              <w:spacing w:after="0"/>
              <w:rPr>
                <w:sz w:val="1"/>
                <w:szCs w:val="1"/>
                <w:color w:val="auto"/>
              </w:rPr>
            </w:pPr>
          </w:p>
        </w:tc>
      </w:tr>
      <w:tr>
        <w:trPr>
          <w:trHeight w:val="161"/>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Year ending June 30,</w:t>
            </w:r>
          </w:p>
        </w:tc>
        <w:tc>
          <w:tcPr>
            <w:tcW w:w="2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be operated</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82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156,757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2012</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157,186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145,756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2014</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135,952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135,952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Thereafter</w:t>
            </w:r>
          </w:p>
        </w:tc>
        <w:tc>
          <w:tcPr>
            <w:tcW w:w="2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707,274</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ind w:left="2700"/>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1,438,877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1,582,069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12"/>
          </w:cols>
          <w:pgMar w:left="248" w:top="274" w:right="239" w:bottom="1440" w:gutter="0" w:footer="0" w:header="0"/>
        </w:sectPr>
      </w:pPr>
    </w:p>
    <w:bookmarkStart w:id="27" w:name="page28"/>
    <w:bookmarkEnd w:id="27"/>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ind w:left="452" w:hanging="452"/>
        <w:spacing w:after="0"/>
        <w:tabs>
          <w:tab w:leader="none" w:pos="45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96" w:lineRule="exact"/>
        <w:rPr>
          <w:rFonts w:ascii="Arial" w:cs="Arial" w:eastAsia="Arial" w:hAnsi="Arial"/>
          <w:sz w:val="18"/>
          <w:szCs w:val="18"/>
          <w:b w:val="1"/>
          <w:bCs w:val="1"/>
          <w:color w:val="auto"/>
        </w:rPr>
      </w:pPr>
    </w:p>
    <w:p>
      <w:pPr>
        <w:ind w:left="452" w:right="8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At June 30, 2010 the Company had two classes of common shares. The rights of holders of Class B common shares are identical to those of holders of Class A common shares, except that the dividend rights of holders of Class B common shares are subordinated to those of holders of Class A common shares until at least the third quarter of 2011. Class B common shares will convert to Class A common shares on a one-for-one basis after the expiration of the subordination period and provided certain financial conditions are met. Until January 1, 2009 the Company had three classes of common shares but on that date the 12,375,000 Class C common shares were converted into Class A common shares on a one-for-one basis.</w:t>
      </w:r>
    </w:p>
    <w:p>
      <w:pPr>
        <w:spacing w:after="0" w:line="34" w:lineRule="exact"/>
        <w:rPr>
          <w:rFonts w:ascii="Arial" w:cs="Arial" w:eastAsia="Arial" w:hAnsi="Arial"/>
          <w:sz w:val="18"/>
          <w:szCs w:val="18"/>
          <w:b w:val="1"/>
          <w:bCs w:val="1"/>
          <w:color w:val="auto"/>
        </w:rPr>
      </w:pPr>
    </w:p>
    <w:p>
      <w:pPr>
        <w:ind w:left="452" w:right="10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restricted stock units granted to the Directors in November 2008 as part of their compensation for service during 2008 vested on January 1, 2009, and subsequently 36,833 shares were issued to the Directors. The restricted stock units granted to the Directors in May 2009 as part of their compensation for service during 2009 vested on January 1, 2010, and subsequently 150,273 shares were issued to the Directors. A proportion of the restricted stock units granted to management in August and November 2008 as part of their compensation arrangements vested in September and October 2009, and 300,000 Class A common shares were issued to management in this period.</w:t>
      </w:r>
    </w:p>
    <w:p>
      <w:pPr>
        <w:spacing w:after="0" w:line="34" w:lineRule="exact"/>
        <w:rPr>
          <w:rFonts w:ascii="Arial" w:cs="Arial" w:eastAsia="Arial" w:hAnsi="Arial"/>
          <w:sz w:val="18"/>
          <w:szCs w:val="18"/>
          <w:b w:val="1"/>
          <w:bCs w:val="1"/>
          <w:color w:val="auto"/>
        </w:rPr>
      </w:pPr>
    </w:p>
    <w:p>
      <w:pPr>
        <w:ind w:left="452" w:right="14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Series A preferred shares rank senior to the common shares and are mandatorily redeemable in 12 quarterly instalments commencing on August 31, 2016 and are required to be redeemed earlier using the proceeds of any exercise of Public Warrants. The preferred shares are redeemed each time that proceeds from the exercise of warrants reach $5,000. As at June 30, 2010 total proceeds received from the exercise of warrants, classified in the balance sheet as restricted cash, were $3,026 and therefore none of the preferred shares have been redeemed. Series A preferred shares are classified as a liability. The dividend that preferred shares holders are entitled to be paid is presented as part of interest expense.</w:t>
      </w:r>
    </w:p>
    <w:p>
      <w:pPr>
        <w:spacing w:after="0" w:line="34" w:lineRule="exact"/>
        <w:rPr>
          <w:rFonts w:ascii="Arial" w:cs="Arial" w:eastAsia="Arial" w:hAnsi="Arial"/>
          <w:sz w:val="18"/>
          <w:szCs w:val="18"/>
          <w:b w:val="1"/>
          <w:bCs w:val="1"/>
          <w:color w:val="auto"/>
        </w:rPr>
      </w:pPr>
    </w:p>
    <w:p>
      <w:pPr>
        <w:ind w:left="452"/>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In addition to the outstanding Class A and B common shares and the Series A Preferred shares, there are 39,531,348 Public Warrants which have are due to expire on August 24, 2010 and give the holder the right to purchase one Class A common share at a price of $6. There are 5,500,000 Sponsor Warrants which have similar terms to the Public Warrants except that the exercise must be on a cashless basis. Further, there are 6,188,088 Class A Warrants which expire on September 1, 2013 and give the holders the right to purchase one Class A common share at a price of $9.25.</w:t>
      </w:r>
    </w:p>
    <w:p>
      <w:pPr>
        <w:spacing w:after="0" w:line="31" w:lineRule="exact"/>
        <w:rPr>
          <w:rFonts w:ascii="Arial" w:cs="Arial" w:eastAsia="Arial" w:hAnsi="Arial"/>
          <w:sz w:val="18"/>
          <w:szCs w:val="18"/>
          <w:b w:val="1"/>
          <w:bCs w:val="1"/>
          <w:color w:val="auto"/>
        </w:rPr>
      </w:pPr>
    </w:p>
    <w:p>
      <w:pPr>
        <w:ind w:left="452"/>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On February 10, 2009, the Company announced a fourth quarter 2008 dividend of $0.23 per Class A common share, unit and Class B share which was paid on March 5, 2009 to Class A common shareholders and unit holders and Class B shareholders of record as of February 20, 2009.</w:t>
      </w:r>
    </w:p>
    <w:p>
      <w:pPr>
        <w:spacing w:after="0" w:line="200" w:lineRule="exact"/>
        <w:rPr>
          <w:rFonts w:ascii="Arial" w:cs="Arial" w:eastAsia="Arial" w:hAnsi="Arial"/>
          <w:sz w:val="18"/>
          <w:szCs w:val="18"/>
          <w:b w:val="1"/>
          <w:bCs w:val="1"/>
          <w:color w:val="auto"/>
        </w:rPr>
      </w:pPr>
    </w:p>
    <w:p>
      <w:pPr>
        <w:ind w:left="452" w:hanging="452"/>
        <w:spacing w:after="0"/>
        <w:tabs>
          <w:tab w:leader="none" w:pos="45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Derivatives and Fair Value Measurements</w:t>
      </w:r>
    </w:p>
    <w:p>
      <w:pPr>
        <w:spacing w:after="0" w:line="96" w:lineRule="exact"/>
        <w:rPr>
          <w:rFonts w:ascii="Arial" w:cs="Arial" w:eastAsia="Arial" w:hAnsi="Arial"/>
          <w:sz w:val="18"/>
          <w:szCs w:val="18"/>
          <w:b w:val="1"/>
          <w:bCs w:val="1"/>
          <w:color w:val="auto"/>
        </w:rPr>
      </w:pPr>
    </w:p>
    <w:p>
      <w:pPr>
        <w:ind w:left="452" w:right="10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Company is exposed to the impact of interest rate changes on its variable rate debt. Accordingly, the Company enters into interest rate swap agreements to manage the exposure to interest rate variability. As of June 30, 2010 a total of $580,000 of debt has been swapped into fixed rate debt at a weighted average rate of 3.60%. None of the Company’s interest rate agreements qualify for hedge accounting, therefore, the net changes in the fair value of the interest rate derivative assets and liabilities at each reporting period are reflected in the current period operations as unrealized gains and losses on derivatives. Cash flows related to interest rate derivatives (initial payments of derivatives and periodic cash settlements) are included within cash flows from investing activities in the consolidated statement of cash flows.</w:t>
      </w:r>
    </w:p>
    <w:p>
      <w:pPr>
        <w:spacing w:after="0" w:line="39" w:lineRule="exact"/>
        <w:rPr>
          <w:rFonts w:ascii="Arial" w:cs="Arial" w:eastAsia="Arial" w:hAnsi="Arial"/>
          <w:sz w:val="18"/>
          <w:szCs w:val="18"/>
          <w:b w:val="1"/>
          <w:bCs w:val="1"/>
          <w:color w:val="auto"/>
        </w:rPr>
      </w:pPr>
    </w:p>
    <w:p>
      <w:pPr>
        <w:ind w:left="452"/>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Realized gains or losses from interest rate derivatives are recognized in the statement of income concurrent with cash settlements. In addition, the interest rate derivatives are “marked to market” each reporting period to determine the fair values which generate unrealized gains or losses. The unrealized loss on interest rate derivatives for the three months ended June 30, 2010 was $12,454 (2009: $16,652 gain). The unrealized loss on interest rate derivatives for the six months ended June 30, 2010 was $17,333 (2009: $20,961 gain)</w:t>
      </w:r>
    </w:p>
    <w:p>
      <w:pPr>
        <w:spacing w:after="0" w:line="62" w:lineRule="exact"/>
        <w:rPr>
          <w:rFonts w:ascii="Arial" w:cs="Arial" w:eastAsia="Arial" w:hAnsi="Arial"/>
          <w:sz w:val="18"/>
          <w:szCs w:val="18"/>
          <w:b w:val="1"/>
          <w:bCs w:val="1"/>
          <w:color w:val="auto"/>
        </w:rPr>
      </w:pPr>
    </w:p>
    <w:p>
      <w:pPr>
        <w:ind w:left="452" w:right="1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Derivative instruments held by the Company are categorized as level 2 under ASC Topic 820 “Fair Value Measurement and Disclosures” hierarchy. As at June 30, 2010, these derivatives represented a liability of $46,447 (December 31, 2009: $29,113).</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372"/>
          </w:cols>
          <w:pgMar w:left="248" w:top="274" w:right="27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Share-Based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 based awards are summarized as follows:</w:t>
      </w:r>
    </w:p>
    <w:p>
      <w:pPr>
        <w:spacing w:after="0" w:line="207" w:lineRule="exact"/>
        <w:rPr>
          <w:sz w:val="20"/>
          <w:szCs w:val="20"/>
          <w:color w:val="auto"/>
        </w:rPr>
      </w:pPr>
    </w:p>
    <w:tbl>
      <w:tblPr>
        <w:tblLayout w:type="fixed"/>
        <w:tblInd w:w="7260" w:type="dxa"/>
        <w:tblCellMar>
          <w:top w:w="0" w:type="dxa"/>
          <w:left w:w="0" w:type="dxa"/>
          <w:bottom w:w="0" w:type="dxa"/>
          <w:right w:w="0" w:type="dxa"/>
        </w:tblCellMar>
      </w:tblPr>
      <w:tr>
        <w:trPr>
          <w:trHeight w:val="161"/>
        </w:trPr>
        <w:tc>
          <w:tcPr>
            <w:tcW w:w="7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7"/>
              </w:rPr>
              <w:t>Restricted Stock Units</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440" w:type="dxa"/>
            <w:vAlign w:val="bottom"/>
            <w:gridSpan w:val="4"/>
            <w:vMerge w:val="restart"/>
          </w:tcPr>
          <w:p>
            <w:pPr>
              <w:ind w:left="480"/>
              <w:spacing w:after="0"/>
              <w:rPr>
                <w:sz w:val="20"/>
                <w:szCs w:val="20"/>
                <w:color w:val="auto"/>
              </w:rPr>
            </w:pPr>
            <w:r>
              <w:rPr>
                <w:rFonts w:ascii="Arial" w:cs="Arial" w:eastAsia="Arial" w:hAnsi="Arial"/>
                <w:sz w:val="14"/>
                <w:szCs w:val="14"/>
                <w:color w:val="auto"/>
              </w:rPr>
              <w:t>Number of Units</w:t>
            </w:r>
          </w:p>
        </w:tc>
        <w:tc>
          <w:tcPr>
            <w:tcW w:w="700" w:type="dxa"/>
            <w:vAlign w:val="bottom"/>
          </w:tcPr>
          <w:p>
            <w:pPr>
              <w:jc w:val="center"/>
              <w:spacing w:after="0" w:line="131" w:lineRule="exact"/>
              <w:rPr>
                <w:sz w:val="20"/>
                <w:szCs w:val="20"/>
                <w:color w:val="auto"/>
              </w:rPr>
            </w:pPr>
            <w:r>
              <w:rPr>
                <w:rFonts w:ascii="Arial" w:cs="Arial" w:eastAsia="Arial" w:hAnsi="Arial"/>
                <w:sz w:val="14"/>
                <w:szCs w:val="14"/>
                <w:color w:val="auto"/>
                <w:w w:val="87"/>
              </w:rPr>
              <w:t>Weighted</w:t>
            </w:r>
          </w:p>
        </w:tc>
        <w:tc>
          <w:tcPr>
            <w:tcW w:w="0" w:type="dxa"/>
            <w:vAlign w:val="bottom"/>
          </w:tcPr>
          <w:p>
            <w:pPr>
              <w:spacing w:after="0"/>
              <w:rPr>
                <w:sz w:val="1"/>
                <w:szCs w:val="1"/>
                <w:color w:val="auto"/>
              </w:rPr>
            </w:pPr>
          </w:p>
        </w:tc>
      </w:tr>
      <w:tr>
        <w:trPr>
          <w:trHeight w:val="78"/>
        </w:trPr>
        <w:tc>
          <w:tcPr>
            <w:tcW w:w="2440" w:type="dxa"/>
            <w:vAlign w:val="bottom"/>
            <w:gridSpan w:val="4"/>
            <w:vMerge w:val="continue"/>
          </w:tcPr>
          <w:p>
            <w:pPr>
              <w:spacing w:after="0"/>
              <w:rPr>
                <w:sz w:val="6"/>
                <w:szCs w:val="6"/>
                <w:color w:val="auto"/>
              </w:rPr>
            </w:pPr>
          </w:p>
        </w:tc>
        <w:tc>
          <w:tcPr>
            <w:tcW w:w="70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87"/>
              </w:rPr>
              <w:t>Average Fair</w:t>
            </w:r>
          </w:p>
        </w:tc>
        <w:tc>
          <w:tcPr>
            <w:tcW w:w="0" w:type="dxa"/>
            <w:vAlign w:val="bottom"/>
          </w:tcPr>
          <w:p>
            <w:pPr>
              <w:spacing w:after="0"/>
              <w:rPr>
                <w:sz w:val="1"/>
                <w:szCs w:val="1"/>
                <w:color w:val="auto"/>
              </w:rPr>
            </w:pPr>
          </w:p>
        </w:tc>
      </w:tr>
      <w:tr>
        <w:trPr>
          <w:trHeight w:val="50"/>
        </w:trPr>
        <w:tc>
          <w:tcPr>
            <w:tcW w:w="72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7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w w:val="85"/>
              </w:rPr>
              <w:t>Management</w:t>
            </w:r>
          </w:p>
        </w:tc>
        <w:tc>
          <w:tcPr>
            <w:tcW w:w="540" w:type="dxa"/>
            <w:vAlign w:val="bottom"/>
          </w:tcPr>
          <w:p>
            <w:pPr>
              <w:spacing w:after="0"/>
              <w:rPr>
                <w:sz w:val="13"/>
                <w:szCs w:val="13"/>
                <w:color w:val="auto"/>
              </w:rPr>
            </w:pPr>
          </w:p>
        </w:tc>
        <w:tc>
          <w:tcPr>
            <w:tcW w:w="6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Directors</w:t>
            </w:r>
          </w:p>
        </w:tc>
        <w:tc>
          <w:tcPr>
            <w:tcW w:w="540" w:type="dxa"/>
            <w:vAlign w:val="bottom"/>
          </w:tcPr>
          <w:p>
            <w:pPr>
              <w:spacing w:after="0"/>
              <w:rPr>
                <w:sz w:val="13"/>
                <w:szCs w:val="13"/>
                <w:color w:val="auto"/>
              </w:rPr>
            </w:pPr>
          </w:p>
        </w:tc>
        <w:tc>
          <w:tcPr>
            <w:tcW w:w="7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bl>
    <w:p>
      <w:pPr>
        <w:spacing w:after="0" w:line="108"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January 1, 2009</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860,000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37,671</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6.77</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Vested in January 2009</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(37,671)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(2.80)</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Granted on May 18, 2009</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150,273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Vested in September 2009</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(195,000)</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(6.76)</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Vested in October 2009</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(105,000)</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(6.76)</w:t>
            </w:r>
          </w:p>
        </w:tc>
      </w:tr>
      <w:tr>
        <w:trPr>
          <w:trHeight w:val="20"/>
        </w:trPr>
        <w:tc>
          <w:tcPr>
            <w:tcW w:w="6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229"/>
        </w:trPr>
        <w:tc>
          <w:tcPr>
            <w:tcW w:w="6340" w:type="dxa"/>
            <w:vAlign w:val="bottom"/>
          </w:tcPr>
          <w:p>
            <w:pPr>
              <w:spacing w:after="0"/>
              <w:rPr>
                <w:sz w:val="20"/>
                <w:szCs w:val="20"/>
                <w:color w:val="auto"/>
              </w:rPr>
            </w:pPr>
            <w:r>
              <w:rPr>
                <w:rFonts w:ascii="Arial" w:cs="Arial" w:eastAsia="Arial" w:hAnsi="Arial"/>
                <w:sz w:val="18"/>
                <w:szCs w:val="18"/>
                <w:b w:val="1"/>
                <w:bCs w:val="1"/>
                <w:color w:val="auto"/>
              </w:rPr>
              <w:t>Un-Vested as at December 31, 2009</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560,000</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150,273</w:t>
            </w:r>
          </w:p>
        </w:tc>
        <w:tc>
          <w:tcPr>
            <w:tcW w:w="300" w:type="dxa"/>
            <w:vAlign w:val="bottom"/>
          </w:tcPr>
          <w:p>
            <w:pPr>
              <w:spacing w:after="0"/>
              <w:rPr>
                <w:sz w:val="19"/>
                <w:szCs w:val="1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5.94</w:t>
            </w:r>
          </w:p>
        </w:tc>
      </w:tr>
      <w:tr>
        <w:trPr>
          <w:trHeight w:val="217"/>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Vested in January 2010</w:t>
            </w:r>
          </w:p>
        </w:tc>
        <w:tc>
          <w:tcPr>
            <w:tcW w:w="12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(150,273)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Granted in March 2010</w:t>
            </w: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58,511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June 30, 2010</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560,000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58,511</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6.56</w:t>
            </w:r>
          </w:p>
        </w:tc>
      </w:tr>
      <w:tr>
        <w:trPr>
          <w:trHeight w:val="20"/>
        </w:trPr>
        <w:tc>
          <w:tcPr>
            <w:tcW w:w="6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Using the graded vesting method of expensing the restricted stock unit grants, the calculated weighted average fair value of the shares is recognized as compensation costs in the consolidated statement of income over the vesting period. During the three months and six months ended June 30, 2010 the Company recognized a total of $315 (2009: $863) and $626 (2009: $1,579) share based compensation costs respectively. As at June 30, 2010, there was a total of $609 unrecognized compensation costs relating to the above share based awards (December 31, 2009: $1,126). The remaining costs are expected to be recognized over a period of 14 months.</w:t>
      </w:r>
    </w:p>
    <w:p>
      <w:pPr>
        <w:spacing w:after="0" w:line="62"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150,273 restricted stock units were granted in May 2009 for Directors’ compensation for 2009 under the Company’s 2008 Equity Incentive Plan. These awards vested in January 2010. The awards that vested in 2009 related to Directors’ compensation for 2008, and a portion of awards made to management in 2008.</w:t>
      </w:r>
    </w:p>
    <w:p>
      <w:pPr>
        <w:spacing w:after="0" w:line="59"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58,511 restricted stock units were granted in March 2010 for Directors’ compensation for 2010 under the Company’s 2008 Equity Incentive Plan. These awards will vest in January 2011.</w:t>
      </w:r>
    </w:p>
    <w:p>
      <w:pPr>
        <w:spacing w:after="0" w:line="248"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b w:val="1"/>
          <w:bCs w:val="1"/>
          <w:color w:val="auto"/>
        </w:rPr>
      </w:pPr>
    </w:p>
    <w:p>
      <w:pPr>
        <w:ind w:left="460" w:right="2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Basic earnings per common share presented under the two-class method is computed by dividing the earnings applicable to common stockholders by the weighted average number of common shares outstanding for the period.</w:t>
      </w:r>
    </w:p>
    <w:p>
      <w:pPr>
        <w:spacing w:after="0" w:line="50" w:lineRule="exact"/>
        <w:rPr>
          <w:rFonts w:ascii="Arial" w:cs="Arial" w:eastAsia="Arial" w:hAnsi="Arial"/>
          <w:sz w:val="18"/>
          <w:szCs w:val="18"/>
          <w:b w:val="1"/>
          <w:bCs w:val="1"/>
          <w:color w:val="auto"/>
        </w:rPr>
      </w:pPr>
    </w:p>
    <w:p>
      <w:pPr>
        <w:ind w:left="460" w:right="20"/>
        <w:spacing w:after="0" w:line="314" w:lineRule="auto"/>
        <w:rPr>
          <w:rFonts w:ascii="Arial" w:cs="Arial" w:eastAsia="Arial" w:hAnsi="Arial"/>
          <w:sz w:val="18"/>
          <w:szCs w:val="18"/>
          <w:b w:val="1"/>
          <w:bCs w:val="1"/>
          <w:color w:val="auto"/>
        </w:rPr>
      </w:pPr>
      <w:r>
        <w:rPr>
          <w:rFonts w:ascii="Arial" w:cs="Arial" w:eastAsia="Arial" w:hAnsi="Arial"/>
          <w:sz w:val="15"/>
          <w:szCs w:val="15"/>
          <w:color w:val="auto"/>
        </w:rPr>
        <w:t>Under the two class method applied by the Company, net income is first reduced by the amount of dividends declared for the current period, if any, and the remaining earnings are allocated to common shares and participating securities to the extent that each security can share the earnings assuming all earnings for the period are distributed. For the three and six months ended June 30, 2010, no dividend was declared on 2010 net income (2009: nil). Dividends paid in the six months ended June 30, 2009 related to 2008 net income. Until at least the third quarter 2011, Class B dividend rights are subordinated to those of holders of Class A common shares. Net income for the period was allocated based on the contractual rights of each class of security and there was insufficient net income to allow any dividend on the Class B common shares and accordingly no earnings were allocated to Class B common shares.</w:t>
      </w:r>
    </w:p>
    <w:p>
      <w:pPr>
        <w:spacing w:after="0" w:line="23" w:lineRule="exact"/>
        <w:rPr>
          <w:rFonts w:ascii="Arial" w:cs="Arial" w:eastAsia="Arial" w:hAnsi="Arial"/>
          <w:sz w:val="18"/>
          <w:szCs w:val="18"/>
          <w:b w:val="1"/>
          <w:bCs w:val="1"/>
          <w:color w:val="auto"/>
        </w:rPr>
      </w:pPr>
    </w:p>
    <w:p>
      <w:pPr>
        <w:ind w:left="4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Losses are only allocated to participating securities in a period of net loss if, based on the contractual terms, the relevant common shareholders have an obligation to participate in such losses. No such obligation exists for Class B common shareholders and, accordingly, any losses would be allocated to the Class A common shareholders.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380"/>
          </w:cols>
          <w:pgMar w:left="240" w:top="274" w:right="279" w:bottom="1440" w:gutter="0" w:footer="0" w:header="0"/>
        </w:sectPr>
      </w:pPr>
    </w:p>
    <w:bookmarkStart w:id="29" w:name="page30"/>
    <w:bookmarkEnd w:id="29"/>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(Expressed in thousands of U.S. dollars except per share amounts)</w:t>
      </w:r>
    </w:p>
    <w:p>
      <w:pPr>
        <w:spacing w:after="0" w:line="152" w:lineRule="exact"/>
        <w:rPr>
          <w:sz w:val="20"/>
          <w:szCs w:val="20"/>
          <w:color w:val="auto"/>
        </w:rPr>
      </w:pPr>
    </w:p>
    <w:p>
      <w:pPr>
        <w:ind w:left="452" w:hanging="452"/>
        <w:spacing w:after="0"/>
        <w:tabs>
          <w:tab w:leader="none" w:pos="45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(continued)</w:t>
      </w:r>
    </w:p>
    <w:p>
      <w:pPr>
        <w:spacing w:after="0" w:line="163" w:lineRule="exact"/>
        <w:rPr>
          <w:rFonts w:ascii="Arial" w:cs="Arial" w:eastAsia="Arial" w:hAnsi="Arial"/>
          <w:sz w:val="18"/>
          <w:szCs w:val="18"/>
          <w:b w:val="1"/>
          <w:bCs w:val="1"/>
          <w:color w:val="auto"/>
        </w:rPr>
      </w:pPr>
    </w:p>
    <w:p>
      <w:pPr>
        <w:ind w:left="452"/>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At June 30, 2010, there were 51,219,436 warrants to purchase Class A common shares outstanding, including 39,531,348 Public Warrants exercisable at $6 which are due to expire on August 24, 2010, 5,500,000 Sponsor Warrants (which must be exercised on a cashless basis), at an exercise price of $6 which are also due to expire on August 24, 2010 and 6,188,088 Class A Warrants exercisable at $9.25 which are due to expire on September 1, 2013. In addition, there were 618,511 restricted stock units authorized as part of management’s equity incentive plan and as part of the Directors’ compensation for 2009. As of June 30, 2010 only Class A and B common shares are participating securities.</w:t>
      </w:r>
    </w:p>
    <w:p>
      <w:pPr>
        <w:spacing w:after="0" w:line="34" w:lineRule="exact"/>
        <w:rPr>
          <w:rFonts w:ascii="Arial" w:cs="Arial" w:eastAsia="Arial" w:hAnsi="Arial"/>
          <w:sz w:val="18"/>
          <w:szCs w:val="18"/>
          <w:b w:val="1"/>
          <w:bCs w:val="1"/>
          <w:color w:val="auto"/>
        </w:rPr>
      </w:pPr>
    </w:p>
    <w:p>
      <w:pPr>
        <w:ind w:left="452"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For the three months and six months ended June 30, 2010 and the three months ended June 30, 2009, the diluted weighted average number of Class A common shares outstanding is the same as the basic weighted average number of shares outstanding. The diluted weighted average number of shares excludes the outstanding restricted stock units and the outstanding warrants as these would have an antidilutive effect. For the six months ended June 30, 2009, the diluted weighted average number of shares includes the incremental effect of outstanding stock based incentive awards but excludes the effect of outstanding warrants as these were antidilutive.</w:t>
      </w:r>
    </w:p>
    <w:p>
      <w:pPr>
        <w:spacing w:after="0" w:line="167"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400" w:type="dxa"/>
            <w:vAlign w:val="bottom"/>
            <w:gridSpan w:val="5"/>
          </w:tcPr>
          <w:p>
            <w:pPr>
              <w:jc w:val="right"/>
              <w:ind w:right="65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4900" w:type="dxa"/>
            <w:vAlign w:val="bottom"/>
            <w:gridSpan w:val="2"/>
          </w:tcPr>
          <w:p>
            <w:pPr>
              <w:spacing w:after="0"/>
              <w:rPr>
                <w:sz w:val="20"/>
                <w:szCs w:val="20"/>
                <w:color w:val="auto"/>
              </w:rPr>
            </w:pPr>
            <w:r>
              <w:rPr>
                <w:rFonts w:ascii="Arial" w:cs="Arial" w:eastAsia="Arial" w:hAnsi="Arial"/>
                <w:sz w:val="14"/>
                <w:szCs w:val="14"/>
                <w:color w:val="auto"/>
              </w:rPr>
              <w:t>(In thousands, except share data)</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85"/>
              </w:rPr>
              <w:t>June 30,</w:t>
            </w:r>
          </w:p>
        </w:tc>
        <w:tc>
          <w:tcPr>
            <w:tcW w:w="80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2009</w:t>
            </w: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common shares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(B)</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46,830,467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46,380,194</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46,830,467</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46,380,194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share-based awards</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136,630</w:t>
            </w:r>
          </w:p>
        </w:tc>
        <w:tc>
          <w:tcPr>
            <w:tcW w:w="0" w:type="dxa"/>
            <w:vAlign w:val="bottom"/>
          </w:tcPr>
          <w:p>
            <w:pPr>
              <w:spacing w:after="0"/>
              <w:rPr>
                <w:sz w:val="1"/>
                <w:szCs w:val="1"/>
                <w:color w:val="auto"/>
              </w:rPr>
            </w:pPr>
          </w:p>
        </w:tc>
      </w:tr>
      <w:tr>
        <w:trPr>
          <w:trHeight w:val="222"/>
        </w:trPr>
        <w:tc>
          <w:tcPr>
            <w:tcW w:w="4900" w:type="dxa"/>
            <w:vAlign w:val="bottom"/>
            <w:gridSpan w:val="2"/>
          </w:tcPr>
          <w:p>
            <w:pPr>
              <w:spacing w:after="0"/>
              <w:rPr>
                <w:sz w:val="20"/>
                <w:szCs w:val="20"/>
                <w:color w:val="auto"/>
              </w:rPr>
            </w:pPr>
            <w:r>
              <w:rPr>
                <w:rFonts w:ascii="Arial" w:cs="Arial" w:eastAsia="Arial" w:hAnsi="Arial"/>
                <w:sz w:val="18"/>
                <w:szCs w:val="18"/>
                <w:color w:val="auto"/>
              </w:rPr>
              <w:t>Common shares and common share equivalents (F)</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46,830,467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46,380,194</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46,830,467</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46,516,824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B common shares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(D)</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7,405,956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w w:val="97"/>
              </w:rPr>
              <w:t>7,405,956</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share-based awards</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900" w:type="dxa"/>
            <w:vAlign w:val="bottom"/>
            <w:gridSpan w:val="2"/>
          </w:tcPr>
          <w:p>
            <w:pPr>
              <w:spacing w:after="0"/>
              <w:rPr>
                <w:sz w:val="20"/>
                <w:szCs w:val="20"/>
                <w:color w:val="auto"/>
              </w:rPr>
            </w:pPr>
            <w:r>
              <w:rPr>
                <w:rFonts w:ascii="Arial" w:cs="Arial" w:eastAsia="Arial" w:hAnsi="Arial"/>
                <w:sz w:val="18"/>
                <w:szCs w:val="18"/>
                <w:color w:val="auto"/>
              </w:rPr>
              <w:t>Common shares (H)</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7,405,956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w w:val="97"/>
              </w:rPr>
              <w:t>7,405,956</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Net (loss) income available to shareholders</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(4,954)</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22,762</w:t>
            </w:r>
          </w:p>
        </w:tc>
        <w:tc>
          <w:tcPr>
            <w:tcW w:w="1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(1,672)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33,918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Available to:</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 Class A shareholders for period</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(4,954)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10,667</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(1,672)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 Class A shareholders for arrears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 Class B shareholders for period</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 allocate pro-rata between Class A and B</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10,392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w:t>
            </w:r>
          </w:p>
        </w:tc>
        <w:tc>
          <w:tcPr>
            <w:tcW w:w="0" w:type="dxa"/>
            <w:vAlign w:val="bottom"/>
          </w:tcPr>
          <w:p>
            <w:pPr>
              <w:spacing w:after="0"/>
              <w:rPr>
                <w:sz w:val="1"/>
                <w:szCs w:val="1"/>
                <w:color w:val="auto"/>
              </w:rPr>
            </w:pPr>
          </w:p>
        </w:tc>
      </w:tr>
      <w:tr>
        <w:trPr>
          <w:trHeight w:val="322"/>
        </w:trPr>
        <w:tc>
          <w:tcPr>
            <w:tcW w:w="4900" w:type="dxa"/>
            <w:vAlign w:val="bottom"/>
            <w:gridSpan w:val="2"/>
          </w:tcPr>
          <w:p>
            <w:pPr>
              <w:spacing w:after="0"/>
              <w:rPr>
                <w:sz w:val="20"/>
                <w:szCs w:val="20"/>
                <w:color w:val="auto"/>
              </w:rPr>
            </w:pPr>
            <w:r>
              <w:rPr>
                <w:rFonts w:ascii="Arial" w:cs="Arial" w:eastAsia="Arial" w:hAnsi="Arial"/>
                <w:sz w:val="18"/>
                <w:szCs w:val="18"/>
                <w:color w:val="auto"/>
              </w:rPr>
              <w:t>Net (loss) income available for Class A (A)</w:t>
            </w:r>
          </w:p>
        </w:tc>
        <w:tc>
          <w:tcPr>
            <w:tcW w:w="10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(4,954)</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19,628</w:t>
            </w:r>
          </w:p>
        </w:tc>
        <w:tc>
          <w:tcPr>
            <w:tcW w:w="10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(1,672)</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29,248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Class B (C)</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3,134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w:t>
            </w:r>
          </w:p>
        </w:tc>
        <w:tc>
          <w:tcPr>
            <w:tcW w:w="0" w:type="dxa"/>
            <w:vAlign w:val="bottom"/>
          </w:tcPr>
          <w:p>
            <w:pPr>
              <w:spacing w:after="0"/>
              <w:rPr>
                <w:sz w:val="1"/>
                <w:szCs w:val="1"/>
                <w:color w:val="auto"/>
              </w:rPr>
            </w:pPr>
          </w:p>
        </w:tc>
      </w:tr>
      <w:tr>
        <w:trPr>
          <w:trHeight w:val="322"/>
        </w:trPr>
        <w:tc>
          <w:tcPr>
            <w:tcW w:w="490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A (A/B)</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Class B (C/D)</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Net (loss) income available to shareholders</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(4,954)</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22,762</w:t>
            </w:r>
          </w:p>
        </w:tc>
        <w:tc>
          <w:tcPr>
            <w:tcW w:w="1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(1,672)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33,918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Available to:</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 Class A shareholders for period</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(4,954)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10,667</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(1,672)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 Class A shareholders for arrears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 Class B shareholders for period</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 allocate pro rata between Class A and B</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10,392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9,113</w:t>
            </w:r>
          </w:p>
        </w:tc>
        <w:tc>
          <w:tcPr>
            <w:tcW w:w="0" w:type="dxa"/>
            <w:vAlign w:val="bottom"/>
          </w:tcPr>
          <w:p>
            <w:pPr>
              <w:spacing w:after="0"/>
              <w:rPr>
                <w:sz w:val="1"/>
                <w:szCs w:val="1"/>
                <w:color w:val="auto"/>
              </w:rPr>
            </w:pPr>
          </w:p>
        </w:tc>
      </w:tr>
      <w:tr>
        <w:trPr>
          <w:trHeight w:val="322"/>
        </w:trPr>
        <w:tc>
          <w:tcPr>
            <w:tcW w:w="4900" w:type="dxa"/>
            <w:vAlign w:val="bottom"/>
            <w:gridSpan w:val="2"/>
          </w:tcPr>
          <w:p>
            <w:pPr>
              <w:spacing w:after="0"/>
              <w:rPr>
                <w:sz w:val="20"/>
                <w:szCs w:val="20"/>
                <w:color w:val="auto"/>
              </w:rPr>
            </w:pPr>
            <w:r>
              <w:rPr>
                <w:rFonts w:ascii="Arial" w:cs="Arial" w:eastAsia="Arial" w:hAnsi="Arial"/>
                <w:sz w:val="18"/>
                <w:szCs w:val="18"/>
                <w:color w:val="auto"/>
              </w:rPr>
              <w:t>Net (loss) income available for Class A (E)</w:t>
            </w:r>
          </w:p>
        </w:tc>
        <w:tc>
          <w:tcPr>
            <w:tcW w:w="10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(4,954)</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19,628</w:t>
            </w:r>
          </w:p>
        </w:tc>
        <w:tc>
          <w:tcPr>
            <w:tcW w:w="10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(1,672)</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29,259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Class B (G)</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3,134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0" w:type="dxa"/>
            <w:vAlign w:val="bottom"/>
          </w:tcPr>
          <w:p>
            <w:pPr>
              <w:spacing w:after="0"/>
              <w:rPr>
                <w:sz w:val="1"/>
                <w:szCs w:val="1"/>
                <w:color w:val="auto"/>
              </w:rPr>
            </w:pPr>
          </w:p>
        </w:tc>
      </w:tr>
      <w:tr>
        <w:trPr>
          <w:trHeight w:val="322"/>
        </w:trPr>
        <w:tc>
          <w:tcPr>
            <w:tcW w:w="490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A (E/F)</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Class B (G/H)</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372"/>
          </w:cols>
          <w:pgMar w:left="248" w:top="274" w:right="279" w:bottom="1440" w:gutter="0" w:footer="0" w:header="0"/>
        </w:sectPr>
      </w:pPr>
    </w:p>
    <w:bookmarkStart w:id="30" w:name="page31"/>
    <w:bookmarkEnd w:id="30"/>
    <w:p>
      <w:pPr>
        <w:jc w:val="center"/>
        <w:ind w:right="-119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1192"/>
        <w:spacing w:after="0"/>
        <w:rPr>
          <w:sz w:val="20"/>
          <w:szCs w:val="20"/>
          <w:color w:val="auto"/>
        </w:rPr>
      </w:pPr>
      <w:r>
        <w:rPr>
          <w:rFonts w:ascii="Arial" w:cs="Arial" w:eastAsia="Arial" w:hAnsi="Arial"/>
          <w:sz w:val="15"/>
          <w:szCs w:val="15"/>
          <w:b w:val="1"/>
          <w:bCs w:val="1"/>
          <w:color w:val="auto"/>
        </w:rPr>
        <w:t>Notes to the Interim Unaudited Consolidated Financial Statements (continued)</w:t>
      </w:r>
    </w:p>
    <w:p>
      <w:pPr>
        <w:spacing w:after="0" w:line="212" w:lineRule="exact"/>
        <w:rPr>
          <w:sz w:val="20"/>
          <w:szCs w:val="20"/>
          <w:color w:val="auto"/>
        </w:rPr>
      </w:pPr>
    </w:p>
    <w:p>
      <w:pPr>
        <w:jc w:val="center"/>
        <w:ind w:right="-1192"/>
        <w:spacing w:after="0"/>
        <w:rPr>
          <w:sz w:val="20"/>
          <w:szCs w:val="20"/>
          <w:color w:val="auto"/>
        </w:rPr>
      </w:pPr>
      <w:r>
        <w:rPr>
          <w:rFonts w:ascii="Arial" w:cs="Arial" w:eastAsia="Arial" w:hAnsi="Arial"/>
          <w:sz w:val="18"/>
          <w:szCs w:val="18"/>
          <w:color w:val="auto"/>
        </w:rPr>
        <w:t>(Expressed in thousands of U.S. dollars except per share amounts)</w:t>
      </w:r>
    </w:p>
    <w:p>
      <w:pPr>
        <w:spacing w:after="0" w:line="152" w:lineRule="exact"/>
        <w:rPr>
          <w:sz w:val="20"/>
          <w:szCs w:val="20"/>
          <w:color w:val="auto"/>
        </w:rPr>
      </w:pPr>
    </w:p>
    <w:p>
      <w:pPr>
        <w:ind w:left="452" w:hanging="452"/>
        <w:spacing w:after="0"/>
        <w:tabs>
          <w:tab w:leader="none" w:pos="45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There are no subsequent events other than those disclosed elsewhere in these financial statements.</w:t>
      </w:r>
    </w:p>
    <w:p>
      <w:pPr>
        <w:spacing w:after="0" w:line="158" w:lineRule="exact"/>
        <w:rPr>
          <w:sz w:val="20"/>
          <w:szCs w:val="20"/>
          <w:color w:val="auto"/>
        </w:rPr>
      </w:pPr>
    </w:p>
    <w:p>
      <w:pPr>
        <w:ind w:left="5432"/>
        <w:spacing w:after="0"/>
        <w:rPr>
          <w:sz w:val="20"/>
          <w:szCs w:val="20"/>
          <w:color w:val="auto"/>
        </w:rPr>
      </w:pPr>
      <w:r>
        <w:rPr>
          <w:rFonts w:ascii="Arial" w:cs="Arial" w:eastAsia="Arial" w:hAnsi="Arial"/>
          <w:sz w:val="18"/>
          <w:szCs w:val="18"/>
          <w:color w:val="auto"/>
        </w:rPr>
        <w:t>Page 15</w:t>
      </w:r>
    </w:p>
    <w:sectPr>
      <w:pgSz w:w="11900" w:h="16838" w:orient="portrait"/>
      <w:cols w:equalWidth="0" w:num="1">
        <w:col w:w="10211"/>
      </w:cols>
      <w:pgMar w:left="248"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2"/>
    </w:lvl>
  </w:abstractNum>
  <w:abstractNum w:abstractNumId="10">
    <w:nsid w:val="41A7C4C9"/>
    <w:multiLevelType w:val="hybridMultilevel"/>
    <w:lvl w:ilvl="0">
      <w:lvlJc w:val="left"/>
      <w:lvlText w:val="%1."/>
      <w:numFmt w:val="decimal"/>
      <w:start w:val="3"/>
    </w:lvl>
  </w:abstractNum>
  <w:abstractNum w:abstractNumId="11">
    <w:nsid w:val="6B68079A"/>
    <w:multiLevelType w:val="hybridMultilevel"/>
    <w:lvl w:ilvl="0">
      <w:lvlJc w:val="left"/>
      <w:lvlText w:val="%1."/>
      <w:numFmt w:val="decimal"/>
      <w:start w:val="4"/>
    </w:lvl>
  </w:abstractNum>
  <w:abstractNum w:abstractNumId="12">
    <w:nsid w:val="4E6AFB66"/>
    <w:multiLevelType w:val="hybridMultilevel"/>
    <w:lvl w:ilvl="0">
      <w:lvlJc w:val="left"/>
      <w:lvlText w:val="%1."/>
      <w:numFmt w:val="decimal"/>
      <w:start w:val="5"/>
    </w:lvl>
  </w:abstractNum>
  <w:abstractNum w:abstractNumId="13">
    <w:nsid w:val="25E45D32"/>
    <w:multiLevelType w:val="hybridMultilevel"/>
    <w:lvl w:ilvl="0">
      <w:lvlJc w:val="left"/>
      <w:lvlText w:val="%1."/>
      <w:numFmt w:val="decimal"/>
      <w:start w:val="5"/>
    </w:lvl>
  </w:abstractNum>
  <w:abstractNum w:abstractNumId="14">
    <w:nsid w:val="519B500D"/>
    <w:multiLevelType w:val="hybridMultilevel"/>
    <w:lvl w:ilvl="0">
      <w:lvlJc w:val="left"/>
      <w:lvlText w:val="%1."/>
      <w:numFmt w:val="decimal"/>
      <w:start w:val="6"/>
    </w:lvl>
  </w:abstractNum>
  <w:abstractNum w:abstractNumId="15">
    <w:nsid w:val="431BD7B7"/>
    <w:multiLevelType w:val="hybridMultilevel"/>
    <w:lvl w:ilvl="0">
      <w:lvlJc w:val="left"/>
      <w:lvlText w:val="%1."/>
      <w:numFmt w:val="decimal"/>
      <w:start w:val="7"/>
    </w:lvl>
  </w:abstractNum>
  <w:abstractNum w:abstractNumId="16">
    <w:nsid w:val="3F2DBA31"/>
    <w:multiLevelType w:val="hybridMultilevel"/>
    <w:lvl w:ilvl="0">
      <w:lvlJc w:val="left"/>
      <w:lvlText w:val="%1."/>
      <w:numFmt w:val="decimal"/>
      <w:start w:val="8"/>
    </w:lvl>
  </w:abstractNum>
  <w:abstractNum w:abstractNumId="17">
    <w:nsid w:val="7C83E458"/>
    <w:multiLevelType w:val="hybridMultilevel"/>
    <w:lvl w:ilvl="0">
      <w:lvlJc w:val="left"/>
      <w:lvlText w:val="%1."/>
      <w:numFmt w:val="decimal"/>
      <w:start w:val="11"/>
    </w:lvl>
  </w:abstractNum>
  <w:abstractNum w:abstractNumId="18">
    <w:nsid w:val="257130A3"/>
    <w:multiLevelType w:val="hybridMultilevel"/>
    <w:lvl w:ilvl="0">
      <w:lvlJc w:val="left"/>
      <w:lvlText w:val="%1."/>
      <w:numFmt w:val="decimal"/>
      <w:start w:val="11"/>
    </w:lvl>
  </w:abstractNum>
  <w:abstractNum w:abstractNumId="19">
    <w:nsid w:val="62BBD95A"/>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2019-12-11T05:50:59Z</dcterms:created>
  <dcterms:modified xsi:type="dcterms:W3CDTF">2019-12-11T05:50:59Z</dcterms:modified>
</cp:coreProperties>
</file>