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287655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Date of Report: November 10, 2009</w:t>
      </w:r>
    </w:p>
    <w:p>
      <w:pPr>
        <w:spacing w:after="0" w:line="17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323850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GLOBAL SHIP LEASE, INC.</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 w:lineRule="exact"/>
        <w:rPr>
          <w:sz w:val="24"/>
          <w:szCs w:val="24"/>
          <w:color w:val="auto"/>
        </w:rPr>
      </w:pPr>
    </w:p>
    <w:p>
      <w:pPr>
        <w:ind w:left="460"/>
        <w:spacing w:after="0" w:line="207" w:lineRule="exact"/>
        <w:tabs>
          <w:tab w:leader="none" w:pos="1420" w:val="left"/>
          <w:tab w:leader="none" w:pos="1980" w:val="left"/>
          <w:tab w:leader="none" w:pos="29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4"/>
          <w:szCs w:val="14"/>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5" w:lineRule="exact"/>
        <w:rPr>
          <w:sz w:val="24"/>
          <w:szCs w:val="24"/>
          <w:color w:val="auto"/>
        </w:rPr>
      </w:pPr>
    </w:p>
    <w:p>
      <w:pPr>
        <w:ind w:left="460"/>
        <w:spacing w:after="0" w:line="207" w:lineRule="exact"/>
        <w:tabs>
          <w:tab w:leader="none" w:pos="920" w:val="left"/>
          <w:tab w:leader="none" w:pos="1480" w:val="left"/>
          <w:tab w:leader="none" w:pos="192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4"/>
          <w:szCs w:val="14"/>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5" w:lineRule="exact"/>
        <w:rPr>
          <w:sz w:val="24"/>
          <w:szCs w:val="24"/>
          <w:color w:val="auto"/>
        </w:rPr>
      </w:pPr>
    </w:p>
    <w:p>
      <w:pPr>
        <w:ind w:left="460"/>
        <w:spacing w:after="0" w:line="207" w:lineRule="exact"/>
        <w:tabs>
          <w:tab w:leader="none" w:pos="920" w:val="left"/>
          <w:tab w:leader="none" w:pos="1480" w:val="left"/>
          <w:tab w:leader="none" w:pos="192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4"/>
          <w:szCs w:val="14"/>
          <w:color w:val="auto"/>
        </w:rPr>
        <w:t>☒</w:t>
      </w:r>
    </w:p>
    <w:p>
      <w:pPr>
        <w:spacing w:after="0" w:line="16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ind w:left="460"/>
        <w:spacing w:after="0" w:line="207" w:lineRule="exact"/>
        <w:tabs>
          <w:tab w:leader="none" w:pos="920" w:val="left"/>
          <w:tab w:leader="none" w:pos="1480" w:val="left"/>
          <w:tab w:leader="none" w:pos="192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4"/>
          <w:szCs w:val="14"/>
          <w:color w:val="auto"/>
        </w:rPr>
        <w:t>☒</w:t>
      </w:r>
    </w:p>
    <w:p>
      <w:pPr>
        <w:spacing w:after="0" w:line="165" w:lineRule="exact"/>
        <w:rPr>
          <w:sz w:val="24"/>
          <w:szCs w:val="24"/>
          <w:color w:val="auto"/>
        </w:rPr>
      </w:pPr>
    </w:p>
    <w:p>
      <w:pPr>
        <w:spacing w:after="0"/>
        <w:tabs>
          <w:tab w:leader="none" w:pos="900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Attached hereto as Exhibit I is a press release dated November 10, 2009 of Global Ship Lease, Inc. (the “Company”) reporting the Company’s financial results for the Third Quarter 2009. Attached hereto as Exhibit II are the Company’s interim unaudited combined financial statements for the three and nine months ended September 30, 2009.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Arial" w:cs="Arial" w:eastAsia="Arial" w:hAnsi="Arial"/>
                <w:sz w:val="18"/>
                <w:szCs w:val="18"/>
                <w:color w:val="auto"/>
              </w:rPr>
              <w:t>Date: November 10, 2009</w:t>
            </w: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GLOBAL SHIP LEASE, INC.</w:t>
            </w:r>
          </w:p>
        </w:tc>
      </w:tr>
      <w:tr>
        <w:trPr>
          <w:trHeight w:val="432"/>
        </w:trPr>
        <w:tc>
          <w:tcPr>
            <w:tcW w:w="3840" w:type="dxa"/>
            <w:vAlign w:val="bottom"/>
          </w:tcPr>
          <w:p>
            <w:pPr>
              <w:spacing w:after="0"/>
              <w:rPr>
                <w:sz w:val="24"/>
                <w:szCs w:val="24"/>
                <w:color w:val="auto"/>
              </w:rPr>
            </w:pP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Ian J. Webber</w:t>
            </w:r>
          </w:p>
        </w:tc>
      </w:tr>
      <w:tr>
        <w:trPr>
          <w:trHeight w:val="203"/>
        </w:trPr>
        <w:tc>
          <w:tcPr>
            <w:tcW w:w="3840" w:type="dxa"/>
            <w:vAlign w:val="bottom"/>
          </w:tcPr>
          <w:p>
            <w:pPr>
              <w:spacing w:after="0"/>
              <w:rPr>
                <w:sz w:val="17"/>
                <w:szCs w:val="17"/>
                <w:color w:val="auto"/>
              </w:rPr>
            </w:pPr>
          </w:p>
        </w:tc>
        <w:tc>
          <w:tcPr>
            <w:tcW w:w="2460" w:type="dxa"/>
            <w:vAlign w:val="bottom"/>
          </w:tcPr>
          <w:p>
            <w:pPr>
              <w:ind w:left="1980"/>
              <w:spacing w:after="0" w:line="203"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Ian J. Webber</w:t>
            </w:r>
          </w:p>
        </w:tc>
      </w:tr>
      <w:tr>
        <w:trPr>
          <w:trHeight w:val="222"/>
        </w:trPr>
        <w:tc>
          <w:tcPr>
            <w:tcW w:w="3840" w:type="dxa"/>
            <w:vAlign w:val="bottom"/>
          </w:tcPr>
          <w:p>
            <w:pPr>
              <w:spacing w:after="0"/>
              <w:rPr>
                <w:sz w:val="19"/>
                <w:szCs w:val="19"/>
                <w:color w:val="auto"/>
              </w:rPr>
            </w:pPr>
          </w:p>
        </w:tc>
        <w:tc>
          <w:tcPr>
            <w:tcW w:w="2460" w:type="dxa"/>
            <w:vAlign w:val="bottom"/>
          </w:tcPr>
          <w:p>
            <w:pPr>
              <w:ind w:left="19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98615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61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Third Quarter of 2009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LONDON, ENGLAND—November 10, 2009 </w:t>
      </w:r>
      <w:r>
        <w:rPr>
          <w:rFonts w:ascii="Arial" w:cs="Arial" w:eastAsia="Arial" w:hAnsi="Arial"/>
          <w:sz w:val="18"/>
          <w:szCs w:val="18"/>
          <w:color w:val="auto"/>
        </w:rPr>
        <w:t>- Global Ship Lease, Inc. (NYSE:GSL, GSL.U and GSL.WS), a containership charter owner, announced today its</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 results for the three months ended September 30,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Year-to-Date 2009 Highlights</w:t>
      </w:r>
    </w:p>
    <w:p>
      <w:pPr>
        <w:spacing w:after="0" w:line="96"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$15.4 million of cash in the third quarter of 2009 and $45.5 million in the nine months ended September 30, 2009</w:t>
      </w:r>
    </w:p>
    <w:p>
      <w:pPr>
        <w:spacing w:after="0" w:line="171" w:lineRule="exact"/>
        <w:rPr>
          <w:rFonts w:ascii="Arial" w:cs="Arial" w:eastAsia="Arial" w:hAnsi="Arial"/>
          <w:sz w:val="18"/>
          <w:szCs w:val="18"/>
          <w:color w:val="auto"/>
        </w:rPr>
      </w:pPr>
    </w:p>
    <w:p>
      <w:pPr>
        <w:ind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$37.6 million for the third quarter of 2009, up 57% on $23.9 million for the third quarter 2008 due to the purchase of four additional vessels in December 2008 and one additional vessel in August 2009 and $108.8 million for the nine months ended September 30, 2009 up 58% on $68.7 million for the nine months ended September 30, 2008</w:t>
      </w:r>
    </w:p>
    <w:p>
      <w:pPr>
        <w:spacing w:after="0" w:line="140" w:lineRule="exact"/>
        <w:rPr>
          <w:rFonts w:ascii="Arial" w:cs="Arial" w:eastAsia="Arial" w:hAnsi="Arial"/>
          <w:sz w:val="18"/>
          <w:szCs w:val="18"/>
          <w:color w:val="auto"/>
        </w:rPr>
      </w:pPr>
    </w:p>
    <w:p>
      <w:pPr>
        <w:ind w:right="20"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normalized net earnings of $6.2 million, or $0.12 per share, for the third quarter of 2009, excluding a $8.1 million non-cash interest rate derivative mark-to-market charge and $2.0 million deferred financing costs written off on an accelerated basis. For the nine months ended September 30, 2009 normalized net earnings was $19.4 million, or $0.36 per share, excluding $12.8 million non-cash mark-to-market gain and $2.2 million deferred financing costs written off on an accelerated basis</w:t>
      </w:r>
    </w:p>
    <w:p>
      <w:pPr>
        <w:spacing w:after="0" w:line="143" w:lineRule="exact"/>
        <w:rPr>
          <w:rFonts w:ascii="Arial" w:cs="Arial" w:eastAsia="Arial" w:hAnsi="Arial"/>
          <w:sz w:val="18"/>
          <w:szCs w:val="18"/>
          <w:color w:val="auto"/>
        </w:rPr>
      </w:pPr>
    </w:p>
    <w:p>
      <w:pPr>
        <w:ind w:right="18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the non-cash mark-to-market and deferred financing costs items, reported net loss was $3.9 million, or $(0.07) loss per share, for the third quarter of 2009 and net gain was $30.0 million, or $0.56 per share, for the nine months ended September 30, 2009</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Purchased CMA CGM Berlioz, a 2001-built 6,627 TEU container vessel, in August 2009 for $82 million. The vessel is chartered to CMA CGM for 12 years.</w:t>
      </w:r>
    </w:p>
    <w:p>
      <w:pPr>
        <w:spacing w:after="0" w:line="194" w:lineRule="exact"/>
        <w:rPr>
          <w:rFonts w:ascii="Arial" w:cs="Arial" w:eastAsia="Arial" w:hAnsi="Arial"/>
          <w:sz w:val="16"/>
          <w:szCs w:val="16"/>
          <w:color w:val="auto"/>
        </w:rPr>
      </w:pPr>
    </w:p>
    <w:p>
      <w:pPr>
        <w:ind w:right="180" w:firstLine="8"/>
        <w:spacing w:after="0" w:line="306"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Amended the credit facility in August 2009 to suspend loan-to-value tests effectively until second quarter 2011. The amendment also allowed further borrowings to finance the purchase of CMA CGM Berlioz, cancelled all undrawn commitments and requires prepayments based on free cash flow. No common dividends can be declared or paid until the later of November 30, 2010 or when loan-to-value falls to 75% or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Ian Webber, Chief Executive Officer of Global Ship Lease, stated, “During the third quarter, Global Ship Lease’s entire fleet remained secured on long-term contracts and the business model continued to perform as expected. Our contracted revenue and capped operating cost agreements enabled the Company to once again record strong and consistent revenue and cash flow. Complementing our operating performance, we grew our fleet and contracted revenue with the purchase of the CMA CGM Berlioz in August 2009. As anticipated, we also finalized an amendment to our credit facility during August.”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Three And Nine months ended September 30, 2009</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Comparative financial information for the three and nine months ended September 30, 2008 is prepared under predecessor accounting rules and includes the results of operations of two of the Company’s vessels for part of January 2008 when they were owned by CMA CGM, a privately owned French container shipping company, and operated in CMA CGM’s business of earning revenue from carrying containerized cargo. Global Ship Lease commenced its business of time chartering out vessels in December 2007 when it purchased 10 container vessels from CMA CGM. The Company purchased the two additional vessels from CMA CGM in January 2008 and has subsequently purchase an additional five vessels. The predecessor and Global Ship Lease business models are not comparable.</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Further, there were significant changes to the Company’s legal and capital structure arising from the merger on August 14, 2008, which resulted in the Company becoming listed on the New York Stock Exchange. Accordingly, selected comparative information is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Nine</w:t>
            </w:r>
          </w:p>
        </w:tc>
        <w:tc>
          <w:tcPr>
            <w:tcW w:w="20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months</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months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months</w:t>
            </w:r>
          </w:p>
        </w:tc>
        <w:tc>
          <w:tcPr>
            <w:tcW w:w="200" w:type="dxa"/>
            <w:vAlign w:val="bottom"/>
          </w:tcPr>
          <w:p>
            <w:pPr>
              <w:spacing w:after="0"/>
              <w:rPr>
                <w:sz w:val="12"/>
                <w:szCs w:val="12"/>
                <w:color w:val="auto"/>
              </w:rPr>
            </w:pP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Sept 30,</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 30,</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 30,</w:t>
            </w:r>
          </w:p>
        </w:tc>
        <w:tc>
          <w:tcPr>
            <w:tcW w:w="200" w:type="dxa"/>
            <w:vAlign w:val="bottom"/>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Sept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2008 (4)</w:t>
            </w: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8"/>
              </w:rPr>
              <w:t>2008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Revenue (1)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37,623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23,912</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108,824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Operating Income (1)</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16,132</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9,414</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43,855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(3,893)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(1,221)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Earnings per A and B share (2)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20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earnings (2) (3)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Normalised earnings per A and B share (2) (3)</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3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20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Adjusted Cash From Operations (2) (3)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15,383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45,485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Comparative data for the three and nine months ended September 30, 2008 relates to the Company’s time charter business only and therefore excludes the results from containerized transportation undertaken by the predecessor group</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Comparative data is not presented due to the significant changes to the legal and capital structure arising from the merger on August 14, 2008 resulting in the Company being listed on the New York Stock Exchange</w:t>
      </w:r>
    </w:p>
    <w:p>
      <w:pPr>
        <w:spacing w:after="0" w:line="50" w:lineRule="exact"/>
        <w:rPr>
          <w:rFonts w:ascii="Arial" w:cs="Arial" w:eastAsia="Arial" w:hAnsi="Arial"/>
          <w:sz w:val="18"/>
          <w:szCs w:val="18"/>
          <w:color w:val="auto"/>
        </w:rPr>
      </w:pPr>
    </w:p>
    <w:p>
      <w:pPr>
        <w:ind w:left="460" w:right="26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Normalized net earnings, normalized earnings per share, and adjusted cash from operations are non-US Generally Accepted Accounting Principles (US GAAP) measures, as explained further in this press release, and reconciliations are provided to the interim unaudited financial information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60"/>
          </w:cols>
          <w:pgMar w:left="240" w:top="280" w:right="299" w:bottom="1440" w:gutter="0" w:footer="0" w:header="0"/>
        </w:sectPr>
      </w:pPr>
    </w:p>
    <w:bookmarkStart w:id="4" w:name="page5"/>
    <w:bookmarkEnd w:id="4"/>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combination of time charter activity for Predecessor and Successor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Global Ship Lease owned sixteen vessels up to August 26, 2009 when CMA CGM Berlioz was purchased. The fleet generated revenue from fixed rate long-term time charters of $37.6 million in the three months ended September 30, 2009, up 57% on revenue of $23.9 million for the comparative period in 2008 due to the purchase of four additional ships in December 2008 and one in August 2009. These five vessels have an average daily charter rate of $31,450 compared to an average daily charter rate of $22,685 for the previous fleet of 12 vessels. During the three months ended September 30, 2009 there were 1,508 ownership days, up 404 or 37% on 1,104 ownership days in the comparable period. CMA CGM Matisse was dry-docked, at a cost of $0.9 million, for 16 days in the quarter and there were four unplanned off-hire days in the three months ended September 30, 2009 giving utilization of 98.7%. In the comparable period of 2008, there were 18 unplanned off-hire days, giving utilization of 98.4%.</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nine months ended September 30, 2009 revenue was $108.8 million, an increase of 58% compared to time charter revenue of $68.7 million in the comparative period. Ownership days at 4,404 were up 1,141, or 35%, on 3,263 in the comparative period. Utilization in the nine months ended September 30, 2009 was 98.7% up slightly on 98.6% in the comparative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Vessel operating expenses, which include costs of crew, lubricating oil, spares and insurance, were $10.3 million for the three months ended September 30, 2009. The average cost per ownership day was $6,820 down 5% from the average daily cost of $7,217 for the previous quarter due to an insurance related credit arising in the three months ended September 30, 2009 and due to the previous quarter including approximately $400,000 of spend on crane jib improvements and replacing radars and turbo charger grids, and down 5% from the average daily cost of $7,145 for the comparative period in 2008.</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Vessel operating expenses were $31.5 million for the nine months ended September 30, 2009 or $7,156 per ownership day. This compares to $21.9 million vessel operating expenses associated with the time charter business in the comparative period or $6,703 per ownership day. The increase over 2008 is due mainly to increases in crew costs in the intervening period and the impact of the four vessels delivered in December 2008 which are on average larger than the previous vessels and are thus more expensive to operate.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are at less than the capped amounts included in Global Ship Lease’s ship management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was $9.5 million for the three months ended September 30, 2009, including the effect of the purchase of four additional vessels in December 2008 and one in August 2009, compared to $5.2 million for the comparative period. In the nine months to September 30, 2009 depreciation was $27.2 million, up from $14.7 million for the time charter business in the comparative period in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7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General and administrative costs incurred were $2.0 million in the three months ended September 30, 2009, including $0.6 million non-cash charge for stock based incentives, compared to $1.5 million for the time charter business in the comparable period in 2008 when for half of the quarter the Company was a wholly-owned subsidiary of CMA CGM. In the nine months ended September 30, 2009 general and administrative costs were $6.6 million, including $2.2 million non-cash charge for stock based incentives, compared to $3.3 million in the comparative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Expense</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September 30, 2009 was $7.9 million. This includes a non recurring write off of a portion of brought forward unamortized deferred financing costs of $2.0 million as a result of reduced borrowing capacity following the amendment to the credit facility agreed in August 2009. The Company’s borrowings under its credit facility averaged approximately $564.4 million in the three months ended September 30, 2009 and there were $48.0 million preferred shares throughout the period. Interest expense in the comparative period in 2008 was $4.2 million based on average borrowings of $453.4 million in the quarter.</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2009 net interest expense was $18.1 million including $2.2 million write off of deferred financing costs and based on average borrowings, including the preferred shares, of $597.6 million compared to $18.8 million net interest expense for the comparative period in 2008 based on average borrowings including the preferred shares of $536.0 million in the comparative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hedges the majority of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led to a $12.0 million loss in the three months ended September 30, 2009, reflecting primarily movements in the forward curve for interest rates. Of this amount, $3.9 million was realized for settlements of swaps in the period and $8.1 million was unrealized for revaluation of the balance sheet position. This compares to a $6.7 million loss in the three months ended September 30, 2008 of which $0.3 million was realized and $6.4 million was unrealized. For the nine months ended September 30, 2009 the reported gain was $4.1 million comprising $8.7 million realized charge and $12.8 million unrealized gain. For the nine months ended September 30, 2008 the reported loss was $1.5 million of which $0.4 million was realized and $1.1 million was unrealized.</w:t>
      </w:r>
    </w:p>
    <w:p>
      <w:pPr>
        <w:spacing w:after="0" w:line="118" w:lineRule="exact"/>
        <w:rPr>
          <w:sz w:val="20"/>
          <w:szCs w:val="20"/>
          <w:color w:val="auto"/>
        </w:rPr>
      </w:pPr>
    </w:p>
    <w:p>
      <w:pPr>
        <w:ind w:right="3820"/>
        <w:spacing w:after="0" w:line="438" w:lineRule="auto"/>
        <w:rPr>
          <w:sz w:val="20"/>
          <w:szCs w:val="20"/>
          <w:color w:val="auto"/>
        </w:rPr>
      </w:pPr>
      <w:r>
        <w:rPr>
          <w:rFonts w:ascii="Arial" w:cs="Arial" w:eastAsia="Arial" w:hAnsi="Arial"/>
          <w:sz w:val="18"/>
          <w:szCs w:val="18"/>
          <w:color w:val="auto"/>
        </w:rPr>
        <w:t xml:space="preserve">At September 30, 2009 the total mark-to-market unrealized loss recognized as a liability was $34.2 million. Unrealized mark-to-market adjustments have no impact on operating performance or cash generation. </w:t>
      </w:r>
      <w:r>
        <w:rPr>
          <w:rFonts w:ascii="Arial" w:cs="Arial" w:eastAsia="Arial" w:hAnsi="Arial"/>
          <w:sz w:val="18"/>
          <w:szCs w:val="18"/>
          <w:i w:val="1"/>
          <w:iCs w:val="1"/>
          <w:color w:val="auto"/>
        </w:rPr>
        <w:t>Net Earnings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Normalized net earnings was $6.2 million, or $0.12 per Class A and B common share, for the three months ended September 30, 2009 excluding the $8.1million non-cash interest rate derivative mark-to-market loss and $2.0 million write off of deferred financing costs following the reduction in the company’s borrowing capacity. Including the mark-to-market loss and the deferred financing costs written off, the net loss was $3.9 million or $(0.07) loss per Class A and B common share.</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Normalized net earnings was $19.4 million, or $0.36 per Class A and B common share, for the nine months ended September 30, 2009 excluding the $12.8 million non-cash interest rate derivative mark-to-market gain and $2.2 million deferred financing costs written off. Including these items, net income was $30.0 million or $0.56 per Class A and B common share.</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Normalized net earnings and normalized earnings per share are non-US GAAP measures and are reconciled to the financial information included in this press release. We believe that they are useful measures with which to assess the Company’s financial performance as they adjust for non-cash items that do not affect the Company’s ability to generate cash.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Facility</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August 20, 2009, the Company entered into an amendment to its credit facility, whereby the loan-to-value covenant has been waived up to and including November 30, 2010 with the next loan-to-value test scheduled for April 30, 2011. Further, Global Ship Lease was able to borrow sufficient funds under the credit facility to allow the purchase of the CMA CGM Berlioz in August 2009. Amounts borrowed under the amended credit facility bear interest at LIBOR plus a fixed interest margin of 3.50% up to November 30, 2010. Thereafter, the margin will be between 2.50% and 3.50% depending on the loan-to-value ratio.</w:t>
      </w:r>
    </w:p>
    <w:p>
      <w:pPr>
        <w:spacing w:after="0" w:line="1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connection with the amended credit facility, all undrawn commitments of approximately $200 million were cancelled and Global Ship Lease may not pay dividends to common shareholders, instead using its cash flow to prepay borrowings under the credit facility. Global Ship Lease will be able to resume dividends after November 30, 2010 and once the loan-to-value is at or below 75%, when the prepayment of borrowings becomes fixed at $10 million per quarter. As part of the amendment, CMA CGM has agreed to defer redemption of the $48 million preferred shares it holds until after the final maturity of the credit facility in August 2016 and retain its current holding of approximately 24.4 million common shares at least until November 30,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has agreed with its lenders that it will not declare or pay any dividend to common shareholders until the later of November 30, 2010 and when loan-to-value is at or below 75%. The board of directors will review the dividend policy when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Cash From Operations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Adjusted cash from operations was $15.4 million for the three months ended September 30, 2009 and was $45.5 million for the nine months then ended. Adjusted cash from operations is a non-US GAAP measure and is reconciled to the financial information further in this press release. The Company believes that it is a useful measure with which to assess the Company’s operating performance as it adjusts for the effects of non-cash items.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Utilization</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table below shows fleet utilization for the three and nine months to September 30, 2009 and 2008. Unplanned offhire in the nine months ended September 30, 2009 includes 18 days in first quarter for drydock and associated repairs following a grounding and a seven day deviation to land a sick crew member.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Three months ended</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Nine months ended</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40" w:type="dxa"/>
            <w:vAlign w:val="bottom"/>
            <w:gridSpan w:val="2"/>
          </w:tcPr>
          <w:p>
            <w:pPr>
              <w:jc w:val="right"/>
              <w:ind w:right="332"/>
              <w:spacing w:after="0" w:line="129" w:lineRule="exact"/>
              <w:rPr>
                <w:sz w:val="20"/>
                <w:szCs w:val="20"/>
                <w:color w:val="auto"/>
              </w:rPr>
            </w:pPr>
            <w:r>
              <w:rPr>
                <w:rFonts w:ascii="Arial" w:cs="Arial" w:eastAsia="Arial" w:hAnsi="Arial"/>
                <w:sz w:val="14"/>
                <w:szCs w:val="14"/>
                <w:b w:val="1"/>
                <w:bCs w:val="1"/>
                <w:color w:val="auto"/>
                <w:w w:val="78"/>
              </w:rPr>
              <w:t>Sept 30,</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1"/>
              </w:rPr>
              <w:t>Sept 30,</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jc w:val="center"/>
              <w:ind w:right="312"/>
              <w:spacing w:after="0" w:line="129" w:lineRule="exact"/>
              <w:rPr>
                <w:sz w:val="20"/>
                <w:szCs w:val="20"/>
                <w:color w:val="auto"/>
              </w:rPr>
            </w:pPr>
            <w:r>
              <w:rPr>
                <w:rFonts w:ascii="Arial" w:cs="Arial" w:eastAsia="Arial" w:hAnsi="Arial"/>
                <w:sz w:val="14"/>
                <w:szCs w:val="14"/>
                <w:b w:val="1"/>
                <w:bCs w:val="1"/>
                <w:color w:val="auto"/>
                <w:w w:val="81"/>
              </w:rPr>
              <w:t>Sept 30,</w:t>
            </w:r>
          </w:p>
        </w:tc>
        <w:tc>
          <w:tcPr>
            <w:tcW w:w="8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Sept 30,</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gridSpan w:val="3"/>
          </w:tcPr>
          <w:p>
            <w:pPr>
              <w:spacing w:after="0"/>
              <w:rPr>
                <w:sz w:val="20"/>
                <w:szCs w:val="20"/>
                <w:color w:val="auto"/>
              </w:rPr>
            </w:pPr>
            <w:r>
              <w:rPr>
                <w:rFonts w:ascii="Arial" w:cs="Arial" w:eastAsia="Arial" w:hAnsi="Arial"/>
                <w:sz w:val="14"/>
                <w:szCs w:val="14"/>
                <w:b w:val="1"/>
                <w:bCs w:val="1"/>
                <w:color w:val="auto"/>
              </w:rPr>
              <w:t>Days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460" w:type="dxa"/>
            <w:vAlign w:val="bottom"/>
          </w:tcPr>
          <w:p>
            <w:pPr>
              <w:jc w:val="right"/>
              <w:ind w:right="18"/>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0"/>
              </w:rPr>
              <w:t>Increase</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7"/>
              </w:rPr>
              <w:t>4,404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3,263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40" w:type="dxa"/>
            <w:vAlign w:val="bottom"/>
            <w:gridSpan w:val="2"/>
          </w:tcPr>
          <w:p>
            <w:pPr>
              <w:jc w:val="right"/>
              <w:ind w:right="272"/>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 - other</w:t>
            </w:r>
          </w:p>
        </w:tc>
        <w:tc>
          <w:tcPr>
            <w:tcW w:w="8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(42)</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37%</w:t>
            </w: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221"/>
        </w:trPr>
        <w:tc>
          <w:tcPr>
            <w:tcW w:w="6460" w:type="dxa"/>
            <w:vAlign w:val="bottom"/>
            <w:gridSpan w:val="3"/>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1,488</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1,086</w:t>
            </w:r>
          </w:p>
        </w:tc>
        <w:tc>
          <w:tcPr>
            <w:tcW w:w="4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60" w:type="dxa"/>
            <w:vAlign w:val="bottom"/>
            <w:gridSpan w:val="2"/>
          </w:tcPr>
          <w:p>
            <w:pPr>
              <w:jc w:val="right"/>
              <w:ind w:right="332"/>
              <w:spacing w:after="0"/>
              <w:rPr>
                <w:sz w:val="20"/>
                <w:szCs w:val="20"/>
                <w:color w:val="auto"/>
              </w:rPr>
            </w:pPr>
            <w:r>
              <w:rPr>
                <w:rFonts w:ascii="Arial" w:cs="Arial" w:eastAsia="Arial" w:hAnsi="Arial"/>
                <w:sz w:val="18"/>
                <w:szCs w:val="18"/>
                <w:color w:val="auto"/>
                <w:w w:val="97"/>
              </w:rPr>
              <w:t>4,346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3,218</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98.7%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98.7%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Daily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760" w:type="dxa"/>
            <w:vAlign w:val="bottom"/>
          </w:tcPr>
          <w:p>
            <w:pPr>
              <w:jc w:val="right"/>
              <w:ind w:right="35"/>
              <w:spacing w:after="0" w:line="135" w:lineRule="exact"/>
              <w:rPr>
                <w:sz w:val="20"/>
                <w:szCs w:val="20"/>
                <w:color w:val="auto"/>
              </w:rPr>
            </w:pPr>
            <w:r>
              <w:rPr>
                <w:rFonts w:ascii="Arial" w:cs="Arial" w:eastAsia="Arial" w:hAnsi="Arial"/>
                <w:sz w:val="14"/>
                <w:szCs w:val="14"/>
                <w:b w:val="1"/>
                <w:bCs w:val="1"/>
                <w:color w:val="auto"/>
              </w:rPr>
              <w:t>Capacity</w:t>
            </w:r>
          </w:p>
        </w:tc>
        <w:tc>
          <w:tcPr>
            <w:tcW w:w="20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Purchase Date</w:t>
            </w:r>
          </w:p>
        </w:tc>
        <w:tc>
          <w:tcPr>
            <w:tcW w:w="2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Duration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Charter</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76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9"/>
              </w:rPr>
              <w:t xml:space="preserve">in TEUs </w:t>
            </w:r>
            <w:r>
              <w:rPr>
                <w:rFonts w:ascii="Arial" w:cs="Arial" w:eastAsia="Arial" w:hAnsi="Arial"/>
                <w:sz w:val="20"/>
                <w:szCs w:val="20"/>
                <w:b w:val="1"/>
                <w:bCs w:val="1"/>
                <w:color w:val="auto"/>
                <w:w w:val="99"/>
                <w:vertAlign w:val="superscript"/>
              </w:rPr>
              <w:t>(1)</w:t>
            </w:r>
          </w:p>
        </w:tc>
        <w:tc>
          <w:tcPr>
            <w:tcW w:w="20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Built</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by GSL</w:t>
            </w:r>
          </w:p>
        </w:tc>
        <w:tc>
          <w:tcPr>
            <w:tcW w:w="2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 ($)</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1997</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28,500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760" w:type="dxa"/>
            <w:vAlign w:val="bottom"/>
          </w:tcPr>
          <w:p>
            <w:pPr>
              <w:jc w:val="right"/>
              <w:spacing w:after="0"/>
              <w:rPr>
                <w:sz w:val="20"/>
                <w:szCs w:val="20"/>
                <w:color w:val="auto"/>
              </w:rPr>
            </w:pPr>
            <w:r>
              <w:rPr>
                <w:rFonts w:ascii="Arial" w:cs="Arial" w:eastAsia="Arial" w:hAnsi="Arial"/>
                <w:sz w:val="18"/>
                <w:szCs w:val="18"/>
                <w:color w:val="auto"/>
              </w:rPr>
              <w:t>4,113</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1996</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28,500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1999</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760" w:type="dxa"/>
            <w:vAlign w:val="bottom"/>
          </w:tcPr>
          <w:p>
            <w:pPr>
              <w:jc w:val="right"/>
              <w:spacing w:after="0"/>
              <w:rPr>
                <w:sz w:val="20"/>
                <w:szCs w:val="20"/>
                <w:color w:val="auto"/>
              </w:rPr>
            </w:pPr>
            <w:r>
              <w:rPr>
                <w:rFonts w:ascii="Arial" w:cs="Arial" w:eastAsia="Arial" w:hAnsi="Arial"/>
                <w:sz w:val="18"/>
                <w:szCs w:val="18"/>
                <w:color w:val="auto"/>
              </w:rPr>
              <w:t>2,262</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1999</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760" w:type="dxa"/>
            <w:vAlign w:val="bottom"/>
          </w:tcPr>
          <w:p>
            <w:pPr>
              <w:jc w:val="right"/>
              <w:spacing w:after="0"/>
              <w:rPr>
                <w:sz w:val="20"/>
                <w:szCs w:val="20"/>
                <w:color w:val="auto"/>
              </w:rPr>
            </w:pPr>
            <w:r>
              <w:rPr>
                <w:rFonts w:ascii="Arial" w:cs="Arial" w:eastAsia="Arial" w:hAnsi="Arial"/>
                <w:sz w:val="18"/>
                <w:szCs w:val="18"/>
                <w:color w:val="auto"/>
              </w:rPr>
              <w:t>2,207</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2002</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760" w:type="dxa"/>
            <w:vAlign w:val="bottom"/>
          </w:tcPr>
          <w:p>
            <w:pPr>
              <w:jc w:val="right"/>
              <w:spacing w:after="0"/>
              <w:rPr>
                <w:sz w:val="20"/>
                <w:szCs w:val="20"/>
                <w:color w:val="auto"/>
              </w:rPr>
            </w:pPr>
            <w:r>
              <w:rPr>
                <w:rFonts w:ascii="Arial" w:cs="Arial" w:eastAsia="Arial" w:hAnsi="Arial"/>
                <w:sz w:val="18"/>
                <w:szCs w:val="18"/>
                <w:color w:val="auto"/>
              </w:rPr>
              <w:t>2,207</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2002</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760" w:type="dxa"/>
            <w:vAlign w:val="bottom"/>
          </w:tcPr>
          <w:p>
            <w:pPr>
              <w:jc w:val="right"/>
              <w:spacing w:after="0"/>
              <w:rPr>
                <w:sz w:val="20"/>
                <w:szCs w:val="20"/>
                <w:color w:val="auto"/>
              </w:rPr>
            </w:pPr>
            <w:r>
              <w:rPr>
                <w:rFonts w:ascii="Arial" w:cs="Arial" w:eastAsia="Arial" w:hAnsi="Arial"/>
                <w:sz w:val="18"/>
                <w:szCs w:val="18"/>
                <w:color w:val="auto"/>
              </w:rPr>
              <w:t>2,272</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2001</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18,465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2007</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33,750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760" w:type="dxa"/>
            <w:vAlign w:val="bottom"/>
          </w:tcPr>
          <w:p>
            <w:pPr>
              <w:jc w:val="right"/>
              <w:spacing w:after="0"/>
              <w:rPr>
                <w:sz w:val="20"/>
                <w:szCs w:val="20"/>
                <w:color w:val="auto"/>
              </w:rPr>
            </w:pPr>
            <w:r>
              <w:rPr>
                <w:rFonts w:ascii="Arial" w:cs="Arial" w:eastAsia="Arial" w:hAnsi="Arial"/>
                <w:sz w:val="18"/>
                <w:szCs w:val="18"/>
                <w:color w:val="auto"/>
              </w:rPr>
              <w:t>5,100</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2007</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33,750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47,200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760" w:type="dxa"/>
            <w:vAlign w:val="bottom"/>
          </w:tcPr>
          <w:p>
            <w:pPr>
              <w:jc w:val="right"/>
              <w:spacing w:after="0"/>
              <w:rPr>
                <w:sz w:val="20"/>
                <w:szCs w:val="20"/>
                <w:color w:val="auto"/>
              </w:rPr>
            </w:pPr>
            <w:r>
              <w:rPr>
                <w:rFonts w:ascii="Arial" w:cs="Arial" w:eastAsia="Arial" w:hAnsi="Arial"/>
                <w:sz w:val="18"/>
                <w:szCs w:val="18"/>
                <w:color w:val="auto"/>
              </w:rPr>
              <w:t>4,298</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2006</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25,350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25,350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760" w:type="dxa"/>
            <w:vAlign w:val="bottom"/>
          </w:tcPr>
          <w:p>
            <w:pPr>
              <w:jc w:val="right"/>
              <w:spacing w:after="0"/>
              <w:rPr>
                <w:sz w:val="20"/>
                <w:szCs w:val="20"/>
                <w:color w:val="auto"/>
              </w:rPr>
            </w:pPr>
            <w:r>
              <w:rPr>
                <w:rFonts w:ascii="Arial" w:cs="Arial" w:eastAsia="Arial" w:hAnsi="Arial"/>
                <w:sz w:val="18"/>
                <w:szCs w:val="18"/>
                <w:color w:val="auto"/>
              </w:rPr>
              <w:t>4,045</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2006</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December 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25,350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2001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ind w:left="900" w:hanging="446"/>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contracted fleet.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Capacity</w:t>
            </w: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Estimated Delivery</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Charter</w:t>
            </w: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7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1"/>
              </w:rPr>
              <w:t>in TEUs</w:t>
            </w:r>
          </w:p>
        </w:tc>
        <w:tc>
          <w:tcPr>
            <w:tcW w:w="3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Duration</w:t>
            </w:r>
          </w:p>
        </w:tc>
        <w:tc>
          <w:tcPr>
            <w:tcW w:w="120" w:type="dxa"/>
            <w:vAlign w:val="bottom"/>
          </w:tcPr>
          <w:p>
            <w:pPr>
              <w:spacing w:after="0"/>
              <w:rPr>
                <w:sz w:val="11"/>
                <w:szCs w:val="11"/>
                <w:color w:val="auto"/>
              </w:rPr>
            </w:pP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w:t>
            </w:r>
          </w:p>
        </w:tc>
        <w:tc>
          <w:tcPr>
            <w:tcW w:w="2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6"/>
              </w:rPr>
              <w:t>Built</w:t>
            </w:r>
          </w:p>
        </w:tc>
        <w:tc>
          <w:tcPr>
            <w:tcW w:w="2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Charterer</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2010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ZIM</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(3)</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4,250</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2010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ZIM</w:t>
            </w:r>
          </w:p>
        </w:tc>
        <w:tc>
          <w:tcPr>
            <w:tcW w:w="780" w:type="dxa"/>
            <w:vAlign w:val="bottom"/>
            <w:gridSpan w:val="2"/>
          </w:tcPr>
          <w:p>
            <w:pPr>
              <w:jc w:val="right"/>
              <w:ind w:right="120"/>
              <w:spacing w:after="0"/>
              <w:rPr>
                <w:sz w:val="20"/>
                <w:szCs w:val="20"/>
                <w:color w:val="auto"/>
              </w:rPr>
            </w:pPr>
            <w:r>
              <w:rPr>
                <w:rFonts w:ascii="Arial" w:cs="Arial" w:eastAsia="Arial" w:hAnsi="Arial"/>
                <w:sz w:val="35"/>
                <w:szCs w:val="35"/>
                <w:color w:val="auto"/>
                <w:vertAlign w:val="subscript"/>
              </w:rPr>
              <w:t>7-8</w:t>
            </w:r>
            <w:r>
              <w:rPr>
                <w:rFonts w:ascii="Arial" w:cs="Arial" w:eastAsia="Arial" w:hAnsi="Arial"/>
                <w:sz w:val="11"/>
                <w:szCs w:val="11"/>
                <w:color w:val="auto"/>
              </w:rPr>
              <w:t xml:space="preserve"> (3)</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00" w:hanging="446"/>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 w:lineRule="exact"/>
        <w:rPr>
          <w:rFonts w:ascii="Arial" w:cs="Arial" w:eastAsia="Arial" w:hAnsi="Arial"/>
          <w:sz w:val="18"/>
          <w:szCs w:val="18"/>
          <w:i w:val="1"/>
          <w:iCs w:val="1"/>
          <w:color w:val="auto"/>
        </w:rPr>
      </w:pPr>
    </w:p>
    <w:p>
      <w:pPr>
        <w:ind w:left="900" w:hanging="446"/>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Seven-year charter that could be extended to eight years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will hold a conference call to discuss the Company’s results for the three months ended September 30, 2009 today, Tuesday, November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 at 10:30 a.m. Eastern Time. There are two ways to access the conference call:</w:t>
      </w:r>
    </w:p>
    <w:p>
      <w:pPr>
        <w:spacing w:after="0" w:line="20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Dial-in: (800) 289-0546 or (913) 312-0692; Passcode: 2534512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dial in at least 10 minutes prior to 10:30 a.m. Eastern Time to ensure a prompt start to the call.</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Live Internet webcast and slide presentation: </w:t>
      </w:r>
      <w:r>
        <w:rPr>
          <w:rFonts w:ascii="Arial" w:cs="Arial" w:eastAsia="Arial" w:hAnsi="Arial"/>
          <w:sz w:val="18"/>
          <w:szCs w:val="18"/>
          <w:u w:val="single" w:color="auto"/>
          <w:color w:val="auto"/>
        </w:rPr>
        <w:t>http://www.globalshiplease.com</w:t>
      </w:r>
    </w:p>
    <w:p>
      <w:pPr>
        <w:spacing w:after="0" w:line="171" w:lineRule="exact"/>
        <w:rPr>
          <w:rFonts w:ascii="Arial" w:cs="Arial" w:eastAsia="Arial" w:hAnsi="Arial"/>
          <w:sz w:val="18"/>
          <w:szCs w:val="18"/>
          <w:color w:val="auto"/>
        </w:rPr>
      </w:pPr>
    </w:p>
    <w:p>
      <w:pPr>
        <w:ind w:left="460"/>
        <w:spacing w:after="0" w:line="332" w:lineRule="auto"/>
        <w:rPr>
          <w:rFonts w:ascii="Arial" w:cs="Arial" w:eastAsia="Arial" w:hAnsi="Arial"/>
          <w:sz w:val="18"/>
          <w:szCs w:val="18"/>
          <w:color w:val="auto"/>
        </w:rPr>
      </w:pPr>
      <w:r>
        <w:rPr>
          <w:rFonts w:ascii="Arial" w:cs="Arial" w:eastAsia="Arial" w:hAnsi="Arial"/>
          <w:sz w:val="16"/>
          <w:szCs w:val="16"/>
          <w:color w:val="auto"/>
        </w:rPr>
        <w:t xml:space="preserve">If you are unable to participate at this time, a replay of the call will be available through Tuesday, November 24, 2009 at (888) 203-1112 or (719) 457-0820. Enter the code 2534512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Global Ship Lease currently owns 17 vessels with a total capacity of 66,297 TEU with a weighted average age at September 30, 2009 of 5.6 years. All of the current vessels are fixed on long-term charters to CMA CGM with an average remaining term of 9.3 years. The Company has contracts in place to purchase two 4,250 TEU newbuildings from German interests for approximately $77 million each that are scheduled to be delivered in the fourth quarter of 2010. The Company has agreements to charter out these newbuildings to Zim Integrated Shipping Services Limited for seven to eight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Adjusted Cash From Operations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Adjusted cash from operations is a non-US GAAP measure and is reconciled to the financial information below. It represents net earnings adjusted for non-cash items including depreciation, amortization of deferred financing charges, accretion of earnings for intangible liabilities, charge for equity based incentive awards and change in fair value of derivatives. We also deduct an allowance for the cost of future drydockings, which due to their substantial and periodic nature could otherwise distort quarterly cashflow available for common dividends. Adjusted cash from operations is a non-US GAAP quantitative measure used to assist in the assessment of the Company’s ability to generate cash. Adjusted cash from operations is not defined in accounting principles generally accepted in the United States and should not be considered to be an alternate to net earnings or any other financial metric required by such accounting principles. We believe that adjusted cash from operations is a useful measure with which to assess the Company’s operating performance as it adjusts for the effects of non-cash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CASH FROM OPERATIONS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Three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months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ended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Sept 30, 2009</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Sept 30, 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8"/>
                <w:szCs w:val="18"/>
                <w:color w:val="auto"/>
              </w:rPr>
              <w:t>Add:</w:t>
            </w:r>
          </w:p>
        </w:tc>
        <w:tc>
          <w:tcPr>
            <w:tcW w:w="404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9,469</w:t>
            </w:r>
          </w:p>
        </w:tc>
        <w:tc>
          <w:tcPr>
            <w:tcW w:w="6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Charge for equity incentive awards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Amortization of deferred financing fees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2,261</w:t>
            </w:r>
          </w:p>
        </w:tc>
        <w:tc>
          <w:tcPr>
            <w:tcW w:w="6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value of derivatives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Allowance for future dry-docks</w:t>
            </w:r>
          </w:p>
        </w:tc>
        <w:tc>
          <w:tcPr>
            <w:tcW w:w="5820" w:type="dxa"/>
            <w:vAlign w:val="bottom"/>
            <w:gridSpan w:val="3"/>
          </w:tcPr>
          <w:p>
            <w:pPr>
              <w:jc w:val="right"/>
              <w:ind w:right="580"/>
              <w:spacing w:after="0"/>
              <w:rPr>
                <w:sz w:val="20"/>
                <w:szCs w:val="20"/>
                <w:color w:val="auto"/>
              </w:rPr>
            </w:pPr>
            <w:r>
              <w:rPr>
                <w:rFonts w:ascii="Arial" w:cs="Arial" w:eastAsia="Arial" w:hAnsi="Arial"/>
                <w:sz w:val="18"/>
                <w:szCs w:val="18"/>
                <w:color w:val="auto"/>
              </w:rPr>
              <w:t>(930)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 accretion for intangible liabilities</w:t>
            </w:r>
          </w:p>
        </w:tc>
        <w:tc>
          <w:tcPr>
            <w:tcW w:w="5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Deferred taxation</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6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cash from operations</w:t>
            </w:r>
          </w:p>
        </w:tc>
        <w:tc>
          <w:tcPr>
            <w:tcW w:w="44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6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820" w:type="dxa"/>
            <w:vAlign w:val="bottom"/>
            <w:gridSpan w:val="3"/>
          </w:tcPr>
          <w:p>
            <w:pPr>
              <w:jc w:val="right"/>
              <w:ind w:right="4580"/>
              <w:spacing w:after="0"/>
              <w:rPr>
                <w:sz w:val="20"/>
                <w:szCs w:val="20"/>
                <w:color w:val="auto"/>
              </w:rPr>
            </w:pPr>
            <w:r>
              <w:rPr>
                <w:rFonts w:ascii="Arial" w:cs="Arial" w:eastAsia="Arial" w:hAnsi="Arial"/>
                <w:sz w:val="18"/>
                <w:szCs w:val="18"/>
                <w:color w:val="auto"/>
              </w:rPr>
              <w:t>Page 7</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Normalized net earnings</w:t>
      </w:r>
    </w:p>
    <w:p>
      <w:pPr>
        <w:spacing w:after="0" w:line="17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Normalized net earnings is a non-US GAAP measure and is reconciled to the financial information below. It represents net earnings adjusted for the change in fair value of derivatives and the accelerated write off of a portion of deferred financing costs. Normalized net earnings is a non-GAAP quantitative measure which we believe will assist investors and analysts who often adjust reported net earnings for non-operating items such as change in fair value of derivatives to eliminate the effect of non cash non-operating items that do not affect operating performance or cash generated. Normalized net earnings is not defined in accounting principles generally accepted in the United States and should not be considered to be an alternate to net earnings or any other financial metric required by such accounting principles. Normalized net earnings per share is calculated based on normalized net earnings and the weighted average number of shares in the relevant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EARNINGS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months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 30, 2009</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 30, 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as reported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60" w:type="dxa"/>
            <w:vAlign w:val="bottom"/>
            <w:gridSpan w:val="2"/>
          </w:tcPr>
          <w:p>
            <w:pPr>
              <w:spacing w:after="0"/>
              <w:rPr>
                <w:sz w:val="20"/>
                <w:szCs w:val="20"/>
                <w:color w:val="auto"/>
              </w:rPr>
            </w:pPr>
            <w:r>
              <w:rPr>
                <w:rFonts w:ascii="Arial" w:cs="Arial" w:eastAsia="Arial" w:hAnsi="Arial"/>
                <w:sz w:val="18"/>
                <w:szCs w:val="18"/>
                <w:color w:val="auto"/>
              </w:rPr>
              <w:t>Adjust:  Change in value of derivatives</w:t>
            </w:r>
          </w:p>
        </w:tc>
        <w:tc>
          <w:tcPr>
            <w:tcW w:w="820" w:type="dxa"/>
            <w:vAlign w:val="bottom"/>
          </w:tcPr>
          <w:p>
            <w:pPr>
              <w:jc w:val="right"/>
              <w:spacing w:after="0"/>
              <w:rPr>
                <w:sz w:val="20"/>
                <w:szCs w:val="20"/>
                <w:color w:val="auto"/>
              </w:rPr>
            </w:pPr>
            <w:r>
              <w:rPr>
                <w:rFonts w:ascii="Arial" w:cs="Arial" w:eastAsia="Arial" w:hAnsi="Arial"/>
                <w:sz w:val="18"/>
                <w:szCs w:val="18"/>
                <w:color w:val="auto"/>
              </w:rPr>
              <w:t>8,127</w:t>
            </w:r>
          </w:p>
        </w:tc>
        <w:tc>
          <w:tcPr>
            <w:tcW w:w="2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financing costs written off (1)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60" w:type="dxa"/>
            <w:vAlign w:val="bottom"/>
            <w:gridSpan w:val="2"/>
          </w:tcPr>
          <w:p>
            <w:pPr>
              <w:spacing w:after="0"/>
              <w:rPr>
                <w:sz w:val="20"/>
                <w:szCs w:val="20"/>
                <w:color w:val="auto"/>
              </w:rPr>
            </w:pPr>
            <w:r>
              <w:rPr>
                <w:rFonts w:ascii="Arial" w:cs="Arial" w:eastAsia="Arial" w:hAnsi="Arial"/>
                <w:sz w:val="18"/>
                <w:szCs w:val="18"/>
                <w:color w:val="auto"/>
              </w:rPr>
              <w:t>Normalized net earnings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2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and B common shares outstanding (2)</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440" w:type="dxa"/>
            <w:vAlign w:val="bottom"/>
          </w:tcPr>
          <w:p>
            <w:pPr>
              <w:ind w:left="110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53,805,878</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53,792,798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53,805,878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54,024,166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60" w:type="dxa"/>
            <w:vAlign w:val="bottom"/>
            <w:gridSpan w:val="2"/>
          </w:tcPr>
          <w:p>
            <w:pPr>
              <w:spacing w:after="0"/>
              <w:rPr>
                <w:sz w:val="20"/>
                <w:szCs w:val="20"/>
                <w:color w:val="auto"/>
              </w:rPr>
            </w:pPr>
            <w:r>
              <w:rPr>
                <w:rFonts w:ascii="Arial" w:cs="Arial" w:eastAsia="Arial" w:hAnsi="Arial"/>
                <w:sz w:val="18"/>
                <w:szCs w:val="18"/>
                <w:color w:val="auto"/>
              </w:rPr>
              <w:t>Net (loss) income per share on reported earnings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440" w:type="dxa"/>
            <w:vAlign w:val="bottom"/>
          </w:tcPr>
          <w:p>
            <w:pPr>
              <w:ind w:left="1100"/>
              <w:spacing w:after="0"/>
              <w:rPr>
                <w:sz w:val="20"/>
                <w:szCs w:val="20"/>
                <w:color w:val="auto"/>
              </w:rPr>
            </w:pPr>
            <w:r>
              <w:rPr>
                <w:rFonts w:ascii="Arial" w:cs="Arial" w:eastAsia="Arial" w:hAnsi="Arial"/>
                <w:sz w:val="18"/>
                <w:szCs w:val="18"/>
                <w:color w:val="auto"/>
              </w:rPr>
              <w:t>Diluted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 per share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440" w:type="dxa"/>
            <w:vAlign w:val="bottom"/>
          </w:tcPr>
          <w:p>
            <w:pPr>
              <w:ind w:left="110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Following reductions in the company’s borrowing capacity under its credit facility, a proportion of unamortized deferred financing costs were written off.</w:t>
      </w:r>
    </w:p>
    <w:p>
      <w:pPr>
        <w:spacing w:after="0" w:line="234" w:lineRule="exact"/>
        <w:rPr>
          <w:rFonts w:ascii="Arial" w:cs="Arial" w:eastAsia="Arial" w:hAnsi="Arial"/>
          <w:sz w:val="16"/>
          <w:szCs w:val="16"/>
          <w:color w:val="auto"/>
        </w:rPr>
      </w:pPr>
    </w:p>
    <w:p>
      <w:pPr>
        <w:ind w:left="460" w:right="8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weighted average number of shares (basic and diluted) for the three months ended September 30, 2009 excludes the effect of outstanding warrants and stock based incentive awards as these were anti dilutive. For the nine months ended September 30, 2009 the diluted weighted average number of shares includes the effect of outstanding stock based incentive awards but excludes the effect of outstanding warrants as these were anti dilutive.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171"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171" w:lineRule="exact"/>
        <w:rPr>
          <w:rFonts w:ascii="Arial" w:cs="Arial" w:eastAsia="Arial" w:hAnsi="Arial"/>
          <w:sz w:val="18"/>
          <w:szCs w:val="18"/>
          <w:color w:val="auto"/>
        </w:rPr>
      </w:pPr>
    </w:p>
    <w:p>
      <w:pPr>
        <w:ind w:right="180" w:firstLine="8"/>
        <w:spacing w:after="0" w:line="268" w:lineRule="auto"/>
        <w:tabs>
          <w:tab w:leader="none" w:pos="1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condition of CMA CGM, the Company’s sole charterer and sole source of operating revenue, and its ability to pay charterhire in accordance with the charters;</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 rate-time charters;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171" w:lineRule="exact"/>
        <w:rPr>
          <w:rFonts w:ascii="Arial" w:cs="Arial" w:eastAsia="Arial" w:hAnsi="Arial"/>
          <w:sz w:val="18"/>
          <w:szCs w:val="18"/>
          <w:color w:val="auto"/>
        </w:rPr>
      </w:pPr>
    </w:p>
    <w:p>
      <w:pPr>
        <w:jc w:val="both"/>
        <w:ind w:firstLine="8"/>
        <w:spacing w:after="0" w:line="259" w:lineRule="auto"/>
        <w:tabs>
          <w:tab w:leader="none" w:pos="102"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waivers which might be necessary under its existing credit facility or obtain additional financing to fund capital expenditures, contracted and yet to be contracted vessel acquisitions including the two newbuildings to be purchased from German interests in the fourth quarter 2010 and other general corporate activities;</w:t>
      </w:r>
    </w:p>
    <w:p>
      <w:pPr>
        <w:spacing w:after="0" w:line="140"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the future growth of the container shipping industry, including the rate of annual demand and supply growth;</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171" w:lineRule="exact"/>
        <w:rPr>
          <w:rFonts w:ascii="Arial" w:cs="Arial" w:eastAsia="Arial" w:hAnsi="Arial"/>
          <w:sz w:val="18"/>
          <w:szCs w:val="18"/>
          <w:color w:val="auto"/>
        </w:rPr>
      </w:pPr>
    </w:p>
    <w:p>
      <w:pPr>
        <w:ind w:right="560" w:firstLine="8"/>
        <w:spacing w:after="0" w:line="268" w:lineRule="auto"/>
        <w:tabs>
          <w:tab w:leader="none" w:pos="102"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its ability to make such payments including the impact of constraints under its credit facility;</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74" w:right="259" w:bottom="1440" w:gutter="0" w:footer="0" w:header="0"/>
        </w:sectPr>
      </w:pPr>
    </w:p>
    <w:bookmarkStart w:id="11" w:name="page12"/>
    <w:bookmarkEnd w:id="11"/>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the rate of growth of global and various regional economies;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including total loss or constructive total loss;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Global Ship Lease’s expectations about the availability of ships to purchase, the time that it may take to construct new ships, or the useful lives of its ships;</w:t>
      </w:r>
    </w:p>
    <w:p>
      <w:pPr>
        <w:spacing w:after="0" w:line="194"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171" w:lineRule="exact"/>
        <w:rPr>
          <w:rFonts w:ascii="Arial" w:cs="Arial" w:eastAsia="Arial" w:hAnsi="Arial"/>
          <w:sz w:val="18"/>
          <w:szCs w:val="18"/>
          <w:color w:val="auto"/>
        </w:rPr>
      </w:pPr>
    </w:p>
    <w:p>
      <w:pPr>
        <w:ind w:right="460" w:firstLine="8"/>
        <w:spacing w:after="0" w:line="268" w:lineRule="auto"/>
        <w:tabs>
          <w:tab w:leader="none" w:pos="1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 and</w:t>
      </w:r>
    </w:p>
    <w:p>
      <w:pPr>
        <w:spacing w:after="0" w:line="171"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w w:val="86"/>
              </w:rPr>
              <w:t>Three months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w w:val="93"/>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79"/>
              </w:rPr>
              <w:t>Successor</w:t>
            </w:r>
          </w:p>
        </w:tc>
        <w:tc>
          <w:tcPr>
            <w:tcW w:w="22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Successor</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4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w w:val="87"/>
              </w:rPr>
              <w:t>July 1 to</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4"/>
              </w:rPr>
              <w:t>September 30</w:t>
            </w:r>
          </w:p>
        </w:tc>
        <w:tc>
          <w:tcPr>
            <w:tcW w:w="22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August 14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September 30</w:t>
            </w:r>
          </w:p>
        </w:tc>
        <w:tc>
          <w:tcPr>
            <w:tcW w:w="3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Voyage revenue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108,824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12,790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11,122</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108,824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12,790</w:t>
            </w:r>
          </w:p>
        </w:tc>
        <w:tc>
          <w:tcPr>
            <w:tcW w:w="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57,955</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Voyage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2,848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16,132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4,423</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43,855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21,867</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(18,117)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w:t>
            </w: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2"/>
              </w:rPr>
              <w:t>Realized and unrealized (loss) gain on interest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(4,307)</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458"/>
        </w:trPr>
        <w:tc>
          <w:tcPr>
            <w:tcW w:w="3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36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outstanding basic and diluted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89"/>
              </w:rPr>
              <w:t>Net income (loss) per share in $ per share basic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360" w:type="dxa"/>
            <w:vAlign w:val="bottom"/>
            <w:tcBorders>
              <w:right w:val="single" w:sz="8" w:color="auto"/>
            </w:tcBorders>
            <w:shd w:val="clear" w:color="auto" w:fill="CCEEFF"/>
          </w:tcPr>
          <w:p>
            <w:pPr>
              <w:spacing w:after="0"/>
              <w:rPr>
                <w:sz w:val="19"/>
                <w:szCs w:val="19"/>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74,170</w:t>
            </w:r>
          </w:p>
        </w:tc>
        <w:tc>
          <w:tcPr>
            <w:tcW w:w="0" w:type="dxa"/>
            <w:vAlign w:val="bottom"/>
          </w:tcPr>
          <w:p>
            <w:pPr>
              <w:spacing w:after="0"/>
              <w:rPr>
                <w:sz w:val="1"/>
                <w:szCs w:val="1"/>
                <w:color w:val="auto"/>
              </w:rPr>
            </w:pPr>
          </w:p>
        </w:tc>
      </w:tr>
      <w:tr>
        <w:trPr>
          <w:trHeight w:val="451"/>
        </w:trPr>
        <w:tc>
          <w:tcPr>
            <w:tcW w:w="378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46,399,922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33,474,499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46,386,842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33,474,499</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46,399,922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6"/>
              </w:rPr>
              <w:t>40,047,367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46,618,210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40,047,367</w:t>
            </w:r>
          </w:p>
        </w:tc>
        <w:tc>
          <w:tcPr>
            <w:tcW w:w="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in $ per share amount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86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1"/>
        </w:trPr>
        <w:tc>
          <w:tcPr>
            <w:tcW w:w="378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7,405,956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7,405,956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9"/>
        </w:trPr>
        <w:tc>
          <w:tcPr>
            <w:tcW w:w="3780" w:type="dxa"/>
            <w:vAlign w:val="bottom"/>
            <w:gridSpan w:val="2"/>
          </w:tcPr>
          <w:p>
            <w:pPr>
              <w:spacing w:after="0"/>
              <w:rPr>
                <w:sz w:val="20"/>
                <w:szCs w:val="20"/>
                <w:color w:val="auto"/>
              </w:rPr>
            </w:pPr>
            <w:r>
              <w:rPr>
                <w:rFonts w:ascii="Arial" w:cs="Arial" w:eastAsia="Arial" w:hAnsi="Arial"/>
                <w:sz w:val="18"/>
                <w:szCs w:val="18"/>
                <w:color w:val="auto"/>
              </w:rPr>
              <w:t>Net income (loss) in $ per share amount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nil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nil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nil</w:t>
            </w: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color w:val="auto"/>
              </w:rPr>
              <w:t>Page 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440" w:type="dxa"/>
            <w:vAlign w:val="bottom"/>
            <w:gridSpan w:val="2"/>
          </w:tcPr>
          <w:p>
            <w:pPr>
              <w:ind w:left="5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29,542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Accounts receivable</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receivables</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36,067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12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970,647</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fixed assets</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tax asset</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992,134</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933,725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440" w:type="dxa"/>
            <w:vAlign w:val="bottom"/>
            <w:gridSpan w:val="2"/>
            <w:shd w:val="clear" w:color="auto" w:fill="CCEEFF"/>
          </w:tcPr>
          <w:p>
            <w:pPr>
              <w:ind w:left="53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1,028,201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20" w:type="dxa"/>
            <w:vAlign w:val="bottom"/>
            <w:gridSpan w:val="2"/>
            <w:vMerge w:val="continue"/>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2"/>
          </w:tcPr>
          <w:p>
            <w:pPr>
              <w:spacing w:after="0"/>
              <w:rPr>
                <w:sz w:val="20"/>
                <w:szCs w:val="20"/>
                <w:color w:val="auto"/>
              </w:rPr>
            </w:pPr>
            <w:r>
              <w:rPr>
                <w:rFonts w:ascii="Arial" w:cs="Arial" w:eastAsia="Arial" w:hAnsi="Arial"/>
                <w:sz w:val="18"/>
                <w:szCs w:val="18"/>
                <w:color w:val="auto"/>
              </w:rPr>
              <w:t>Intangible liability – charter agreements</w:t>
            </w:r>
          </w:p>
        </w:tc>
        <w:tc>
          <w:tcPr>
            <w:tcW w:w="5440" w:type="dxa"/>
            <w:vAlign w:val="bottom"/>
            <w:gridSpan w:val="2"/>
          </w:tcPr>
          <w:p>
            <w:pPr>
              <w:ind w:left="5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Accounts payable</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85,471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12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538,500</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542,100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24,818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16,564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627,882</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652,549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713,353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1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40" w:type="dxa"/>
            <w:vAlign w:val="bottom"/>
            <w:gridSpan w:val="2"/>
          </w:tcPr>
          <w:p>
            <w:pPr>
              <w:ind w:left="1320"/>
              <w:spacing w:after="0"/>
              <w:rPr>
                <w:sz w:val="20"/>
                <w:szCs w:val="20"/>
                <w:color w:val="auto"/>
              </w:rPr>
            </w:pPr>
            <w:r>
              <w:rPr>
                <w:rFonts w:ascii="Arial" w:cs="Arial" w:eastAsia="Arial" w:hAnsi="Arial"/>
                <w:sz w:val="18"/>
                <w:szCs w:val="18"/>
                <w:color w:val="auto"/>
              </w:rPr>
              <w:t>Page 12</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 (continued)</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Successor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w w:val="92"/>
              </w:rPr>
              <w:t>Class A Common stock - authorized 214,000,000 shares with a $.01 par value; 46,575,194 shares issued and outstanding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4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Common stock - authorized 20,000,000 shares with a $.01 par value; 7,405,956 shares issued and outstanding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9"/>
              </w:rPr>
              <w:t>Class C Common stock - authorized 15,000,000 shares with a $.01 par value; 12,375,000 shares issued, converted to Class A</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common shares on January 1, 2009</w:t>
            </w:r>
          </w:p>
        </w:tc>
        <w:tc>
          <w:tcPr>
            <w:tcW w:w="22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5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(65,679)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30,026</w:t>
            </w: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349,961</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314,848</w:t>
            </w:r>
          </w:p>
        </w:tc>
        <w:tc>
          <w:tcPr>
            <w:tcW w:w="4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$ 1,028,201</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966,608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10"/>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31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July 1 to</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1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14</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5"/>
              </w:rPr>
              <w:t>September 30</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August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320" w:type="dxa"/>
            <w:vAlign w:val="bottom"/>
            <w:tcBorders>
              <w:right w:val="single" w:sz="8" w:color="auto"/>
            </w:tcBorders>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(918)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$ 30,026</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300" w:type="dxa"/>
            <w:vAlign w:val="bottom"/>
            <w:tcBorders>
              <w:right w:val="single" w:sz="8" w:color="auto"/>
            </w:tcBorders>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Adjustments to Reconcile Net Income to Net Cash Provided by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2,848</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457"/>
        </w:trPr>
        <w:tc>
          <w:tcPr>
            <w:tcW w:w="4840" w:type="dxa"/>
            <w:vAlign w:val="bottom"/>
            <w:gridSpan w:val="2"/>
          </w:tcPr>
          <w:p>
            <w:pPr>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2,886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 in fair value of certain financial derivative instruments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4,176</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3"/>
              </w:rPr>
              <w:t>Settlements of hedges which do not qualify for hedge accounting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(9,343)</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2,905</w:t>
            </w: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(9,343)</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19,876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46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3"/>
              </w:rPr>
              <w:t>Settlements of hedges which do not qualify for hedge accounting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(5,563)</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(5,563)</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317,446</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317,446</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88"/>
              </w:rPr>
              <w:t>Cash paid for purchases of vessels, vessel prepayments and vessel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(82,328)</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(15,477)</w:t>
            </w: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(83,062)</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(15,477)</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(86,244)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296,124</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(91,793)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296,124</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46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(Repayments) of debt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57,000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(115,000)</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(115,000)</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(3,852)</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(3,852)</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Buyback of 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(147,052)</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(147,052)</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(Decrease) in amount due to CMA CGM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55,178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(265,904)</w:t>
            </w: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39,514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(265,904)</w:t>
            </w: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(11,190)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28,979</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28,979</w:t>
            </w: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40,732</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26,363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29,542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29,584</w:t>
            </w:r>
          </w:p>
        </w:tc>
        <w:tc>
          <w:tcPr>
            <w:tcW w:w="3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$ 29,542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29,584</w:t>
            </w:r>
          </w:p>
        </w:tc>
        <w:tc>
          <w:tcPr>
            <w:tcW w:w="30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ind w:left="360"/>
              <w:spacing w:after="0"/>
              <w:rPr>
                <w:sz w:val="20"/>
                <w:szCs w:val="20"/>
                <w:color w:val="auto"/>
              </w:rPr>
            </w:pPr>
            <w:r>
              <w:rPr>
                <w:rFonts w:ascii="Arial" w:cs="Arial" w:eastAsia="Arial" w:hAnsi="Arial"/>
                <w:sz w:val="18"/>
                <w:szCs w:val="18"/>
                <w:color w:val="auto"/>
                <w:w w:val="83"/>
              </w:rPr>
              <w:t>Page 14</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Operating Segments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Segment information reported below has been prepared on the same basis that it is reported internally to the Company’s chief operating decision maker. The Company operated under two business models from which it derives its revenues reported within these interim unaudited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14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“Adjustment” columns in the tables below include (i) the elimination of the containerized transportation activity performed by the Predecessor up to August 14, 2008, and (ii) the IPO and merger costs expensed by the Predecessor.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2009 and 2008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88"/>
              </w:rPr>
              <w:t>Three months ended September 30,</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12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Time Charter</w:t>
            </w:r>
          </w:p>
        </w:tc>
        <w:tc>
          <w:tcPr>
            <w:tcW w:w="2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16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11,122</w:t>
            </w:r>
          </w:p>
        </w:tc>
        <w:tc>
          <w:tcPr>
            <w:tcW w:w="0" w:type="dxa"/>
            <w:vAlign w:val="bottom"/>
          </w:tcPr>
          <w:p>
            <w:pPr>
              <w:spacing w:after="0"/>
              <w:rPr>
                <w:sz w:val="1"/>
                <w:szCs w:val="1"/>
                <w:color w:val="auto"/>
              </w:rPr>
            </w:pPr>
          </w:p>
        </w:tc>
      </w:tr>
      <w:tr>
        <w:trPr>
          <w:trHeight w:val="457"/>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3,980</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9,469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21,491</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7,811</w:t>
            </w: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6,687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457"/>
        </w:trPr>
        <w:tc>
          <w:tcPr>
            <w:tcW w:w="43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Realized and unrealized (loss) on derivatives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(12,043)</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(4,307)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(2,404)</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458"/>
        </w:trPr>
        <w:tc>
          <w:tcPr>
            <w:tcW w:w="43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60" w:type="dxa"/>
            <w:vAlign w:val="bottom"/>
          </w:tcPr>
          <w:p>
            <w:pPr>
              <w:ind w:left="1140"/>
              <w:spacing w:after="0"/>
              <w:rPr>
                <w:sz w:val="20"/>
                <w:szCs w:val="20"/>
                <w:color w:val="auto"/>
              </w:rPr>
            </w:pPr>
            <w:r>
              <w:rPr>
                <w:rFonts w:ascii="Arial" w:cs="Arial" w:eastAsia="Arial" w:hAnsi="Arial"/>
                <w:sz w:val="18"/>
                <w:szCs w:val="18"/>
                <w:color w:val="auto"/>
              </w:rPr>
              <w:t>Page 15</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0"/>
              </w:rPr>
              <w:t>Nine months ended September 30,</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0"/>
              </w:rPr>
              <w:t>Predecessor</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20" w:type="dxa"/>
            <w:vAlign w:val="bottom"/>
          </w:tcPr>
          <w:p>
            <w:pPr>
              <w:spacing w:after="0"/>
              <w:rPr>
                <w:sz w:val="19"/>
                <w:szCs w:val="19"/>
                <w:color w:val="auto"/>
              </w:rPr>
            </w:pPr>
          </w:p>
        </w:tc>
        <w:tc>
          <w:tcPr>
            <w:tcW w:w="12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Time Charter</w:t>
            </w:r>
          </w:p>
        </w:tc>
        <w:tc>
          <w:tcPr>
            <w:tcW w:w="20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1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108,824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4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57,955</w:t>
            </w:r>
          </w:p>
        </w:tc>
        <w:tc>
          <w:tcPr>
            <w:tcW w:w="0" w:type="dxa"/>
            <w:vAlign w:val="bottom"/>
          </w:tcPr>
          <w:p>
            <w:pPr>
              <w:spacing w:after="0"/>
              <w:rPr>
                <w:sz w:val="1"/>
                <w:szCs w:val="1"/>
                <w:color w:val="auto"/>
              </w:rPr>
            </w:pPr>
          </w:p>
        </w:tc>
      </w:tr>
      <w:tr>
        <w:trPr>
          <w:trHeight w:val="457"/>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31,517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3,980</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6,561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64,969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7,811</w:t>
            </w: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36,088</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21,867</w:t>
            </w:r>
          </w:p>
        </w:tc>
        <w:tc>
          <w:tcPr>
            <w:tcW w:w="0" w:type="dxa"/>
            <w:vAlign w:val="bottom"/>
          </w:tcPr>
          <w:p>
            <w:pPr>
              <w:spacing w:after="0"/>
              <w:rPr>
                <w:sz w:val="1"/>
                <w:szCs w:val="1"/>
                <w:color w:val="auto"/>
              </w:rPr>
            </w:pPr>
          </w:p>
        </w:tc>
      </w:tr>
      <w:tr>
        <w:trPr>
          <w:trHeight w:val="457"/>
        </w:trPr>
        <w:tc>
          <w:tcPr>
            <w:tcW w:w="44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Realized and unrealized gain (loss) on derivatives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458"/>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30,026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60" w:type="dxa"/>
            <w:vAlign w:val="bottom"/>
          </w:tcPr>
          <w:p>
            <w:pPr>
              <w:ind w:left="960"/>
              <w:spacing w:after="0"/>
              <w:rPr>
                <w:sz w:val="20"/>
                <w:szCs w:val="20"/>
                <w:color w:val="auto"/>
              </w:rPr>
            </w:pPr>
            <w:r>
              <w:rPr>
                <w:rFonts w:ascii="Arial" w:cs="Arial" w:eastAsia="Arial" w:hAnsi="Arial"/>
                <w:sz w:val="18"/>
                <w:szCs w:val="18"/>
                <w:color w:val="auto"/>
                <w:w w:val="86"/>
              </w:rPr>
              <w:t>Page 16</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INTERIM UNAUDITED COMBINED FINANCIAL STATEMENTS</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THREE AND NINE MONTH PERIODS ENDED SEPTEMBER 30, 2009</w:t>
      </w:r>
    </w:p>
    <w:p>
      <w:pPr>
        <w:spacing w:after="0" w:line="18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20"/>
          </w:cols>
          <w:pgMar w:left="14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380" w:type="dxa"/>
            <w:vAlign w:val="bottom"/>
          </w:tcPr>
          <w:p>
            <w:pPr>
              <w:ind w:left="594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38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29,542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Accounts receivable</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receivables</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36,067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92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6380" w:type="dxa"/>
            <w:vAlign w:val="bottom"/>
          </w:tcPr>
          <w:p>
            <w:pPr>
              <w:jc w:val="center"/>
              <w:ind w:left="5674"/>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970,647</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fixed assets</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89"/>
              </w:rPr>
              <w:t>Intangible assets – purchase agreement</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Deferred tax asset</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992,134</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933,725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1,028,201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Liabilities and Stockholders’ Equity</w:t>
            </w: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920" w:type="dxa"/>
            <w:vAlign w:val="bottom"/>
            <w:gridSpan w:val="2"/>
            <w:vMerge w:val="continue"/>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20" w:type="dxa"/>
            <w:vAlign w:val="bottom"/>
            <w:gridSpan w:val="2"/>
          </w:tcPr>
          <w:p>
            <w:pPr>
              <w:spacing w:after="0"/>
              <w:rPr>
                <w:sz w:val="20"/>
                <w:szCs w:val="20"/>
                <w:color w:val="auto"/>
              </w:rPr>
            </w:pPr>
            <w:r>
              <w:rPr>
                <w:rFonts w:ascii="Arial" w:cs="Arial" w:eastAsia="Arial" w:hAnsi="Arial"/>
                <w:sz w:val="18"/>
                <w:szCs w:val="18"/>
                <w:color w:val="auto"/>
                <w:w w:val="92"/>
              </w:rPr>
              <w:t>Intangible liability – charter agreements</w:t>
            </w:r>
          </w:p>
        </w:tc>
        <w:tc>
          <w:tcPr>
            <w:tcW w:w="638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380" w:type="dxa"/>
            <w:vAlign w:val="bottom"/>
            <w:shd w:val="clear" w:color="auto" w:fill="CCEEFF"/>
          </w:tcPr>
          <w:p>
            <w:pPr>
              <w:jc w:val="center"/>
              <w:ind w:left="5674"/>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Accounts payable</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380" w:type="dxa"/>
            <w:vAlign w:val="bottom"/>
          </w:tcPr>
          <w:p>
            <w:pPr>
              <w:jc w:val="center"/>
              <w:ind w:left="5674"/>
              <w:spacing w:after="0"/>
              <w:rPr>
                <w:sz w:val="20"/>
                <w:szCs w:val="20"/>
                <w:color w:val="auto"/>
              </w:rPr>
            </w:pPr>
            <w:r>
              <w:rPr>
                <w:rFonts w:ascii="Arial" w:cs="Arial" w:eastAsia="Arial" w:hAnsi="Arial"/>
                <w:sz w:val="18"/>
                <w:szCs w:val="18"/>
                <w:color w:val="auto"/>
                <w:w w:val="89"/>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85,471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92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6380" w:type="dxa"/>
            <w:vAlign w:val="bottom"/>
          </w:tcPr>
          <w:p>
            <w:pPr>
              <w:jc w:val="center"/>
              <w:ind w:left="5674"/>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538,500</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542,100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6380" w:type="dxa"/>
            <w:vAlign w:val="bottom"/>
            <w:shd w:val="clear" w:color="auto" w:fill="CCEEFF"/>
          </w:tcPr>
          <w:p>
            <w:pPr>
              <w:jc w:val="center"/>
              <w:ind w:left="5674"/>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3"/>
              </w:rPr>
              <w:t>Intangible liability - charter agreements</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24,818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380" w:type="dxa"/>
            <w:vAlign w:val="bottom"/>
            <w:shd w:val="clear" w:color="auto" w:fill="CCEEFF"/>
          </w:tcPr>
          <w:p>
            <w:pPr>
              <w:jc w:val="center"/>
              <w:ind w:left="5674"/>
              <w:spacing w:after="0"/>
              <w:rPr>
                <w:sz w:val="20"/>
                <w:szCs w:val="20"/>
                <w:color w:val="auto"/>
              </w:rPr>
            </w:pPr>
            <w:r>
              <w:rPr>
                <w:rFonts w:ascii="Arial" w:cs="Arial" w:eastAsia="Arial" w:hAnsi="Arial"/>
                <w:sz w:val="18"/>
                <w:szCs w:val="18"/>
                <w:color w:val="auto"/>
                <w:w w:val="89"/>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16,564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627,882</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652,549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713,353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380" w:type="dxa"/>
            <w:vAlign w:val="bottom"/>
          </w:tcPr>
          <w:p>
            <w:pPr>
              <w:jc w:val="center"/>
              <w:ind w:left="5674"/>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380" w:type="dxa"/>
            <w:vAlign w:val="bottom"/>
          </w:tcPr>
          <w:p>
            <w:pPr>
              <w:jc w:val="center"/>
              <w:ind w:right="714"/>
              <w:spacing w:after="0"/>
              <w:rPr>
                <w:sz w:val="20"/>
                <w:szCs w:val="20"/>
                <w:color w:val="auto"/>
              </w:rPr>
            </w:pPr>
            <w:r>
              <w:rPr>
                <w:rFonts w:ascii="Arial" w:cs="Arial" w:eastAsia="Arial" w:hAnsi="Arial"/>
                <w:sz w:val="18"/>
                <w:szCs w:val="18"/>
                <w:color w:val="auto"/>
                <w:w w:val="87"/>
              </w:rPr>
              <w:t>See accompanying notes to interim unaudited combined 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380" w:type="dxa"/>
            <w:vAlign w:val="bottom"/>
          </w:tcPr>
          <w:p>
            <w:pPr>
              <w:jc w:val="center"/>
              <w:ind w:right="694"/>
              <w:spacing w:after="0"/>
              <w:rPr>
                <w:sz w:val="20"/>
                <w:szCs w:val="20"/>
                <w:color w:val="auto"/>
              </w:rPr>
            </w:pPr>
            <w:r>
              <w:rPr>
                <w:rFonts w:ascii="Arial" w:cs="Arial" w:eastAsia="Arial" w:hAnsi="Arial"/>
                <w:sz w:val="18"/>
                <w:szCs w:val="18"/>
                <w:color w:val="auto"/>
                <w:w w:val="84"/>
              </w:rPr>
              <w:t>Page 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 (continued)</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Note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Successor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480" w:type="dxa"/>
            <w:vAlign w:val="bottom"/>
            <w:gridSpan w:val="2"/>
          </w:tcPr>
          <w:p>
            <w:pPr>
              <w:spacing w:after="0"/>
              <w:rPr>
                <w:sz w:val="20"/>
                <w:szCs w:val="20"/>
                <w:color w:val="auto"/>
              </w:rPr>
            </w:pPr>
            <w:r>
              <w:rPr>
                <w:rFonts w:ascii="Arial" w:cs="Arial" w:eastAsia="Arial" w:hAnsi="Arial"/>
                <w:sz w:val="18"/>
                <w:szCs w:val="18"/>
                <w:color w:val="auto"/>
                <w:w w:val="96"/>
              </w:rPr>
              <w:t>Class A Common stock - authorized 214,000,000 shares with a $.01 par value; 46,575,194 shares issued and</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780" w:type="dxa"/>
            <w:vAlign w:val="bottom"/>
          </w:tcPr>
          <w:p>
            <w:pPr>
              <w:jc w:val="center"/>
              <w:ind w:right="57"/>
              <w:spacing w:after="0"/>
              <w:rPr>
                <w:sz w:val="20"/>
                <w:szCs w:val="20"/>
                <w:color w:val="auto"/>
              </w:rPr>
            </w:pPr>
            <w:r>
              <w:rPr>
                <w:rFonts w:ascii="Arial" w:cs="Arial" w:eastAsia="Arial" w:hAnsi="Arial"/>
                <w:sz w:val="18"/>
                <w:szCs w:val="18"/>
                <w:color w:val="auto"/>
                <w:w w:val="79"/>
              </w:rPr>
              <w:t>10</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466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88"/>
              </w:rPr>
              <w:t>Class B Common stock - authorized 20,000,000 shares with a $.01 par value; 7,405,956 shares issued and outstanding</w:t>
            </w:r>
          </w:p>
        </w:tc>
        <w:tc>
          <w:tcPr>
            <w:tcW w:w="78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79"/>
              </w:rPr>
              <w:t>10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89"/>
              </w:rPr>
              <w:t>Class C Common stock - authorized 15,000,000 shares with a $.01 par value; 12,375,000 shares issued, converted to</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class A common shares on January 1, 2009</w:t>
            </w:r>
          </w:p>
        </w:tc>
        <w:tc>
          <w:tcPr>
            <w:tcW w:w="780" w:type="dxa"/>
            <w:vAlign w:val="bottom"/>
          </w:tcPr>
          <w:p>
            <w:pPr>
              <w:jc w:val="center"/>
              <w:ind w:right="57"/>
              <w:spacing w:after="0"/>
              <w:rPr>
                <w:sz w:val="20"/>
                <w:szCs w:val="20"/>
                <w:color w:val="auto"/>
              </w:rPr>
            </w:pPr>
            <w:r>
              <w:rPr>
                <w:rFonts w:ascii="Arial" w:cs="Arial" w:eastAsia="Arial" w:hAnsi="Arial"/>
                <w:sz w:val="18"/>
                <w:szCs w:val="18"/>
                <w:color w:val="auto"/>
                <w:w w:val="79"/>
              </w:rPr>
              <w:t>10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7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30,026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349,961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347,810</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4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314,848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$ 1,028,201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966,608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10"/>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420" w:type="dxa"/>
            <w:vAlign w:val="bottom"/>
            <w:gridSpan w:val="9"/>
          </w:tcPr>
          <w:p>
            <w:pPr>
              <w:ind w:left="440"/>
              <w:spacing w:after="0"/>
              <w:rPr>
                <w:sz w:val="20"/>
                <w:szCs w:val="20"/>
                <w:color w:val="auto"/>
              </w:rPr>
            </w:pPr>
            <w:r>
              <w:rPr>
                <w:rFonts w:ascii="Arial" w:cs="Arial" w:eastAsia="Arial" w:hAnsi="Arial"/>
                <w:sz w:val="14"/>
                <w:szCs w:val="14"/>
                <w:b w:val="1"/>
                <w:bCs w:val="1"/>
                <w:color w:val="auto"/>
                <w:w w:val="85"/>
              </w:rPr>
              <w:t>Nine months ended September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60" w:type="dxa"/>
            <w:vAlign w:val="bottom"/>
          </w:tcPr>
          <w:p>
            <w:pPr>
              <w:ind w:left="1700"/>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4"/>
              </w:rPr>
              <w:t>July 1 to</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August 14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Voyage revenue</w:t>
            </w:r>
          </w:p>
        </w:tc>
        <w:tc>
          <w:tcPr>
            <w:tcW w:w="20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37,623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12,790</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108,824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37,623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12,790</w:t>
            </w: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11,122</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108,824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12,790</w:t>
            </w: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57,955</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Voyage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3,980</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Depreciation</w:t>
            </w:r>
          </w:p>
        </w:tc>
        <w:tc>
          <w:tcPr>
            <w:tcW w:w="2060" w:type="dxa"/>
            <w:vAlign w:val="bottom"/>
          </w:tcPr>
          <w:p>
            <w:pPr>
              <w:jc w:val="right"/>
              <w:ind w:right="9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2,848</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7,811</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36,088</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84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16,132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4,979</w:t>
            </w: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43,855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21,867</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Non Operating Income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(17,600)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Realized and unrealized (loss) gain on interest 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(12,043)</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(4,307)</w:t>
            </w: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(4,307)</w:t>
            </w: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(Loss) Income before Income Taxes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458"/>
        </w:trPr>
        <w:tc>
          <w:tcPr>
            <w:tcW w:w="28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30,026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3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40" w:type="dxa"/>
            <w:vAlign w:val="bottom"/>
            <w:tcBorders>
              <w:top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tcBorders>
            <w:gridSpan w:val="2"/>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260" w:type="dxa"/>
            <w:vAlign w:val="bottom"/>
            <w:gridSpan w:val="16"/>
          </w:tcPr>
          <w:p>
            <w:pPr>
              <w:jc w:val="right"/>
              <w:ind w:right="700"/>
              <w:spacing w:after="0"/>
              <w:rPr>
                <w:sz w:val="20"/>
                <w:szCs w:val="20"/>
                <w:color w:val="auto"/>
              </w:rPr>
            </w:pPr>
            <w:r>
              <w:rPr>
                <w:rFonts w:ascii="Arial" w:cs="Arial" w:eastAsia="Arial" w:hAnsi="Arial"/>
                <w:sz w:val="18"/>
                <w:szCs w:val="18"/>
                <w:color w:val="auto"/>
                <w:w w:val="90"/>
              </w:rPr>
              <w:t>See accompanying notes to interim unaudited combined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w w:val="91"/>
              </w:rPr>
              <w:t>Page 4</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 (continued)</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w w:val="86"/>
              </w:rPr>
              <w:t>Three months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w w:val="92"/>
              </w:rPr>
              <w:t>Nine months ended September 30,</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79"/>
              </w:rPr>
              <w:t>Successor</w:t>
            </w:r>
          </w:p>
        </w:tc>
        <w:tc>
          <w:tcPr>
            <w:tcW w:w="220" w:type="dxa"/>
            <w:vAlign w:val="bottom"/>
          </w:tcPr>
          <w:p>
            <w:pPr>
              <w:spacing w:after="0"/>
              <w:rPr>
                <w:sz w:val="19"/>
                <w:szCs w:val="19"/>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Successor</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August 15 to</w:t>
            </w:r>
          </w:p>
        </w:tc>
        <w:tc>
          <w:tcPr>
            <w:tcW w:w="4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4"/>
              </w:rPr>
              <w:t>July 1 to</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August 15 to</w:t>
            </w:r>
          </w:p>
        </w:tc>
        <w:tc>
          <w:tcPr>
            <w:tcW w:w="1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January 1 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August 14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3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August 14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basic and diluted</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3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3480" w:type="dxa"/>
            <w:vAlign w:val="bottom"/>
            <w:gridSpan w:val="2"/>
          </w:tcPr>
          <w:p>
            <w:pPr>
              <w:spacing w:after="0"/>
              <w:rPr>
                <w:sz w:val="20"/>
                <w:szCs w:val="20"/>
                <w:color w:val="auto"/>
              </w:rPr>
            </w:pPr>
            <w:r>
              <w:rPr>
                <w:rFonts w:ascii="Arial" w:cs="Arial" w:eastAsia="Arial" w:hAnsi="Arial"/>
                <w:sz w:val="18"/>
                <w:szCs w:val="18"/>
                <w:color w:val="auto"/>
                <w:w w:val="90"/>
              </w:rPr>
              <w:t>Net income (loss) per share in $ per share basic</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and diluted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60" w:type="dxa"/>
            <w:vAlign w:val="bottom"/>
            <w:tcBorders>
              <w:right w:val="single" w:sz="8" w:color="auto"/>
            </w:tcBorders>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74,170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Class A common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46,399,922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6"/>
              </w:rPr>
              <w:t>33,474,499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46,386,842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33,474,499</w:t>
            </w: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46,399,922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6"/>
              </w:rPr>
              <w:t>40,047,367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46,618,210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40,047,367</w:t>
            </w:r>
          </w:p>
        </w:tc>
        <w:tc>
          <w:tcPr>
            <w:tcW w:w="3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in $ per share amount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0.64</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3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Class B common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7,405,956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7"/>
              </w:rPr>
              <w:t>7,405,956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7,405,956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9100" w:type="dxa"/>
            <w:vAlign w:val="bottom"/>
            <w:gridSpan w:val="17"/>
          </w:tcPr>
          <w:p>
            <w:pPr>
              <w:jc w:val="center"/>
              <w:ind w:left="2192"/>
              <w:spacing w:after="0"/>
              <w:rPr>
                <w:sz w:val="20"/>
                <w:szCs w:val="20"/>
                <w:color w:val="auto"/>
              </w:rPr>
            </w:pPr>
            <w:r>
              <w:rPr>
                <w:rFonts w:ascii="Arial" w:cs="Arial" w:eastAsia="Arial" w:hAnsi="Arial"/>
                <w:sz w:val="18"/>
                <w:szCs w:val="18"/>
                <w:color w:val="auto"/>
                <w:w w:val="87"/>
              </w:rPr>
              <w:t>See accompanying notes to interim unaudited combined financial statements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960"/>
              <w:spacing w:after="0"/>
              <w:rPr>
                <w:sz w:val="20"/>
                <w:szCs w:val="20"/>
                <w:color w:val="auto"/>
              </w:rPr>
            </w:pPr>
            <w:r>
              <w:rPr>
                <w:rFonts w:ascii="Arial" w:cs="Arial" w:eastAsia="Arial" w:hAnsi="Arial"/>
                <w:sz w:val="18"/>
                <w:szCs w:val="18"/>
                <w:color w:val="auto"/>
                <w:w w:val="84"/>
              </w:rPr>
              <w:t>Page 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rPr>
              <w:t>Three months ended September 30,</w:t>
            </w:r>
          </w:p>
        </w:tc>
        <w:tc>
          <w:tcPr>
            <w:tcW w:w="314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8"/>
              </w:rPr>
              <w:t>July 1 to</w:t>
            </w: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August 14</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August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(loss)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320" w:type="dxa"/>
            <w:vAlign w:val="bottom"/>
            <w:tcBorders>
              <w:right w:val="single" w:sz="8" w:color="auto"/>
            </w:tcBorders>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$ 30,026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320" w:type="dxa"/>
            <w:vAlign w:val="bottom"/>
            <w:tcBorders>
              <w:right w:val="single" w:sz="8" w:color="auto"/>
            </w:tcBorders>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Adjustments to Reconcile Net Income to Net Cash Provided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by Operating Activities</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2,848</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457"/>
        </w:trPr>
        <w:tc>
          <w:tcPr>
            <w:tcW w:w="4560" w:type="dxa"/>
            <w:vAlign w:val="bottom"/>
            <w:gridSpan w:val="2"/>
          </w:tcPr>
          <w:p>
            <w:pPr>
              <w:spacing w:after="0"/>
              <w:rPr>
                <w:sz w:val="20"/>
                <w:szCs w:val="20"/>
                <w:color w:val="auto"/>
              </w:rPr>
            </w:pPr>
            <w:r>
              <w:rPr>
                <w:rFonts w:ascii="Arial" w:cs="Arial" w:eastAsia="Arial" w:hAnsi="Arial"/>
                <w:sz w:val="18"/>
                <w:szCs w:val="18"/>
                <w:color w:val="auto"/>
              </w:rPr>
              <w:t>Amortization of deferred financing costs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2"/>
              </w:rPr>
              <w:t>Change in fair value of certain financial derivative instruments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4,176</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7"/>
              </w:rPr>
              <w:t>Decrease (increase) in other receivables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Increase (decrease) in accounts payable and other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(9,343)</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2,905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(9,343)</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19,876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46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3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6"/>
              </w:rPr>
              <w:t>Acquisition of Global Ship Lease, Inc., net of cash acquired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(5,563)</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(5,563)</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317,446</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317,446</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Cash paid for purchases of vessels, vessel prepayments and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vessel deposits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(82,328)</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(15,477)</w:t>
            </w: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(15,477)</w:t>
            </w: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(86,244)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296,124</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296,124</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46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Proceeds (Repayments) of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57,000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(115,000)</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(115,000)</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(3,852)</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(3,852)</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Buyback of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(147,052)</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(147,052)</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(Decrease) in amount due to CMA CGM</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5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55,178</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(265,904)</w:t>
            </w:r>
          </w:p>
        </w:tc>
        <w:tc>
          <w:tcPr>
            <w:tcW w:w="3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39,514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(265,904)</w:t>
            </w:r>
          </w:p>
        </w:tc>
        <w:tc>
          <w:tcPr>
            <w:tcW w:w="3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(Decrease) Increase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(11,190)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28,979</w:t>
            </w: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40,732</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9,444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29,542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29,584</w:t>
            </w: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16,252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$ 29,542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40" w:type="dxa"/>
            <w:vAlign w:val="bottom"/>
            <w:tcBorders>
              <w:top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tcBorders>
            <w:gridSpan w:val="2"/>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080" w:type="dxa"/>
            <w:vAlign w:val="bottom"/>
            <w:gridSpan w:val="15"/>
          </w:tcPr>
          <w:p>
            <w:pPr>
              <w:jc w:val="right"/>
              <w:ind w:right="700"/>
              <w:spacing w:after="0"/>
              <w:rPr>
                <w:sz w:val="20"/>
                <w:szCs w:val="20"/>
                <w:color w:val="auto"/>
              </w:rPr>
            </w:pPr>
            <w:r>
              <w:rPr>
                <w:rFonts w:ascii="Arial" w:cs="Arial" w:eastAsia="Arial" w:hAnsi="Arial"/>
                <w:sz w:val="18"/>
                <w:szCs w:val="18"/>
                <w:color w:val="auto"/>
              </w:rPr>
              <w:t>See accompanying notes to interim unaudited combined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Page 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 (continued)</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8"/>
          </w:tcPr>
          <w:p>
            <w:pPr>
              <w:jc w:val="right"/>
              <w:ind w:right="256"/>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9"/>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5240"/>
              <w:spacing w:after="0"/>
              <w:rPr>
                <w:sz w:val="20"/>
                <w:szCs w:val="20"/>
                <w:color w:val="auto"/>
              </w:rPr>
            </w:pPr>
            <w:r>
              <w:rPr>
                <w:rFonts w:ascii="Arial" w:cs="Arial" w:eastAsia="Arial" w:hAnsi="Arial"/>
                <w:sz w:val="14"/>
                <w:szCs w:val="14"/>
                <w:b w:val="1"/>
                <w:bCs w:val="1"/>
                <w:color w:val="auto"/>
              </w:rPr>
              <w:t>Note</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76"/>
              </w:rPr>
              <w:t>Successor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8"/>
              </w:rPr>
              <w:t>Predecessor</w:t>
            </w:r>
          </w:p>
        </w:tc>
        <w:tc>
          <w:tcPr>
            <w:tcW w:w="20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b w:val="1"/>
                <w:bCs w:val="1"/>
                <w:color w:val="auto"/>
                <w:w w:val="76"/>
              </w:rPr>
              <w:t>Successor</w:t>
            </w:r>
          </w:p>
        </w:tc>
        <w:tc>
          <w:tcPr>
            <w:tcW w:w="3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July 1 to</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15 to</w:t>
            </w:r>
          </w:p>
        </w:tc>
        <w:tc>
          <w:tcPr>
            <w:tcW w:w="3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January 1 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August 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September 30</w:t>
            </w:r>
          </w:p>
        </w:tc>
        <w:tc>
          <w:tcPr>
            <w:tcW w:w="3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August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72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and preferred shares for the acquisition of GSL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216,730</w:t>
            </w:r>
          </w:p>
        </w:tc>
        <w:tc>
          <w:tcPr>
            <w:tcW w:w="30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216,730</w:t>
            </w:r>
          </w:p>
        </w:tc>
        <w:tc>
          <w:tcPr>
            <w:tcW w:w="30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Dividend declared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7,812</w:t>
            </w:r>
          </w:p>
        </w:tc>
        <w:tc>
          <w:tcPr>
            <w:tcW w:w="300" w:type="dxa"/>
            <w:vAlign w:val="bottom"/>
            <w:tcBorders>
              <w:right w:val="single" w:sz="8" w:color="auto"/>
            </w:tcBorders>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12,371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7,812</w:t>
            </w:r>
          </w:p>
        </w:tc>
        <w:tc>
          <w:tcPr>
            <w:tcW w:w="300" w:type="dxa"/>
            <w:vAlign w:val="bottom"/>
            <w:tcBorders>
              <w:right w:val="single" w:sz="8" w:color="auto"/>
            </w:tcBorders>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 during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5,384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0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14,117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0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72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60" w:type="dxa"/>
            <w:vAlign w:val="bottom"/>
            <w:tcBorders>
              <w:top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gridSpan w:val="2"/>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20" w:type="dxa"/>
            <w:vAlign w:val="bottom"/>
            <w:gridSpan w:val="10"/>
          </w:tcPr>
          <w:p>
            <w:pPr>
              <w:jc w:val="right"/>
              <w:spacing w:after="0"/>
              <w:rPr>
                <w:sz w:val="20"/>
                <w:szCs w:val="20"/>
                <w:color w:val="auto"/>
              </w:rPr>
            </w:pPr>
            <w:r>
              <w:rPr>
                <w:rFonts w:ascii="Arial" w:cs="Arial" w:eastAsia="Arial" w:hAnsi="Arial"/>
                <w:sz w:val="18"/>
                <w:szCs w:val="18"/>
                <w:color w:val="auto"/>
              </w:rPr>
              <w:t>See accompanying notes to interim unaudited combined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60" w:type="dxa"/>
            <w:vAlign w:val="bottom"/>
            <w:gridSpan w:val="3"/>
          </w:tcPr>
          <w:p>
            <w:pPr>
              <w:jc w:val="right"/>
              <w:ind w:right="239"/>
              <w:spacing w:after="0"/>
              <w:rPr>
                <w:sz w:val="20"/>
                <w:szCs w:val="20"/>
                <w:color w:val="auto"/>
              </w:rPr>
            </w:pPr>
            <w:r>
              <w:rPr>
                <w:rFonts w:ascii="Arial" w:cs="Arial" w:eastAsia="Arial" w:hAnsi="Arial"/>
                <w:sz w:val="18"/>
                <w:szCs w:val="18"/>
                <w:color w:val="auto"/>
              </w:rPr>
              <w:t>Page 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Stockholders’ Equity</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September 30, 2009 include two distinct reporting periods (i) before August 15, 2008 (“Predecessor”) and (ii) from August 15, 2008 (“Successor”), which relate to the period preceding the merger referred to in note 1 and the period succeeding the merger,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Stock at $0.01</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Due to</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Paid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Par value</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CMA CGM</w:t>
            </w:r>
          </w:p>
        </w:tc>
        <w:tc>
          <w:tcPr>
            <w:tcW w:w="1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Capital</w:t>
            </w:r>
          </w:p>
        </w:tc>
        <w:tc>
          <w:tcPr>
            <w:tcW w:w="1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 2007</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$ 16,776</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162,885</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322"/>
        </w:trPr>
        <w:tc>
          <w:tcPr>
            <w:tcW w:w="3420" w:type="dxa"/>
            <w:vAlign w:val="bottom"/>
            <w:gridSpan w:val="2"/>
          </w:tcPr>
          <w:p>
            <w:pPr>
              <w:spacing w:after="0"/>
              <w:rPr>
                <w:sz w:val="20"/>
                <w:szCs w:val="20"/>
                <w:color w:val="auto"/>
              </w:rPr>
            </w:pPr>
            <w:r>
              <w:rPr>
                <w:rFonts w:ascii="Arial" w:cs="Arial" w:eastAsia="Arial" w:hAnsi="Arial"/>
                <w:sz w:val="18"/>
                <w:szCs w:val="18"/>
                <w:color w:val="auto"/>
              </w:rPr>
              <w:t>Change in amount due from CMA CGM</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(188,716)</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(188,716)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income</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w w:val="97"/>
              </w:rPr>
              <w:t>Other effect of the transfer of two vessels in</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w w:val="86"/>
              </w:rPr>
              <w:t>651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4,088</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322"/>
        </w:trPr>
        <w:tc>
          <w:tcPr>
            <w:tcW w:w="342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Balance at August 14, 2008 (Predecessor)</w:t>
            </w: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420" w:type="dxa"/>
            <w:vAlign w:val="bottom"/>
            <w:gridSpan w:val="2"/>
            <w:vMerge w:val="continue"/>
          </w:tcPr>
          <w:p>
            <w:pPr>
              <w:spacing w:after="0"/>
              <w:rPr>
                <w:sz w:val="24"/>
                <w:szCs w:val="24"/>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(94,329)</w:t>
            </w:r>
          </w:p>
        </w:tc>
        <w:tc>
          <w:tcPr>
            <w:tcW w:w="10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7"/>
              </w:rPr>
              <w:t>Elimination of historical stockholders’ equity</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rPr>
              <w:t>Recognition of GSL Holdings, Inc.</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stockholders’ equity pre-merger</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26,685,209</w:t>
            </w: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266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175,375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181,927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and warrants in</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connection with the merger (note 1)</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Class A</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6,778,650</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7,405,956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Class C</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12,375,000</w:t>
            </w: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89,348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89,472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w w:val="94"/>
              </w:rPr>
              <w:t>Warrants exercised into Class A shares (note</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ind w:left="22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504,502</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12)</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322"/>
        </w:trPr>
        <w:tc>
          <w:tcPr>
            <w:tcW w:w="3420" w:type="dxa"/>
            <w:vAlign w:val="bottom"/>
            <w:gridSpan w:val="2"/>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(43,970)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Balance at December 31, 2008 (Successor)</w:t>
            </w: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420" w:type="dxa"/>
            <w:vAlign w:val="bottom"/>
            <w:gridSpan w:val="2"/>
            <w:vMerge w:val="continue"/>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53,749,317</w:t>
            </w: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537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(9,338)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(43,970)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347,810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(loss)</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420" w:type="dxa"/>
            <w:vAlign w:val="bottom"/>
            <w:gridSpan w:val="2"/>
          </w:tcPr>
          <w:p>
            <w:pPr>
              <w:spacing w:after="0"/>
              <w:rPr>
                <w:sz w:val="20"/>
                <w:szCs w:val="20"/>
                <w:color w:val="auto"/>
              </w:rPr>
            </w:pPr>
            <w:r>
              <w:rPr>
                <w:rFonts w:ascii="Arial" w:cs="Arial" w:eastAsia="Arial" w:hAnsi="Arial"/>
                <w:sz w:val="18"/>
                <w:szCs w:val="18"/>
                <w:color w:val="auto"/>
              </w:rPr>
              <w:t>Class C shares converted to Class A</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(12,375,000)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Class A</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12,375,000</w:t>
            </w: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12)</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322"/>
        </w:trPr>
        <w:tc>
          <w:tcPr>
            <w:tcW w:w="3420" w:type="dxa"/>
            <w:vAlign w:val="bottom"/>
            <w:gridSpan w:val="2"/>
          </w:tcPr>
          <w:p>
            <w:pPr>
              <w:spacing w:after="0"/>
              <w:rPr>
                <w:sz w:val="20"/>
                <w:szCs w:val="20"/>
                <w:color w:val="auto"/>
              </w:rPr>
            </w:pPr>
            <w:r>
              <w:rPr>
                <w:rFonts w:ascii="Arial" w:cs="Arial" w:eastAsia="Arial" w:hAnsi="Arial"/>
                <w:sz w:val="18"/>
                <w:szCs w:val="18"/>
                <w:color w:val="auto"/>
              </w:rPr>
              <w:t>Shares issued (note 10)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231,833</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323"/>
        </w:trPr>
        <w:tc>
          <w:tcPr>
            <w:tcW w:w="3420" w:type="dxa"/>
            <w:vAlign w:val="bottom"/>
            <w:gridSpan w:val="2"/>
          </w:tcPr>
          <w:p>
            <w:pPr>
              <w:spacing w:after="0"/>
              <w:rPr>
                <w:sz w:val="20"/>
                <w:szCs w:val="20"/>
                <w:color w:val="auto"/>
              </w:rPr>
            </w:pPr>
            <w:r>
              <w:rPr>
                <w:rFonts w:ascii="Arial" w:cs="Arial" w:eastAsia="Arial" w:hAnsi="Arial"/>
                <w:sz w:val="18"/>
                <w:szCs w:val="18"/>
                <w:color w:val="auto"/>
              </w:rPr>
              <w:t>Dividends declared (note 10)</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Balance at September 30, 2009 (Successor)</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53,981,150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540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$ 30,026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349,961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520" w:type="dxa"/>
            <w:vAlign w:val="bottom"/>
            <w:gridSpan w:val="18"/>
          </w:tcPr>
          <w:p>
            <w:pPr>
              <w:ind w:left="3000"/>
              <w:spacing w:after="0"/>
              <w:rPr>
                <w:sz w:val="20"/>
                <w:szCs w:val="20"/>
                <w:color w:val="auto"/>
              </w:rPr>
            </w:pPr>
            <w:r>
              <w:rPr>
                <w:rFonts w:ascii="Arial" w:cs="Arial" w:eastAsia="Arial" w:hAnsi="Arial"/>
                <w:sz w:val="18"/>
                <w:szCs w:val="18"/>
                <w:color w:val="auto"/>
                <w:w w:val="89"/>
              </w:rPr>
              <w:t>See accompanying notes to interim unaudited combined 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Page 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52" w:right="20"/>
        <w:spacing w:after="0" w:line="259" w:lineRule="auto"/>
        <w:rPr>
          <w:rFonts w:ascii="Arial" w:cs="Arial" w:eastAsia="Arial" w:hAnsi="Arial"/>
          <w:sz w:val="18"/>
          <w:szCs w:val="18"/>
          <w:color w:val="auto"/>
        </w:rPr>
      </w:pPr>
      <w:r>
        <w:rPr>
          <w:rFonts w:ascii="Arial" w:cs="Arial" w:eastAsia="Arial" w:hAnsi="Arial"/>
          <w:sz w:val="18"/>
          <w:szCs w:val="18"/>
          <w:color w:val="auto"/>
        </w:rPr>
        <w:t>On August 14, 2008, Global Ship Lease, Inc. (the “Company”) merged indirectly with Marathon Acquisition Corp. (“Marathon”), a company then listed on The American Stock Exchange. Following the merger, the Company became listed on the New York Stock Exchange on August 15, 2008. The period preceding the merger is referred to as “Predecessor” and after the merger as “Successor”.</w:t>
      </w:r>
    </w:p>
    <w:p>
      <w:pPr>
        <w:spacing w:after="0" w:line="59" w:lineRule="exact"/>
        <w:rPr>
          <w:rFonts w:ascii="Arial" w:cs="Arial" w:eastAsia="Arial" w:hAnsi="Arial"/>
          <w:sz w:val="18"/>
          <w:szCs w:val="18"/>
          <w:color w:val="auto"/>
        </w:rPr>
      </w:pPr>
    </w:p>
    <w:p>
      <w:pPr>
        <w:ind w:left="452" w:right="20"/>
        <w:spacing w:after="0" w:line="291" w:lineRule="auto"/>
        <w:rPr>
          <w:rFonts w:ascii="Arial" w:cs="Arial" w:eastAsia="Arial" w:hAnsi="Arial"/>
          <w:sz w:val="18"/>
          <w:szCs w:val="18"/>
          <w:color w:val="auto"/>
        </w:rPr>
      </w:pPr>
      <w:r>
        <w:rPr>
          <w:rFonts w:ascii="Arial" w:cs="Arial" w:eastAsia="Arial" w:hAnsi="Arial"/>
          <w:sz w:val="16"/>
          <w:szCs w:val="16"/>
          <w:color w:val="auto"/>
        </w:rPr>
        <w:t>The interim unaudited combined financial statements for the three months and nine months ended September 30, 2009 are wholly “Successor”, reflecting results of the combined operations following the merger. The results for the period August 15, 2008 to September 30, 2008 (labeled “Successor”) and those for the period January 1, 2008 to August 14, 2008 (labeled “Predecessor”) reflect results of the operations as historically reported for Global Ship Lease, Inc. prior to the merger. Under Predecessor accounting rules, the period January 1, 2008 to August 14, 2008 includes for a few days of January 2008 the results of two vessels when they were owned and operated by CMA CGM (rather than Global Ship Lease, Inc.) in its business of carrying containerized cargo prior to their sale to the Company (see Note 9).</w:t>
      </w:r>
    </w:p>
    <w:p>
      <w:pPr>
        <w:spacing w:after="0" w:line="39" w:lineRule="exact"/>
        <w:rPr>
          <w:rFonts w:ascii="Arial" w:cs="Arial" w:eastAsia="Arial" w:hAnsi="Arial"/>
          <w:sz w:val="18"/>
          <w:szCs w:val="18"/>
          <w:color w:val="auto"/>
        </w:rPr>
      </w:pPr>
    </w:p>
    <w:p>
      <w:pPr>
        <w:ind w:left="452" w:right="340"/>
        <w:spacing w:after="0" w:line="357" w:lineRule="auto"/>
        <w:rPr>
          <w:rFonts w:ascii="Arial" w:cs="Arial" w:eastAsia="Arial" w:hAnsi="Arial"/>
          <w:sz w:val="18"/>
          <w:szCs w:val="18"/>
          <w:color w:val="auto"/>
        </w:rPr>
      </w:pPr>
      <w:r>
        <w:rPr>
          <w:rFonts w:ascii="Arial" w:cs="Arial" w:eastAsia="Arial" w:hAnsi="Arial"/>
          <w:sz w:val="15"/>
          <w:szCs w:val="15"/>
          <w:color w:val="auto"/>
        </w:rPr>
        <w:t>As the merger was consummated on August 14, 2008, the balance sheets as of September 30, 2009 and December 31, 2008 (both labeled “Successor”) reflect the acquisition under the purchase method of accounting of all the identified assets and assumed liabilities of Global Ship Lease, Inc.</w:t>
      </w:r>
    </w:p>
    <w:p>
      <w:pPr>
        <w:ind w:left="452"/>
        <w:spacing w:after="0"/>
        <w:rPr>
          <w:rFonts w:ascii="Arial" w:cs="Arial" w:eastAsia="Arial" w:hAnsi="Arial"/>
          <w:sz w:val="18"/>
          <w:szCs w:val="18"/>
          <w:color w:val="auto"/>
        </w:rPr>
      </w:pPr>
      <w:r>
        <w:rPr>
          <w:rFonts w:ascii="Arial" w:cs="Arial" w:eastAsia="Arial" w:hAnsi="Arial"/>
          <w:sz w:val="18"/>
          <w:szCs w:val="18"/>
          <w:color w:val="auto"/>
        </w:rPr>
        <w:t>The term “Company” refers to both Successor and Predecessor periods.</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Nature of Operations</w:t>
      </w:r>
    </w:p>
    <w:p>
      <w:pPr>
        <w:spacing w:after="0" w:line="96"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subject to certain conditions, to acquire 17 containerships from CMA CGM. Of these, 10 were purchased by the Company during December 2007, two in January 2008, four in December 2008 and one in August 2009. All vessels are time chartered to CMA CGM for remaining terms as at September 30, 2009 ranging from 3.25 to 16.25 years. The Company has also entered into an agreement with German interests to acquire in the fourth quarter of 2010 two newbuildings for approximately $77 million per vessel. The Company has an agreement to charter out these vessels to ZIM Integrated Shipping Services Limited (“ZIM”) for a period of seven years that could be extended to eight years at ZIM’s option.</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92"/>
          </w:cols>
          <w:pgMar w:left="248" w:top="274" w:right="25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Daily Charter Rate)</w:t>
      </w:r>
    </w:p>
    <w:p>
      <w:pPr>
        <w:spacing w:after="0" w:line="152"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Nature of Operations (continued)</w:t>
      </w:r>
    </w:p>
    <w:p>
      <w:pPr>
        <w:spacing w:after="0" w:line="15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Fleet</w:t>
      </w:r>
    </w:p>
    <w:p>
      <w:pPr>
        <w:spacing w:after="0" w:line="96" w:lineRule="exact"/>
        <w:rPr>
          <w:rFonts w:ascii="Arial" w:cs="Arial" w:eastAsia="Arial" w:hAnsi="Arial"/>
          <w:sz w:val="18"/>
          <w:szCs w:val="18"/>
          <w:color w:val="auto"/>
        </w:rPr>
      </w:pPr>
    </w:p>
    <w:p>
      <w:pPr>
        <w:ind w:left="452" w:right="68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provides information about the 17 vessels chartered to CMA CGM which are reflected in these unaudited combined financial statements:</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Purchase Date</w:t>
            </w:r>
          </w:p>
        </w:tc>
        <w:tc>
          <w:tcPr>
            <w:tcW w:w="4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Charter</w:t>
            </w:r>
          </w:p>
        </w:tc>
        <w:tc>
          <w:tcPr>
            <w:tcW w:w="2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5"/>
              </w:rPr>
              <w:t>Capacity</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100" w:type="dxa"/>
            <w:vAlign w:val="bottom"/>
            <w:gridSpan w:val="2"/>
          </w:tcPr>
          <w:p>
            <w:pPr>
              <w:jc w:val="right"/>
              <w:ind w:right="46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Year Built</w:t>
            </w:r>
          </w:p>
        </w:tc>
        <w:tc>
          <w:tcPr>
            <w:tcW w:w="12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by GSL</w:t>
            </w:r>
            <w:r>
              <w:rPr>
                <w:rFonts w:ascii="Arial" w:cs="Arial" w:eastAsia="Arial" w:hAnsi="Arial"/>
                <w:sz w:val="20"/>
                <w:szCs w:val="20"/>
                <w:b w:val="1"/>
                <w:bCs w:val="1"/>
                <w:color w:val="auto"/>
                <w:w w:val="93"/>
                <w:vertAlign w:val="superscript"/>
              </w:rPr>
              <w:t>(2)</w:t>
            </w:r>
          </w:p>
        </w:tc>
        <w:tc>
          <w:tcPr>
            <w:tcW w:w="4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Duration (years)</w:t>
            </w:r>
          </w:p>
        </w:tc>
        <w:tc>
          <w:tcPr>
            <w:tcW w:w="2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4,113</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4,113</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1996</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2,262</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1999</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2,207</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2,207</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2002</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2,207</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2002</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2,207</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2002</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2,272</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2001</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5,100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11.25</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5,100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2007</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11.25</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10,960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4,298</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2006</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4,045</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2006</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8"/>
                <w:szCs w:val="18"/>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color w:val="auto"/>
              </w:rPr>
              <w:t>(3)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6,627</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52" w:right="380" w:hanging="452"/>
        <w:spacing w:after="0" w:line="250" w:lineRule="auto"/>
        <w:tabs>
          <w:tab w:leader="none" w:pos="45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 which occurred during both the Predecessor and Successor periods.</w:t>
      </w:r>
    </w:p>
    <w:p>
      <w:pPr>
        <w:ind w:left="452" w:hanging="452"/>
        <w:spacing w:after="0"/>
        <w:tabs>
          <w:tab w:leader="none" w:pos="45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vessel, CMA CGM Berlioz, is a second hand vessel acquired during the quarter.</w:t>
      </w:r>
    </w:p>
    <w:p>
      <w:pPr>
        <w:spacing w:after="0" w:line="165"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following table provides information about the contracted fleet not reflected in these unaudited combined financial statements, other than deposits paid on Hull 789 and Hull 790:</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Capacity</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Charter</w:t>
            </w:r>
          </w:p>
        </w:tc>
        <w:tc>
          <w:tcPr>
            <w:tcW w:w="18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8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1"/>
                <w:szCs w:val="11"/>
                <w:color w:val="auto"/>
              </w:rPr>
            </w:pPr>
          </w:p>
        </w:tc>
        <w:tc>
          <w:tcPr>
            <w:tcW w:w="6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Year</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Delivery Date</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Duration</w:t>
            </w:r>
          </w:p>
        </w:tc>
        <w:tc>
          <w:tcPr>
            <w:tcW w:w="18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80" w:type="dxa"/>
            <w:vAlign w:val="bottom"/>
            <w:gridSpan w:val="2"/>
          </w:tcPr>
          <w:p>
            <w:pPr>
              <w:jc w:val="right"/>
              <w:ind w:right="180"/>
              <w:spacing w:after="0" w:line="176" w:lineRule="exact"/>
              <w:rPr>
                <w:sz w:val="20"/>
                <w:szCs w:val="20"/>
                <w:color w:val="auto"/>
              </w:rPr>
            </w:pPr>
            <w:r>
              <w:rPr>
                <w:rFonts w:ascii="Arial" w:cs="Arial" w:eastAsia="Arial" w:hAnsi="Arial"/>
                <w:sz w:val="13"/>
                <w:szCs w:val="13"/>
                <w:b w:val="1"/>
                <w:bCs w:val="1"/>
                <w:color w:val="auto"/>
                <w:w w:val="90"/>
              </w:rPr>
              <w:t xml:space="preserve">TEUs </w:t>
            </w:r>
            <w:r>
              <w:rPr>
                <w:rFonts w:ascii="Arial" w:cs="Arial" w:eastAsia="Arial" w:hAnsi="Arial"/>
                <w:sz w:val="20"/>
                <w:szCs w:val="20"/>
                <w:b w:val="1"/>
                <w:bCs w:val="1"/>
                <w:color w:val="auto"/>
                <w:w w:val="90"/>
                <w:vertAlign w:val="superscript"/>
              </w:rPr>
              <w:t>(1)</w:t>
            </w:r>
          </w:p>
        </w:tc>
        <w:tc>
          <w:tcPr>
            <w:tcW w:w="14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Built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to GSL</w:t>
            </w:r>
          </w:p>
        </w:tc>
        <w:tc>
          <w:tcPr>
            <w:tcW w:w="30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Charterer</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(years)</w:t>
            </w:r>
          </w:p>
        </w:tc>
        <w:tc>
          <w:tcPr>
            <w:tcW w:w="18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4,250</w:t>
            </w:r>
          </w:p>
        </w:tc>
        <w:tc>
          <w:tcPr>
            <w:tcW w:w="8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9"/>
              </w:rPr>
              <w:t>2010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ZIM</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(3)</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4,250</w:t>
            </w:r>
          </w:p>
        </w:tc>
        <w:tc>
          <w:tcPr>
            <w:tcW w:w="8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2010</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December 2010</w:t>
            </w:r>
          </w:p>
        </w:tc>
        <w:tc>
          <w:tcPr>
            <w:tcW w:w="3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ZIM</w:t>
            </w:r>
          </w:p>
        </w:tc>
        <w:tc>
          <w:tcPr>
            <w:tcW w:w="840" w:type="dxa"/>
            <w:vAlign w:val="bottom"/>
            <w:gridSpan w:val="2"/>
          </w:tcPr>
          <w:p>
            <w:pPr>
              <w:jc w:val="right"/>
              <w:ind w:right="180"/>
              <w:spacing w:after="0" w:line="302" w:lineRule="exact"/>
              <w:rPr>
                <w:sz w:val="20"/>
                <w:szCs w:val="20"/>
                <w:color w:val="auto"/>
              </w:rPr>
            </w:pPr>
            <w:r>
              <w:rPr>
                <w:rFonts w:ascii="Arial" w:cs="Arial" w:eastAsia="Arial" w:hAnsi="Arial"/>
                <w:sz w:val="35"/>
                <w:szCs w:val="35"/>
                <w:color w:val="auto"/>
                <w:vertAlign w:val="subscript"/>
              </w:rPr>
              <w:t>7-8</w:t>
            </w:r>
            <w:r>
              <w:rPr>
                <w:rFonts w:ascii="Arial" w:cs="Arial" w:eastAsia="Arial" w:hAnsi="Arial"/>
                <w:sz w:val="11"/>
                <w:szCs w:val="11"/>
                <w:color w:val="auto"/>
              </w:rPr>
              <w:t xml:space="preserve"> (3)</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52" w:hanging="452"/>
        <w:spacing w:after="0"/>
        <w:tabs>
          <w:tab w:leader="none" w:pos="45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 w:lineRule="exact"/>
        <w:rPr>
          <w:rFonts w:ascii="Arial" w:cs="Arial" w:eastAsia="Arial" w:hAnsi="Arial"/>
          <w:sz w:val="18"/>
          <w:szCs w:val="18"/>
          <w:i w:val="1"/>
          <w:iCs w:val="1"/>
          <w:color w:val="auto"/>
        </w:rPr>
      </w:pPr>
    </w:p>
    <w:p>
      <w:pPr>
        <w:ind w:left="452" w:hanging="452"/>
        <w:spacing w:after="0"/>
        <w:tabs>
          <w:tab w:leader="none" w:pos="45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8).</w:t>
      </w:r>
    </w:p>
    <w:p>
      <w:pPr>
        <w:spacing w:after="0" w:line="9" w:lineRule="exact"/>
        <w:rPr>
          <w:rFonts w:ascii="Arial" w:cs="Arial" w:eastAsia="Arial" w:hAnsi="Arial"/>
          <w:sz w:val="18"/>
          <w:szCs w:val="18"/>
          <w:i w:val="1"/>
          <w:iCs w:val="1"/>
          <w:color w:val="auto"/>
        </w:rPr>
      </w:pPr>
    </w:p>
    <w:p>
      <w:pPr>
        <w:ind w:left="452" w:hanging="452"/>
        <w:spacing w:after="0"/>
        <w:tabs>
          <w:tab w:leader="none" w:pos="45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72"/>
          </w:cols>
          <w:pgMar w:left="248" w:top="274" w:right="279" w:bottom="1440" w:gutter="0" w:footer="0" w:header="0"/>
        </w:sectPr>
      </w:pPr>
    </w:p>
    <w:bookmarkStart w:id="28" w:name="page29"/>
    <w:bookmarkEnd w:id="2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 except per share amounts)</w:t>
      </w:r>
    </w:p>
    <w:p>
      <w:pPr>
        <w:spacing w:after="0" w:line="152"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Supplemental Pro Forma Information</w:t>
      </w:r>
    </w:p>
    <w:p>
      <w:pPr>
        <w:spacing w:after="0" w:line="96" w:lineRule="exact"/>
        <w:rPr>
          <w:rFonts w:ascii="Arial" w:cs="Arial" w:eastAsia="Arial" w:hAnsi="Arial"/>
          <w:sz w:val="18"/>
          <w:szCs w:val="18"/>
          <w:b w:val="1"/>
          <w:bCs w:val="1"/>
          <w:color w:val="auto"/>
        </w:rPr>
      </w:pPr>
    </w:p>
    <w:p>
      <w:pPr>
        <w:ind w:left="452"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pro forma information for the three and nine months ended September 30, 2008 assumes that the merger with Marathon took place at the beginning of the reporting periods being presented.</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 in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33,469,295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41,968,943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43,517,487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7,405,956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7,405,956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number of Class C common shares outstanding</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12,375,000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12,375,000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rFonts w:ascii="Arial" w:cs="Arial" w:eastAsia="Arial" w:hAnsi="Arial"/>
          <w:sz w:val="18"/>
          <w:szCs w:val="18"/>
          <w:color w:val="auto"/>
        </w:rPr>
      </w:pPr>
    </w:p>
    <w:p>
      <w:pPr>
        <w:ind w:left="452"/>
        <w:spacing w:after="0" w:line="294" w:lineRule="auto"/>
        <w:rPr>
          <w:rFonts w:ascii="Arial" w:cs="Arial" w:eastAsia="Arial" w:hAnsi="Arial"/>
          <w:sz w:val="18"/>
          <w:szCs w:val="18"/>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presentation of results for the interim periods presented. They do not include all disclosures required under United States Generally Accepted Accounting Principles (“U.S. GAAP”) for annual financial statements. These interim unaudited combined financial statements should be read in conjunction with the Company’s financial statements as of December 31, 2008 filed with the Securities and Exchange Commission in the Company’s Annual Report on Form 20-F.</w:t>
      </w:r>
    </w:p>
    <w:p>
      <w:pPr>
        <w:spacing w:after="0" w:line="1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rFonts w:ascii="Arial" w:cs="Arial" w:eastAsia="Arial" w:hAnsi="Arial"/>
          <w:sz w:val="18"/>
          <w:szCs w:val="18"/>
          <w:color w:val="auto"/>
        </w:rPr>
      </w:pPr>
    </w:p>
    <w:p>
      <w:pPr>
        <w:ind w:left="452"/>
        <w:spacing w:after="0" w:line="290" w:lineRule="auto"/>
        <w:rPr>
          <w:rFonts w:ascii="Arial" w:cs="Arial" w:eastAsia="Arial" w:hAnsi="Arial"/>
          <w:sz w:val="18"/>
          <w:szCs w:val="18"/>
          <w:color w:val="auto"/>
        </w:rPr>
      </w:pPr>
      <w:r>
        <w:rPr>
          <w:rFonts w:ascii="Arial" w:cs="Arial" w:eastAsia="Arial" w:hAnsi="Arial"/>
          <w:sz w:val="16"/>
          <w:szCs w:val="16"/>
          <w:color w:val="auto"/>
        </w:rPr>
        <w:t>The FASB “Accounting Standards Codification” (the Codification) became effective on July 1, 2009, officially becoming the single source of authoritative non-governmental U.S. generally accepted accounting principles (GAAP), superseding existing FASB, American Institute of Certified Public Accountants (AICPA), Emerging Issues Task Force (EITF), and related accounting literature. Only one level of authoritative GAAP now exists and it is termed Accounting Standards Codification (“ASC”). All other accounting literature is considered non-authoritative. The Codification reorganizes GAAP pronouncements into accounting topics and displays them using a consistent structure. Also included in the Codification is relevant Securities and Exchange Commission (SEC) guidance organized using the same topical structure in separate sections within the Codification. This has impacted the Company’s financial statements as all references to authoritative accounting literature has now been referenced in accordance with the Codification.</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52"/>
          </w:cols>
          <w:pgMar w:left="248" w:top="274"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right="7480" w:hanging="452"/>
        <w:spacing w:after="0" w:line="511" w:lineRule="auto"/>
        <w:tabs>
          <w:tab w:leader="none" w:pos="449"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color w:val="auto"/>
        </w:rPr>
        <w:t>Recently issued accounting standards (continued)</w:t>
      </w:r>
    </w:p>
    <w:p>
      <w:pPr>
        <w:ind w:left="460" w:right="80"/>
        <w:spacing w:after="0" w:line="298" w:lineRule="auto"/>
        <w:rPr>
          <w:rFonts w:ascii="Arial" w:cs="Arial" w:eastAsia="Arial" w:hAnsi="Arial"/>
          <w:sz w:val="15"/>
          <w:szCs w:val="15"/>
          <w:color w:val="auto"/>
        </w:rPr>
      </w:pPr>
      <w:r>
        <w:rPr>
          <w:rFonts w:ascii="Arial" w:cs="Arial" w:eastAsia="Arial" w:hAnsi="Arial"/>
          <w:sz w:val="16"/>
          <w:szCs w:val="16"/>
          <w:color w:val="auto"/>
        </w:rPr>
        <w:t>On April 9, 2009, the Financial Accounting Standards Board (“FASB”) issued guidance now codified as ASC Topic 825, “Interim Disclosures about Fair Value of Financial Instruments.” This pronouncement requires disclosures of fair value for any financial instruments not currently reflected at fair value on the balance sheet for all interim periods. This pronouncement is effective for interim and annual periods ending after June 15, 2009 and is applied prospectively. The adoption of this pronouncement did not have a material impact on the unaudited combined financial statements of the Company.</w:t>
      </w:r>
    </w:p>
    <w:p>
      <w:pPr>
        <w:spacing w:after="0" w:line="31" w:lineRule="exact"/>
        <w:rPr>
          <w:rFonts w:ascii="Arial" w:cs="Arial" w:eastAsia="Arial" w:hAnsi="Arial"/>
          <w:sz w:val="15"/>
          <w:szCs w:val="15"/>
          <w:color w:val="auto"/>
        </w:rPr>
      </w:pPr>
    </w:p>
    <w:p>
      <w:pPr>
        <w:ind w:left="460"/>
        <w:spacing w:after="0" w:line="291" w:lineRule="auto"/>
        <w:rPr>
          <w:rFonts w:ascii="Arial" w:cs="Arial" w:eastAsia="Arial" w:hAnsi="Arial"/>
          <w:sz w:val="15"/>
          <w:szCs w:val="15"/>
          <w:color w:val="auto"/>
        </w:rPr>
      </w:pPr>
      <w:r>
        <w:rPr>
          <w:rFonts w:ascii="Arial" w:cs="Arial" w:eastAsia="Arial" w:hAnsi="Arial"/>
          <w:sz w:val="16"/>
          <w:szCs w:val="16"/>
          <w:color w:val="auto"/>
        </w:rPr>
        <w:t>On April 9, 2009 the FASB issued guidance now codified as ASC Topic 320, “Recognition and Presentation of Other Than Temporary Impairments.” This pronouncement is intended to bring greater consistency to the timing of impairment recognition, and provide greater clarity to investors about the credit and noncredit components of impaired debt securities that are not expected to be sold. This pronouncement also requires increased and more timely disclosures regarding expected cash flows, credit losses, and an aging of securities with unrealized losses. This pronouncement is effective for interim and annual periods ending after June 15, 2009 and is applied prospectively. The adoption of this pronouncement did not have a material impact on the unaudited combined financial statements of the Company.</w:t>
      </w:r>
    </w:p>
    <w:p>
      <w:pPr>
        <w:spacing w:after="0" w:line="39" w:lineRule="exact"/>
        <w:rPr>
          <w:rFonts w:ascii="Arial" w:cs="Arial" w:eastAsia="Arial" w:hAnsi="Arial"/>
          <w:sz w:val="15"/>
          <w:szCs w:val="15"/>
          <w:color w:val="auto"/>
        </w:rPr>
      </w:pPr>
    </w:p>
    <w:p>
      <w:pPr>
        <w:ind w:left="460" w:right="80"/>
        <w:spacing w:after="0" w:line="256" w:lineRule="auto"/>
        <w:rPr>
          <w:rFonts w:ascii="Arial" w:cs="Arial" w:eastAsia="Arial" w:hAnsi="Arial"/>
          <w:sz w:val="15"/>
          <w:szCs w:val="15"/>
          <w:color w:val="auto"/>
        </w:rPr>
      </w:pPr>
      <w:r>
        <w:rPr>
          <w:rFonts w:ascii="Arial" w:cs="Arial" w:eastAsia="Arial" w:hAnsi="Arial"/>
          <w:sz w:val="18"/>
          <w:szCs w:val="18"/>
          <w:color w:val="auto"/>
        </w:rPr>
        <w:t>In May 2009, the FASB issued guidance now codified as ASC Topic 855, “Subsequent Events,” which establishes general standards of accounting for, and requires disclosure of, events that occur after the balance sheet date but before financial statements are issued or are available to be issued. The Company adopted this pronouncement and has evaluated for disclosure subsequent events that have occurred up to November 9, 2009, the date of issuance of the unaudited combined financial statements of the Company.</w:t>
      </w:r>
    </w:p>
    <w:p>
      <w:pPr>
        <w:spacing w:after="0" w:line="62" w:lineRule="exact"/>
        <w:rPr>
          <w:rFonts w:ascii="Arial" w:cs="Arial" w:eastAsia="Arial" w:hAnsi="Arial"/>
          <w:sz w:val="15"/>
          <w:szCs w:val="15"/>
          <w:color w:val="auto"/>
        </w:rPr>
      </w:pPr>
    </w:p>
    <w:p>
      <w:pPr>
        <w:ind w:left="460" w:right="280"/>
        <w:spacing w:after="0" w:line="268" w:lineRule="auto"/>
        <w:rPr>
          <w:rFonts w:ascii="Arial" w:cs="Arial" w:eastAsia="Arial" w:hAnsi="Arial"/>
          <w:sz w:val="15"/>
          <w:szCs w:val="15"/>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unaudited combined financial statements of the Company.</w:t>
      </w:r>
    </w:p>
    <w:p>
      <w:pPr>
        <w:spacing w:after="0" w:line="247"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1,006,497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(35,850)</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970,647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906,896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In August 2009, the Company took delivery of the CMA CGM Berlioz, the final vessel in its contracted fleet with CMA CGM. The book value of the CMA CGM Berlioz includes the transfer of $7,840 from the intangible asset recognized at the time of the merger, and which arose from the comparison of the acquisition prices per the asset purchase agreement and the estimated fair value at the merger date of the vessels yet to be purchased.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color w:val="auto"/>
        </w:rPr>
      </w:pPr>
    </w:p>
    <w:p>
      <w:pPr>
        <w:ind w:left="452" w:right="360"/>
        <w:spacing w:after="0" w:line="268" w:lineRule="auto"/>
        <w:rPr>
          <w:rFonts w:ascii="Arial" w:cs="Arial" w:eastAsia="Arial" w:hAnsi="Arial"/>
          <w:sz w:val="18"/>
          <w:szCs w:val="18"/>
          <w:color w:val="auto"/>
        </w:rPr>
      </w:pPr>
      <w:r>
        <w:rPr>
          <w:rFonts w:ascii="Arial" w:cs="Arial" w:eastAsia="Arial" w:hAnsi="Arial"/>
          <w:sz w:val="18"/>
          <w:szCs w:val="18"/>
          <w:color w:val="auto"/>
        </w:rPr>
        <w:t>In December 2007 the Company entered into an $800,000 senior secured credit facility with Fortis Bank, Citibank, HSH Nordbank, Sumitomo Mitsui, KFW and DnB Nor Bank. Subsequently, Bank of Scotland joined the syndicate.</w:t>
      </w:r>
    </w:p>
    <w:p>
      <w:pPr>
        <w:spacing w:after="0" w:line="50" w:lineRule="exact"/>
        <w:rPr>
          <w:rFonts w:ascii="Arial" w:cs="Arial" w:eastAsia="Arial" w:hAnsi="Arial"/>
          <w:sz w:val="18"/>
          <w:szCs w:val="18"/>
          <w:color w:val="auto"/>
        </w:rPr>
      </w:pPr>
    </w:p>
    <w:p>
      <w:pPr>
        <w:ind w:left="452" w:right="20"/>
        <w:spacing w:after="0" w:line="286" w:lineRule="auto"/>
        <w:rPr>
          <w:rFonts w:ascii="Arial" w:cs="Arial" w:eastAsia="Arial" w:hAnsi="Arial"/>
          <w:sz w:val="18"/>
          <w:szCs w:val="18"/>
          <w:color w:val="auto"/>
        </w:rPr>
      </w:pPr>
      <w:r>
        <w:rPr>
          <w:rFonts w:ascii="Arial" w:cs="Arial" w:eastAsia="Arial" w:hAnsi="Arial"/>
          <w:sz w:val="16"/>
          <w:szCs w:val="16"/>
          <w:color w:val="auto"/>
        </w:rPr>
        <w:t>On February 10, 2009 the Company announced it had amended the terms of the original agreement in response to significant decreases in market values of containerships and the consequent implications on the loan to value covenant in the credit facility. The amended agreement increased temporarily the permitted maximum loan to value to 100% (previously 75%) applicable for test dates up to and including April 30, 2010. The margin applicable on interest payable under the credit facility varied from 1.25% to 2.75% over LIBOR depending on the loan to value ratio, which is the ratio of the balance outstanding on the credit facility to the aggregate charter free market value of the secured vessels, determined in April and November each year. The Company also paid a commitment fee of 0.50% per annum based on the undrawn portion of the credit facility (0.25% per annum up to February 10, 2009). During this period, the Company had no restrictions on its ability to distribute dividends unless the loan to value ratio exceeded 90%, at which point the Company would have been required to place 50% of its quarterly cash available for distribution in a pledged account. The pledged account would be released back to the Company if loan to value fell back below 90% during a subsequent valuation period. If the loan to value ratio exceeded 100%, the Company may have been required to prepay the loan or provide additional security to reduce the loan to value ratio to below 100%. The credit facility amount of $800,000 would be reduced by 19 equal quarterly installments, based on the market value weighted average age of the secured vessels compared to 18 years, commencing in December 2011. The final maturity date of the credit facility is August 14, 2016 at which point any remaining outstanding balance must be repaid.</w:t>
      </w:r>
    </w:p>
    <w:p>
      <w:pPr>
        <w:spacing w:after="0" w:line="39" w:lineRule="exact"/>
        <w:rPr>
          <w:rFonts w:ascii="Arial" w:cs="Arial" w:eastAsia="Arial" w:hAnsi="Arial"/>
          <w:sz w:val="18"/>
          <w:szCs w:val="18"/>
          <w:color w:val="auto"/>
        </w:rPr>
      </w:pPr>
    </w:p>
    <w:p>
      <w:pPr>
        <w:ind w:left="452" w:right="140"/>
        <w:spacing w:after="0" w:line="256" w:lineRule="auto"/>
        <w:rPr>
          <w:rFonts w:ascii="Arial" w:cs="Arial" w:eastAsia="Arial" w:hAnsi="Arial"/>
          <w:sz w:val="18"/>
          <w:szCs w:val="18"/>
          <w:color w:val="auto"/>
        </w:rPr>
      </w:pPr>
      <w:r>
        <w:rPr>
          <w:rFonts w:ascii="Arial" w:cs="Arial" w:eastAsia="Arial" w:hAnsi="Arial"/>
          <w:sz w:val="18"/>
          <w:szCs w:val="18"/>
          <w:color w:val="auto"/>
        </w:rPr>
        <w:t>On April 29, 2009, the Company agreed with the lenders that no loan to value tests would be performed pending agreement of a further amendment to the credit facility in response to further deterioration in market values of containerships. The margin applicable during this waiver period was 2.75% and the Company agreed that no dividends would be declared or paid on common shares during this time. The waiver period was extended on June 25, 2009 and again on July 30, 2009 through until August 31, 2009.</w:t>
      </w:r>
    </w:p>
    <w:p>
      <w:pPr>
        <w:spacing w:after="0" w:line="62" w:lineRule="exact"/>
        <w:rPr>
          <w:rFonts w:ascii="Arial" w:cs="Arial" w:eastAsia="Arial" w:hAnsi="Arial"/>
          <w:sz w:val="18"/>
          <w:szCs w:val="18"/>
          <w:color w:val="auto"/>
        </w:rPr>
      </w:pPr>
    </w:p>
    <w:p>
      <w:pPr>
        <w:ind w:left="452" w:right="60"/>
        <w:spacing w:after="0" w:line="291" w:lineRule="auto"/>
        <w:rPr>
          <w:rFonts w:ascii="Arial" w:cs="Arial" w:eastAsia="Arial" w:hAnsi="Arial"/>
          <w:sz w:val="18"/>
          <w:szCs w:val="18"/>
          <w:color w:val="auto"/>
        </w:rPr>
      </w:pPr>
      <w:r>
        <w:rPr>
          <w:rFonts w:ascii="Arial" w:cs="Arial" w:eastAsia="Arial" w:hAnsi="Arial"/>
          <w:sz w:val="16"/>
          <w:szCs w:val="16"/>
          <w:color w:val="auto"/>
        </w:rPr>
        <w:t>On August 20, 2009, the Company further amended the terms of the credit facility. Under the revised terms of the credit facility, the loan to value covenant has been waived up to and including November 30, 2010 with the next loan to value test scheduled for April 30, 2011. Further, the amendment enabled the Company to borrow $57,000 under the credit facility including a $15,000 newly created Over Advance Portion (“OAP Loan”) to allow the purchase of the CMA CGM Berlioz on August 26, 2009. The balance of the $82,000 vessel purchase price was funded by cash. Amounts borrowed under the amended credit facility bear interest at Libor plus a fixed margin of 3.50% up to November 30, 2010. Thereafter, the margin will be between 2.50% and 3.50% depending on the loan to value ratio, to be determined at the end of April and November each year.</w:t>
      </w:r>
    </w:p>
    <w:p>
      <w:pPr>
        <w:spacing w:after="0" w:line="39"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Under the amendment, all undrawn commitments of $200,900 were cancelled after the delivery of the CMA CGM Berlioz. No further commitment fees are payable subsequent to the cancellation of the undrawn commitments. The commitment fee in the nine months ended September 30, 2009 amounted to $779. The Company may not declare or pay dividends to common shareholders during the period up to November 30, 2010 or thereafter until the loan to value ratio is at or below 75%.</w:t>
      </w:r>
    </w:p>
    <w:p>
      <w:pPr>
        <w:spacing w:after="0" w:line="62" w:lineRule="exact"/>
        <w:rPr>
          <w:rFonts w:ascii="Arial" w:cs="Arial" w:eastAsia="Arial" w:hAnsi="Arial"/>
          <w:sz w:val="18"/>
          <w:szCs w:val="18"/>
          <w:color w:val="auto"/>
        </w:rPr>
      </w:pPr>
    </w:p>
    <w:p>
      <w:pPr>
        <w:jc w:val="both"/>
        <w:ind w:left="452" w:right="180"/>
        <w:spacing w:after="0" w:line="259" w:lineRule="auto"/>
        <w:rPr>
          <w:rFonts w:ascii="Arial" w:cs="Arial" w:eastAsia="Arial" w:hAnsi="Arial"/>
          <w:sz w:val="18"/>
          <w:szCs w:val="18"/>
          <w:color w:val="auto"/>
        </w:rPr>
      </w:pPr>
      <w:r>
        <w:rPr>
          <w:rFonts w:ascii="Arial" w:cs="Arial" w:eastAsia="Arial" w:hAnsi="Arial"/>
          <w:sz w:val="18"/>
          <w:szCs w:val="18"/>
          <w:color w:val="auto"/>
        </w:rPr>
        <w:t>The first repayment of the OAP Loan is due in November 2009 in an amount equal to free cash in excess of $20,000 determined as at the end of October 2009. The second repayment is due in February 2010 on the same basis, with free cash determined as at the end of January 2010. The OAP Loan must be repaid in full by June 30, 2010.</w:t>
      </w:r>
    </w:p>
    <w:p>
      <w:pPr>
        <w:spacing w:after="0" w:line="59" w:lineRule="exact"/>
        <w:rPr>
          <w:rFonts w:ascii="Arial" w:cs="Arial" w:eastAsia="Arial" w:hAnsi="Arial"/>
          <w:sz w:val="18"/>
          <w:szCs w:val="18"/>
          <w:color w:val="auto"/>
        </w:rPr>
      </w:pPr>
    </w:p>
    <w:p>
      <w:pPr>
        <w:ind w:left="452" w:right="360"/>
        <w:spacing w:after="0" w:line="298" w:lineRule="auto"/>
        <w:rPr>
          <w:rFonts w:ascii="Arial" w:cs="Arial" w:eastAsia="Arial" w:hAnsi="Arial"/>
          <w:sz w:val="18"/>
          <w:szCs w:val="18"/>
          <w:color w:val="auto"/>
        </w:rPr>
      </w:pPr>
      <w:r>
        <w:rPr>
          <w:rFonts w:ascii="Arial" w:cs="Arial" w:eastAsia="Arial" w:hAnsi="Arial"/>
          <w:sz w:val="16"/>
          <w:szCs w:val="16"/>
          <w:color w:val="auto"/>
        </w:rPr>
        <w:t>The balance of borrowings under the credit facility are to be repaid quarterly commencing June 30, 2010 in an amount equal to free cash in excess of $20,000 determined as at the previous month end subject to a minimum of $40,000 repayment a year on a rolling 12 month trailing basis. Once loan to value is at or below 75%, repayment of borrowings will become fixed at $10,000 per quarter. The final maturity date of the credit facility remains August 14, 2016 at which point any remaining outstanding balance must be repaid.</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12"/>
          </w:cols>
          <w:pgMar w:left="248" w:top="274" w:right="239" w:bottom="1440" w:gutter="0" w:footer="0" w:header="0"/>
        </w:sectPr>
      </w:pPr>
    </w:p>
    <w:bookmarkStart w:id="31" w:name="page32"/>
    <w:bookmarkEnd w:id="3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color w:val="auto"/>
        </w:rPr>
      </w:pPr>
    </w:p>
    <w:p>
      <w:pPr>
        <w:ind w:left="452" w:right="400"/>
        <w:spacing w:after="0" w:line="306" w:lineRule="auto"/>
        <w:rPr>
          <w:rFonts w:ascii="Arial" w:cs="Arial" w:eastAsia="Arial" w:hAnsi="Arial"/>
          <w:sz w:val="18"/>
          <w:szCs w:val="18"/>
          <w:color w:val="auto"/>
        </w:rPr>
      </w:pPr>
      <w:r>
        <w:rPr>
          <w:rFonts w:ascii="Arial" w:cs="Arial" w:eastAsia="Arial" w:hAnsi="Arial"/>
          <w:sz w:val="16"/>
          <w:szCs w:val="16"/>
          <w:color w:val="auto"/>
        </w:rPr>
        <w:t>As part of the August 20, 2009 amendment, CMA CGM has agreed to defer redemption of the $48,000 preferred shares it holds until after the final maturity of the credit facility in August 2016, subject to any earlier redemption from proceeds from the exercise of warrants (see Note 10), and also to retain its current holding of approximately 24.4 million common shares in the Company until at least November 30, 2010.</w:t>
      </w:r>
    </w:p>
    <w:p>
      <w:pPr>
        <w:spacing w:after="0" w:line="25" w:lineRule="exact"/>
        <w:rPr>
          <w:rFonts w:ascii="Arial" w:cs="Arial" w:eastAsia="Arial" w:hAnsi="Arial"/>
          <w:sz w:val="18"/>
          <w:szCs w:val="18"/>
          <w:color w:val="auto"/>
        </w:rPr>
      </w:pPr>
    </w:p>
    <w:p>
      <w:pPr>
        <w:ind w:left="452" w:right="40"/>
        <w:spacing w:after="0" w:line="298" w:lineRule="auto"/>
        <w:rPr>
          <w:rFonts w:ascii="Arial" w:cs="Arial" w:eastAsia="Arial" w:hAnsi="Arial"/>
          <w:sz w:val="18"/>
          <w:szCs w:val="18"/>
          <w:color w:val="auto"/>
        </w:rPr>
      </w:pPr>
      <w:r>
        <w:rPr>
          <w:rFonts w:ascii="Arial" w:cs="Arial" w:eastAsia="Arial" w:hAnsi="Arial"/>
          <w:sz w:val="16"/>
          <w:szCs w:val="16"/>
          <w:color w:val="auto"/>
        </w:rPr>
        <w:t>The credit facility is secured by, inter alia, first priority mortgages on each of the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color w:val="auto"/>
        </w:rPr>
      </w:pPr>
    </w:p>
    <w:p>
      <w:pPr>
        <w:ind w:left="452" w:right="60"/>
        <w:spacing w:after="0" w:line="256" w:lineRule="auto"/>
        <w:rPr>
          <w:rFonts w:ascii="Arial" w:cs="Arial" w:eastAsia="Arial" w:hAnsi="Arial"/>
          <w:sz w:val="18"/>
          <w:szCs w:val="18"/>
          <w:color w:val="auto"/>
        </w:rPr>
      </w:pPr>
      <w:r>
        <w:rPr>
          <w:rFonts w:ascii="Arial" w:cs="Arial" w:eastAsia="Arial" w:hAnsi="Arial"/>
          <w:sz w:val="18"/>
          <w:szCs w:val="18"/>
          <w:color w:val="auto"/>
        </w:rPr>
        <w:t>As the borrowing capacity was reduced by the amendment dated February 10, 2009 a portion of the unamortized deferred financing costs at the date of the amendment was written off in proportion to the decrease in the borrowing capacity. This amounted to $176. The remaining unamortized deferred financing costs existing at the date of the amendment together with the additional $3,293 fees and related costs for the February 10, 2009 amendment are deferred and amortized over the remaining term of the credit agreement.</w:t>
      </w:r>
    </w:p>
    <w:p>
      <w:pPr>
        <w:spacing w:after="0" w:line="62" w:lineRule="exact"/>
        <w:rPr>
          <w:rFonts w:ascii="Arial" w:cs="Arial" w:eastAsia="Arial" w:hAnsi="Arial"/>
          <w:sz w:val="18"/>
          <w:szCs w:val="18"/>
          <w:color w:val="auto"/>
        </w:rPr>
      </w:pPr>
    </w:p>
    <w:p>
      <w:pPr>
        <w:ind w:left="452" w:right="120"/>
        <w:spacing w:after="0" w:line="306" w:lineRule="auto"/>
        <w:rPr>
          <w:rFonts w:ascii="Arial" w:cs="Arial" w:eastAsia="Arial" w:hAnsi="Arial"/>
          <w:sz w:val="18"/>
          <w:szCs w:val="18"/>
          <w:color w:val="auto"/>
        </w:rPr>
      </w:pPr>
      <w:r>
        <w:rPr>
          <w:rFonts w:ascii="Arial" w:cs="Arial" w:eastAsia="Arial" w:hAnsi="Arial"/>
          <w:sz w:val="16"/>
          <w:szCs w:val="16"/>
          <w:color w:val="auto"/>
        </w:rPr>
        <w:t>The borrowing capacity was further reduced by the amendment dated August 20, 2009. An additional amount of $2,015 has been written off in proportion to the further decrease in borrowing capacity. The remaining unamortized deferred financing costs at the date of this amendment and the $2,130 paid in fees and related costs paid for the August 20, 2009 amendment are deferred and amortized over the remaining term of the credit agreement.</w:t>
      </w:r>
    </w:p>
    <w:p>
      <w:pPr>
        <w:spacing w:after="0" w:line="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 to 3.5%</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Less current installments of long-term debt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(60,600)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538,500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80"/>
        <w:spacing w:after="0" w:line="255" w:lineRule="auto"/>
        <w:rPr>
          <w:sz w:val="20"/>
          <w:szCs w:val="20"/>
          <w:color w:val="auto"/>
        </w:rPr>
      </w:pPr>
      <w:r>
        <w:rPr>
          <w:rFonts w:ascii="Arial" w:cs="Arial" w:eastAsia="Arial" w:hAnsi="Arial"/>
          <w:sz w:val="18"/>
          <w:szCs w:val="18"/>
          <w:color w:val="auto"/>
        </w:rPr>
        <w:t>As described above, outstanding borrowings under the credit facility are to be repaid quarterly in an amount equal to free cash in excess of $20,000 determined at the month end prior to the scheduled repayment. Repayments become fixed at $10,000 per quarter once loan to value is at or below 75% which, for the purposes of the following table, is assumed to be as at April 30, 2011, the next scheduled test date. Based on management’s reasonable estimates of excess cashflow, as at September 30, 2009 the estimated repayments in each of the 12 month periods ending September 30 in respect of the credit facility are as follows:</w:t>
      </w:r>
    </w:p>
    <w:p>
      <w:pPr>
        <w:spacing w:after="0" w:line="16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6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2"/>
              </w:rPr>
              <w:t>542,100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599,100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82"/>
              </w:rPr>
              <w:t>542,100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prepayments will continue to be based on excess cash.</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12"/>
          </w:cols>
          <w:pgMar w:left="248" w:top="274" w:right="239" w:bottom="1440" w:gutter="0" w:footer="0" w:header="0"/>
        </w:sectPr>
      </w:pPr>
    </w:p>
    <w:bookmarkStart w:id="32" w:name="page33"/>
    <w:bookmarkEnd w:id="32"/>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52" w:right="500"/>
        <w:spacing w:after="0" w:line="332" w:lineRule="auto"/>
        <w:rPr>
          <w:rFonts w:ascii="Arial" w:cs="Arial" w:eastAsia="Arial" w:hAnsi="Arial"/>
          <w:sz w:val="18"/>
          <w:szCs w:val="18"/>
          <w:color w:val="auto"/>
        </w:rPr>
      </w:pPr>
      <w:r>
        <w:rPr>
          <w:rFonts w:ascii="Arial" w:cs="Arial" w:eastAsia="Arial" w:hAnsi="Arial"/>
          <w:sz w:val="16"/>
          <w:szCs w:val="16"/>
          <w:color w:val="auto"/>
        </w:rPr>
        <w:t>CMA CGM is presented as a related party as it was, until the merger, the parent company of Global Ship Lease, Inc. and at September 30, 2009 is a significant shareholder of the Company, owning Class A and Class B common shares representing a 45% voting interest in the Company.</w:t>
      </w:r>
    </w:p>
    <w:p>
      <w:pPr>
        <w:spacing w:after="0" w:line="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8120" w:type="dxa"/>
            <w:vAlign w:val="bottom"/>
            <w:gridSpan w:val="2"/>
            <w:vMerge w:val="continue"/>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8120" w:type="dxa"/>
            <w:vAlign w:val="bottom"/>
            <w:gridSpan w:val="2"/>
            <w:vMerge w:val="continue"/>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14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September 30, 2009 and December 31, 2008 relate to amounts payable to or recoverable from CMA CGM group companies.</w:t>
      </w:r>
    </w:p>
    <w:p>
      <w:pPr>
        <w:spacing w:after="0" w:line="4" w:lineRule="exact"/>
        <w:rPr>
          <w:sz w:val="20"/>
          <w:szCs w:val="20"/>
          <w:color w:val="auto"/>
        </w:rPr>
      </w:pPr>
    </w:p>
    <w:p>
      <w:pPr>
        <w:ind w:left="452" w:right="32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nine months to September 30, 2009, the Company paid CMA CGM dividends of $1,990 (2008: $nil) of which $848 related to the year ended December 31, 2008.</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right="140"/>
        <w:spacing w:after="0" w:line="298"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paid in advance and the daily rate is fixed for the duration of the charter. The charters are for remaining periods as at September 30, 2009 of between 3.25 and 16.25 years. Of the $1,699,314 maximum future charter hire receivable for the total fleet set out in note 8 (including for two vessels scheduled to be purchased in fourth quarter 2010 and to be chartered to ZIM, a company not related to CMA CGM), $1,556,122 relates to the 17 ships currently chartered to CMA CGM.</w:t>
      </w:r>
    </w:p>
    <w:p>
      <w:pPr>
        <w:spacing w:after="0" w:line="32" w:lineRule="exact"/>
        <w:rPr>
          <w:sz w:val="20"/>
          <w:szCs w:val="20"/>
          <w:color w:val="auto"/>
        </w:rPr>
      </w:pPr>
    </w:p>
    <w:p>
      <w:pPr>
        <w:ind w:left="452" w:right="120"/>
        <w:spacing w:after="0" w:line="259" w:lineRule="auto"/>
        <w:rPr>
          <w:sz w:val="20"/>
          <w:szCs w:val="20"/>
          <w:color w:val="auto"/>
        </w:rPr>
      </w:pPr>
      <w:r>
        <w:rPr>
          <w:rFonts w:ascii="Arial" w:cs="Arial" w:eastAsia="Arial" w:hAnsi="Arial"/>
          <w:sz w:val="18"/>
          <w:szCs w:val="18"/>
          <w:color w:val="auto"/>
        </w:rPr>
        <w:t>On August 26, 2009, the Company took delivery of the CMA CGM Berlioz, a 2001-built 6,627 TEU container vessel and the last vessel of its contracted fleet with CMA CGM. The vessel was purchased for $82,000 and was funded by drawings under the credit facility and available cash (see note 6). The CMA CGM Berlioz is on a non-cancellable, 12-year time charter to CMA CGM at a daily rate of $34.</w:t>
      </w:r>
    </w:p>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The Company outsources day to day technical management of its vessels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ended September 30, 2009 amounted to $467 (2008: Successor $171 and Predecessor $171) and for the nine months ended September 30, 2009 amounted to $1,379 (2008: Successor $171 and Predecessor $848).</w:t>
      </w:r>
    </w:p>
    <w:p>
      <w:pPr>
        <w:spacing w:after="0" w:line="3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the Company did not enter into any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32"/>
          </w:cols>
          <w:pgMar w:left="248" w:top="274" w:right="319" w:bottom="1440" w:gutter="0" w:footer="0" w:header="0"/>
        </w:sectPr>
      </w:pPr>
    </w:p>
    <w:bookmarkStart w:id="33" w:name="page34"/>
    <w:bookmarkEnd w:id="33"/>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right="8380" w:hanging="452"/>
        <w:spacing w:after="0" w:line="417" w:lineRule="auto"/>
        <w:tabs>
          <w:tab w:leader="none" w:pos="441" w:val="left"/>
        </w:tabs>
        <w:numPr>
          <w:ilvl w:val="0"/>
          <w:numId w:val="21"/>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Contracted Vessel Purchases</w:t>
      </w:r>
    </w:p>
    <w:p>
      <w:pPr>
        <w:ind w:left="452" w:right="280"/>
        <w:spacing w:after="0" w:line="332" w:lineRule="auto"/>
        <w:rPr>
          <w:rFonts w:ascii="Arial" w:cs="Arial" w:eastAsia="Arial" w:hAnsi="Arial"/>
          <w:sz w:val="15"/>
          <w:szCs w:val="15"/>
          <w:color w:val="auto"/>
        </w:rPr>
      </w:pPr>
      <w:r>
        <w:rPr>
          <w:rFonts w:ascii="Arial" w:cs="Arial" w:eastAsia="Arial" w:hAnsi="Arial"/>
          <w:sz w:val="16"/>
          <w:szCs w:val="16"/>
          <w:color w:val="auto"/>
        </w:rPr>
        <w:t>As reported in note 2, the Company has agreed to purchase two vessels from German interests in the fourth quarter of 2010 for approximately $77,000 each. A deposit of 10% has been paid for these two vessels. The remaining purchase obligations are currently unfunded.</w:t>
      </w:r>
    </w:p>
    <w:p>
      <w:pPr>
        <w:spacing w:after="0" w:line="160"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52"/>
        <w:spacing w:after="0" w:line="303" w:lineRule="auto"/>
        <w:rPr>
          <w:rFonts w:ascii="Arial" w:cs="Arial" w:eastAsia="Arial" w:hAnsi="Arial"/>
          <w:sz w:val="15"/>
          <w:szCs w:val="15"/>
          <w:color w:val="auto"/>
        </w:rPr>
      </w:pPr>
      <w:r>
        <w:rPr>
          <w:rFonts w:ascii="Arial" w:cs="Arial" w:eastAsia="Arial" w:hAnsi="Arial"/>
          <w:sz w:val="15"/>
          <w:szCs w:val="15"/>
          <w:color w:val="auto"/>
        </w:rPr>
        <w:t>The Company has entered into long term time charters for its vessels owned at September 30, 2009. The charter hire (including that relating to vessels due for delivery in 2010), is payable in advance and the daily rate is fixed for the duration of the charter. The charters were originally for periods of between five and 17 years and the maximum annual charter hire receivable for the fleet of 17 vessels as at September 30, 2009 and for the total contracted fleet of</w:t>
      </w:r>
    </w:p>
    <w:p>
      <w:pPr>
        <w:spacing w:after="0" w:line="1"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color w:val="auto"/>
        </w:rPr>
        <w:t>19 vessels, taking account of actual or anticipated delivery dates and before allowance for any off-hire periods, is as follows:</w:t>
      </w:r>
    </w:p>
    <w:p>
      <w:pPr>
        <w:spacing w:after="0" w:line="18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Fleet operated as at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6"/>
              </w:rPr>
              <w:t>Total fleet to be</w:t>
            </w:r>
          </w:p>
        </w:tc>
        <w:tc>
          <w:tcPr>
            <w:tcW w:w="0" w:type="dxa"/>
            <w:vAlign w:val="bottom"/>
          </w:tcPr>
          <w:p>
            <w:pPr>
              <w:spacing w:after="0"/>
              <w:rPr>
                <w:sz w:val="1"/>
                <w:szCs w:val="1"/>
                <w:color w:val="auto"/>
              </w:rPr>
            </w:pPr>
          </w:p>
        </w:tc>
      </w:t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0"/>
              </w:rPr>
              <w:t>Year ending September 30</w:t>
            </w:r>
          </w:p>
        </w:tc>
        <w:tc>
          <w:tcPr>
            <w:tcW w:w="62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September 30, 2009</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500" w:type="dxa"/>
            <w:vAlign w:val="bottom"/>
            <w:gridSpan w:val="2"/>
            <w:shd w:val="clear" w:color="auto" w:fill="CCEEFF"/>
          </w:tcPr>
          <w:p>
            <w:pPr>
              <w:ind w:left="6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156,757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2011</w:t>
            </w:r>
          </w:p>
        </w:tc>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156,756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157,186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140,512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944,911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500" w:type="dxa"/>
            <w:vAlign w:val="bottom"/>
            <w:gridSpan w:val="2"/>
          </w:tcPr>
          <w:p>
            <w:pPr>
              <w:spacing w:after="0"/>
              <w:rPr>
                <w:sz w:val="9"/>
                <w:szCs w:val="9"/>
                <w:color w:val="auto"/>
              </w:rPr>
            </w:pPr>
          </w:p>
        </w:tc>
        <w:tc>
          <w:tcPr>
            <w:tcW w:w="88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1,556,122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1,699,314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52" w:right="60"/>
        <w:spacing w:after="0" w:line="291" w:lineRule="auto"/>
        <w:rPr>
          <w:rFonts w:ascii="Arial" w:cs="Arial" w:eastAsia="Arial" w:hAnsi="Arial"/>
          <w:sz w:val="18"/>
          <w:szCs w:val="18"/>
          <w:color w:val="auto"/>
        </w:rPr>
      </w:pPr>
      <w:r>
        <w:rPr>
          <w:rFonts w:ascii="Arial" w:cs="Arial" w:eastAsia="Arial" w:hAnsi="Arial"/>
          <w:sz w:val="16"/>
          <w:szCs w:val="16"/>
          <w:color w:val="auto"/>
        </w:rPr>
        <w:t>Segment information reported below has been prepared on the same basis that it is reported internally to the Company’s chief operating decision maker. The Company operated under two business models from which it derives its revenues reported within these interim unaudited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39" w:lineRule="exact"/>
        <w:rPr>
          <w:rFonts w:ascii="Arial" w:cs="Arial" w:eastAsia="Arial" w:hAnsi="Arial"/>
          <w:sz w:val="18"/>
          <w:szCs w:val="18"/>
          <w:color w:val="auto"/>
        </w:rPr>
      </w:pPr>
    </w:p>
    <w:p>
      <w:pPr>
        <w:ind w:left="452" w:right="120"/>
        <w:spacing w:after="0" w:line="268" w:lineRule="auto"/>
        <w:rPr>
          <w:rFonts w:ascii="Arial" w:cs="Arial" w:eastAsia="Arial" w:hAnsi="Arial"/>
          <w:sz w:val="18"/>
          <w:szCs w:val="18"/>
          <w:color w:val="auto"/>
        </w:rPr>
      </w:pPr>
      <w:r>
        <w:rPr>
          <w:rFonts w:ascii="Arial" w:cs="Arial" w:eastAsia="Arial" w:hAnsi="Arial"/>
          <w:sz w:val="18"/>
          <w:szCs w:val="18"/>
          <w:color w:val="auto"/>
        </w:rPr>
        <w:t>The “Adjustment” columns in the tables below include (i) the elimination of the containerized transportation activity performed by the Predecessor up to August 14, 2008, and (ii) the IPO and merger costs expensed by the Predecessor.</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12"/>
          </w:cols>
          <w:pgMar w:left="248" w:top="274" w:right="339" w:bottom="1440" w:gutter="0" w:footer="0" w:header="0"/>
        </w:sectPr>
      </w:pPr>
    </w:p>
    <w:bookmarkStart w:id="34" w:name="page35"/>
    <w:bookmarkEnd w:id="34"/>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Operating Segments (continued)</w:t>
      </w:r>
    </w:p>
    <w:p>
      <w:pPr>
        <w:spacing w:after="0" w:line="163"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During the three and nine months ended September 30, 2009 and 2008 the activities can be analyzed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9"/>
              </w:rPr>
              <w:t>Successor</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6"/>
              </w:rPr>
              <w:t>Successor</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80"/>
              </w:rPr>
              <w:t>Predecessor</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Time Charter</w:t>
            </w:r>
          </w:p>
        </w:tc>
        <w:tc>
          <w:tcPr>
            <w:tcW w:w="26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8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12,790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11,122</w:t>
            </w:r>
          </w:p>
        </w:tc>
        <w:tc>
          <w:tcPr>
            <w:tcW w:w="0" w:type="dxa"/>
            <w:vAlign w:val="bottom"/>
          </w:tcPr>
          <w:p>
            <w:pPr>
              <w:spacing w:after="0"/>
              <w:rPr>
                <w:sz w:val="1"/>
                <w:szCs w:val="1"/>
                <w:color w:val="auto"/>
              </w:rPr>
            </w:pPr>
          </w:p>
        </w:tc>
      </w:tr>
      <w:tr>
        <w:trPr>
          <w:trHeight w:val="457"/>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10,285</w:t>
            </w: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3,980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9,469</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21,491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7,811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16,132</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457"/>
        </w:trPr>
        <w:tc>
          <w:tcPr>
            <w:tcW w:w="4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(7,909)</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Realized and unrealized (loss) on derivatives</w:t>
            </w: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(12,043)</w:t>
            </w:r>
          </w:p>
        </w:tc>
        <w:tc>
          <w:tcPr>
            <w:tcW w:w="12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(4,307)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458"/>
        </w:trPr>
        <w:tc>
          <w:tcPr>
            <w:tcW w:w="4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11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9"/>
              </w:rPr>
              <w:t>Successor</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6"/>
              </w:rPr>
              <w:t>Successor</w:t>
            </w:r>
          </w:p>
        </w:tc>
        <w:tc>
          <w:tcPr>
            <w:tcW w:w="5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80"/>
              </w:rPr>
              <w:t>Predecessor</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Time Charter</w:t>
            </w:r>
          </w:p>
        </w:tc>
        <w:tc>
          <w:tcPr>
            <w:tcW w:w="26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Time Charter</w:t>
            </w:r>
          </w:p>
        </w:tc>
        <w:tc>
          <w:tcPr>
            <w:tcW w:w="8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108,824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12,790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55,883</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57,955</w:t>
            </w:r>
          </w:p>
        </w:tc>
        <w:tc>
          <w:tcPr>
            <w:tcW w:w="0" w:type="dxa"/>
            <w:vAlign w:val="bottom"/>
          </w:tcPr>
          <w:p>
            <w:pPr>
              <w:spacing w:after="0"/>
              <w:rPr>
                <w:sz w:val="1"/>
                <w:szCs w:val="1"/>
                <w:color w:val="auto"/>
              </w:rPr>
            </w:pPr>
          </w:p>
        </w:tc>
      </w:tr>
      <w:tr>
        <w:trPr>
          <w:trHeight w:val="457"/>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31,517</w:t>
            </w: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3,980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27,241</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6,561</w:t>
            </w: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64,969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7,811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31,914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36,088</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43,855</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21,867</w:t>
            </w:r>
          </w:p>
        </w:tc>
        <w:tc>
          <w:tcPr>
            <w:tcW w:w="0" w:type="dxa"/>
            <w:vAlign w:val="bottom"/>
          </w:tcPr>
          <w:p>
            <w:pPr>
              <w:spacing w:after="0"/>
              <w:rPr>
                <w:sz w:val="1"/>
                <w:szCs w:val="1"/>
                <w:color w:val="auto"/>
              </w:rPr>
            </w:pPr>
          </w:p>
        </w:tc>
      </w:tr>
      <w:tr>
        <w:trPr>
          <w:trHeight w:val="457"/>
        </w:trPr>
        <w:tc>
          <w:tcPr>
            <w:tcW w:w="4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4"/>
                <w:szCs w:val="24"/>
                <w:color w:val="auto"/>
              </w:rPr>
            </w:pPr>
          </w:p>
        </w:tc>
        <w:tc>
          <w:tcPr>
            <w:tcW w:w="11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(18,117)</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Realized and unrealized gain (loss) on derivatives</w:t>
            </w: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(4,307)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30,325</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458"/>
        </w:trPr>
        <w:tc>
          <w:tcPr>
            <w:tcW w:w="4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4"/>
                <w:szCs w:val="24"/>
                <w:color w:val="auto"/>
              </w:rPr>
            </w:pPr>
          </w:p>
        </w:tc>
        <w:tc>
          <w:tcPr>
            <w:tcW w:w="11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Page 17</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52"/>
          </w:cols>
          <w:pgMar w:left="248" w:top="274" w:right="699" w:bottom="321" w:gutter="0" w:footer="0" w:header="0"/>
        </w:sectPr>
      </w:pPr>
    </w:p>
    <w:bookmarkStart w:id="35" w:name="page36"/>
    <w:bookmarkEnd w:id="3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52" w:right="20"/>
        <w:spacing w:after="0" w:line="298" w:lineRule="auto"/>
        <w:rPr>
          <w:rFonts w:ascii="Arial" w:cs="Arial" w:eastAsia="Arial" w:hAnsi="Arial"/>
          <w:sz w:val="18"/>
          <w:szCs w:val="18"/>
          <w:color w:val="auto"/>
        </w:rPr>
      </w:pPr>
      <w:r>
        <w:rPr>
          <w:rFonts w:ascii="Arial" w:cs="Arial" w:eastAsia="Arial" w:hAnsi="Arial"/>
          <w:sz w:val="16"/>
          <w:szCs w:val="16"/>
          <w:color w:val="auto"/>
        </w:rPr>
        <w:t>At September 30, 2009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Until January 1, 2009 the Company had three classes of common shares but on that date the 12,375,000 Class C common shares were converted into Class A common shares on a one-for-one basis.</w:t>
      </w:r>
    </w:p>
    <w:p>
      <w:pPr>
        <w:spacing w:after="0" w:line="31" w:lineRule="exact"/>
        <w:rPr>
          <w:rFonts w:ascii="Arial" w:cs="Arial" w:eastAsia="Arial" w:hAnsi="Arial"/>
          <w:sz w:val="18"/>
          <w:szCs w:val="18"/>
          <w:color w:val="auto"/>
        </w:rPr>
      </w:pPr>
    </w:p>
    <w:p>
      <w:pPr>
        <w:jc w:val="both"/>
        <w:ind w:left="452" w:right="100"/>
        <w:spacing w:after="0" w:line="306" w:lineRule="auto"/>
        <w:rPr>
          <w:rFonts w:ascii="Arial" w:cs="Arial" w:eastAsia="Arial" w:hAnsi="Arial"/>
          <w:sz w:val="18"/>
          <w:szCs w:val="18"/>
          <w:color w:val="auto"/>
        </w:rPr>
      </w:pPr>
      <w:r>
        <w:rPr>
          <w:rFonts w:ascii="Arial" w:cs="Arial" w:eastAsia="Arial" w:hAnsi="Arial"/>
          <w:sz w:val="16"/>
          <w:szCs w:val="16"/>
          <w:color w:val="auto"/>
        </w:rPr>
        <w:t>The restricted stock units granted to the Directors in November 2008 as part of their compensation for service during 2008 vested on January 1, 2009, and subsequently 36,833 shares were issued to the Directors. A proportion of the restricted stock units granted to management in August and November 2008 as part of their compensation arrangements vested in September 2009, and subsequently 195,000 Class A common shares were issued.</w:t>
      </w:r>
    </w:p>
    <w:p>
      <w:pPr>
        <w:spacing w:after="0" w:line="25" w:lineRule="exact"/>
        <w:rPr>
          <w:rFonts w:ascii="Arial" w:cs="Arial" w:eastAsia="Arial" w:hAnsi="Arial"/>
          <w:sz w:val="18"/>
          <w:szCs w:val="18"/>
          <w:color w:val="auto"/>
        </w:rPr>
      </w:pPr>
    </w:p>
    <w:p>
      <w:pPr>
        <w:ind w:left="452" w:right="16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in 12 quarterly installments commencing on August 31, 2016 and are required to be redeemed earlier using the proceeds of any exercise of Public Warrants. The preferred shares are redeemed each time that proceeds from the exercise of warrants reach $5,000. As at September 30, 2009 total proceeds received from the exercise of warrants, classified in the balance sheet as restricted cash, were $3,026 and therefore none of the preferred shares have been redeemed. Series A preferred shares are classified as a liability. The dividend that preferred shares holders are entitled to receive quarterly is presented as part of interest expense.</w:t>
      </w:r>
    </w:p>
    <w:p>
      <w:pPr>
        <w:spacing w:after="0" w:line="34" w:lineRule="exact"/>
        <w:rPr>
          <w:rFonts w:ascii="Arial" w:cs="Arial" w:eastAsia="Arial" w:hAnsi="Arial"/>
          <w:sz w:val="18"/>
          <w:szCs w:val="18"/>
          <w:color w:val="auto"/>
        </w:rPr>
      </w:pPr>
    </w:p>
    <w:p>
      <w:pPr>
        <w:ind w:left="452" w:right="120"/>
        <w:spacing w:after="0" w:line="298" w:lineRule="auto"/>
        <w:rPr>
          <w:rFonts w:ascii="Arial" w:cs="Arial" w:eastAsia="Arial" w:hAnsi="Arial"/>
          <w:sz w:val="18"/>
          <w:szCs w:val="18"/>
          <w:color w:val="auto"/>
        </w:rPr>
      </w:pPr>
      <w:r>
        <w:rPr>
          <w:rFonts w:ascii="Arial" w:cs="Arial" w:eastAsia="Arial" w:hAnsi="Arial"/>
          <w:sz w:val="16"/>
          <w:szCs w:val="16"/>
          <w:color w:val="auto"/>
        </w:rPr>
        <w:t>In addition to the Class A, and B common shares and the Series A Preferred shares, there are 39,531 Public Warrants which have an expiry of August 14, 2010 and give the holder the right to purchase one Class A common share at a price of $6 per share and 5,500 Sponsor Warrants which have similar terms to the Public Warrants except that the exercise must be on a cashless basis. Further, there are 6,188 Class A Warrants which expire on September 1, 2011 and give the holders the right to purchase one Class A common share at a price of $9.25 per share.</w:t>
      </w:r>
    </w:p>
    <w:p>
      <w:pPr>
        <w:spacing w:after="0" w:line="31"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On February 10, 2009, the Company announced a fourth quarter 2008 dividend of $0.23 per Class A common share, unit and Class B share which was paid on March 5, 2009 to Class A common shareholders and unit holders and Class B shareholders of record as of February 20, 2009.</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September 30, 2009 a total of $580,000 of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w:t>
      </w:r>
    </w:p>
    <w:p>
      <w:pPr>
        <w:spacing w:after="0" w:line="39"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loss on interest rate derivatives for the three months ended September 30, 2009 was $8,127 (2008: $6,436). The unrealized gain on interest rate derivatives for the nine months ended September 30, 2009 was $12,834 (2008: loss $1,095).</w:t>
      </w:r>
    </w:p>
    <w:p>
      <w:pPr>
        <w:spacing w:after="0" w:line="31" w:lineRule="exact"/>
        <w:rPr>
          <w:rFonts w:ascii="Arial" w:cs="Arial" w:eastAsia="Arial" w:hAnsi="Arial"/>
          <w:sz w:val="18"/>
          <w:szCs w:val="18"/>
          <w:color w:val="auto"/>
        </w:rPr>
      </w:pPr>
    </w:p>
    <w:p>
      <w:pPr>
        <w:ind w:left="452" w:right="140"/>
        <w:spacing w:after="0" w:line="268" w:lineRule="auto"/>
        <w:rPr>
          <w:rFonts w:ascii="Arial" w:cs="Arial" w:eastAsia="Arial" w:hAnsi="Arial"/>
          <w:sz w:val="18"/>
          <w:szCs w:val="18"/>
          <w:color w:val="auto"/>
        </w:rPr>
      </w:pPr>
      <w:r>
        <w:rPr>
          <w:rFonts w:ascii="Arial" w:cs="Arial" w:eastAsia="Arial" w:hAnsi="Arial"/>
          <w:sz w:val="18"/>
          <w:szCs w:val="18"/>
          <w:color w:val="auto"/>
        </w:rPr>
        <w:t>Derivative instruments held by the Company are categorized as level 2 under ASC Topic 820 “Fair Value Measurement and Disclosures” hierarchy. As at September 30, 2009, these derivatives represented a liability of $34,206 (December 31, 2008: $47,041).</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72"/>
          </w:cols>
          <w:pgMar w:left="248" w:top="274" w:right="279" w:bottom="1440" w:gutter="0" w:footer="0" w:header="0"/>
        </w:sectPr>
      </w:pPr>
    </w:p>
    <w:bookmarkStart w:id="36" w:name="page37"/>
    <w:bookmarkEnd w:id="3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500" w:type="dxa"/>
            <w:vAlign w:val="bottom"/>
            <w:gridSpan w:val="5"/>
          </w:tcPr>
          <w:p>
            <w:pPr>
              <w:ind w:left="60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8020" w:type="dxa"/>
            <w:vAlign w:val="bottom"/>
          </w:tcPr>
          <w:p>
            <w:pPr>
              <w:spacing w:after="0"/>
              <w:rPr>
                <w:sz w:val="11"/>
                <w:szCs w:val="11"/>
                <w:color w:val="auto"/>
              </w:rPr>
            </w:pPr>
          </w:p>
        </w:tc>
        <w:tc>
          <w:tcPr>
            <w:tcW w:w="1420" w:type="dxa"/>
            <w:vAlign w:val="bottom"/>
            <w:tcBorders>
              <w:top w:val="single" w:sz="8" w:color="auto"/>
            </w:tcBorders>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r>
      <w:tr>
        <w:trPr>
          <w:trHeight w:val="161"/>
        </w:trPr>
        <w:tc>
          <w:tcPr>
            <w:tcW w:w="802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Un-vested as at January 1, 2009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897,671</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150,273</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(232,671)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Un-Vested as at September 30, 2009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815,273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w:t>
            </w:r>
          </w:p>
        </w:tc>
        <w:tc>
          <w:tcPr>
            <w:tcW w:w="20" w:type="dxa"/>
            <w:vAlign w:val="bottom"/>
          </w:tcPr>
          <w:p>
            <w:pPr>
              <w:spacing w:after="0"/>
              <w:rPr>
                <w:sz w:val="19"/>
                <w:szCs w:val="19"/>
                <w:color w:val="auto"/>
              </w:rPr>
            </w:pPr>
          </w:p>
        </w:tc>
      </w:tr>
    </w:tbl>
    <w:p>
      <w:pPr>
        <w:spacing w:after="0" w:line="86"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weighted average fair value of the shares calculated is recognized as compensation costs in the income statement over the vesting period. During the three and nine months ended September 30, 2009 the Company recognized a total of $575 (2008: $355) and $2,153 (2008: $355) share based compensation costs respectively. As at September 30, 2009, there was a total of $1,485 unrecognized compensation costs relating to the above share based awards (2008: $3,937). The remaining costs are expected to be recognized over a period of 23 months.</w:t>
      </w:r>
    </w:p>
    <w:p>
      <w:pPr>
        <w:spacing w:after="0" w:line="62" w:lineRule="exact"/>
        <w:rPr>
          <w:sz w:val="20"/>
          <w:szCs w:val="20"/>
          <w:color w:val="auto"/>
        </w:rPr>
      </w:pPr>
    </w:p>
    <w:p>
      <w:pPr>
        <w:ind w:left="452" w:right="300"/>
        <w:spacing w:after="0" w:line="259" w:lineRule="auto"/>
        <w:rPr>
          <w:sz w:val="20"/>
          <w:szCs w:val="20"/>
          <w:color w:val="auto"/>
        </w:rPr>
      </w:pPr>
      <w:r>
        <w:rPr>
          <w:rFonts w:ascii="Arial" w:cs="Arial" w:eastAsia="Arial" w:hAnsi="Arial"/>
          <w:sz w:val="18"/>
          <w:szCs w:val="18"/>
          <w:color w:val="auto"/>
        </w:rPr>
        <w:t>150,273 restricted stock units were granted in May 2009 for Directors’ compensation for 2009 under the Company’s 2008 Equity Incentive Plan. These awards will vest in early 2010. The awards that vested in the period related to Directors’ compensation for 2008, and a portion of awards made to management in 2008.</w:t>
      </w:r>
    </w:p>
    <w:p>
      <w:pPr>
        <w:spacing w:after="0" w:line="256"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52" w:right="220"/>
        <w:spacing w:after="0" w:line="294" w:lineRule="auto"/>
        <w:rPr>
          <w:rFonts w:ascii="Arial" w:cs="Arial" w:eastAsia="Arial" w:hAnsi="Arial"/>
          <w:sz w:val="18"/>
          <w:szCs w:val="18"/>
          <w:color w:val="auto"/>
        </w:rPr>
      </w:pPr>
      <w:r>
        <w:rPr>
          <w:rFonts w:ascii="Arial" w:cs="Arial" w:eastAsia="Arial" w:hAnsi="Arial"/>
          <w:sz w:val="16"/>
          <w:szCs w:val="16"/>
          <w:color w:val="auto"/>
        </w:rPr>
        <w:t>Basic earnings per common share presented under the two-class method is computed by dividing the earnings applicable to common stockholders by the weighted average number of common shares outstanding for the period. At September 30, 2009, there were 45,031,348 warrants to purchase Class A common shares outstanding, including 5,500,000 Sponsor Warrants (which must be exercised on a cashless basis), at an exercise price of $6, and there were 815,273 restricted stock units authorized as part of management’s equity incentive plan and as part of the Directors’ compensation for 2009. As of September 30, 2009 only Class A and B common shares are participating securities.</w:t>
      </w:r>
    </w:p>
    <w:p>
      <w:pPr>
        <w:spacing w:after="0" w:line="34" w:lineRule="exact"/>
        <w:rPr>
          <w:rFonts w:ascii="Arial" w:cs="Arial" w:eastAsia="Arial" w:hAnsi="Arial"/>
          <w:sz w:val="18"/>
          <w:szCs w:val="18"/>
          <w:color w:val="auto"/>
        </w:rPr>
      </w:pPr>
    </w:p>
    <w:p>
      <w:pPr>
        <w:ind w:left="452" w:right="100"/>
        <w:spacing w:after="0" w:line="256" w:lineRule="auto"/>
        <w:rPr>
          <w:rFonts w:ascii="Arial" w:cs="Arial" w:eastAsia="Arial" w:hAnsi="Arial"/>
          <w:sz w:val="18"/>
          <w:szCs w:val="18"/>
          <w:color w:val="auto"/>
        </w:rPr>
      </w:pPr>
      <w:r>
        <w:rPr>
          <w:rFonts w:ascii="Arial" w:cs="Arial" w:eastAsia="Arial" w:hAnsi="Arial"/>
          <w:sz w:val="18"/>
          <w:szCs w:val="18"/>
          <w:color w:val="auto"/>
        </w:rPr>
        <w:t>For the three months ended September 30, 2009, the diluted weighted average number of Class A common shares outstanding is the same as the basic weighted average number of shares. For the nine months ended September 30, 2009, the diluted weighted average number of Class A common shares outstanding includes the incremental effect relating to outstanding restricted stock units, but excludes the outstanding warrants. The warrants are excluded because they would have an antidilutive effect.</w:t>
      </w:r>
    </w:p>
    <w:p>
      <w:pPr>
        <w:spacing w:after="0" w:line="6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Class B common shareholders are entitled to receive dividends but their dividend rights are subordinated to those of holders of Class A common shares.</w:t>
      </w:r>
    </w:p>
    <w:p>
      <w:pPr>
        <w:spacing w:after="0" w:line="309"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There were no significant post balance sheet events.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19</w:t>
      </w:r>
    </w:p>
    <w:sectPr>
      <w:pgSz w:w="11900" w:h="16838" w:orient="portrait"/>
      <w:cols w:equalWidth="0" w:num="1">
        <w:col w:w="11392"/>
      </w:cols>
      <w:pgMar w:left="248"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4"/>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1."/>
      <w:numFmt w:val="decimal"/>
      <w:start w:val="6"/>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1."/>
      <w:numFmt w:val="decimal"/>
      <w:start w:val="7"/>
    </w:lvl>
  </w:abstractNum>
  <w:abstractNum w:abstractNumId="20">
    <w:nsid w:val="6763845E"/>
    <w:multiLevelType w:val="hybridMultilevel"/>
    <w:lvl w:ilvl="0">
      <w:lvlJc w:val="left"/>
      <w:lvlText w:val="%1."/>
      <w:numFmt w:val="decimal"/>
      <w:start w:val="8"/>
    </w:lvl>
  </w:abstractNum>
  <w:abstractNum w:abstractNumId="21">
    <w:nsid w:val="75A2A8D4"/>
    <w:multiLevelType w:val="hybridMultilevel"/>
    <w:lvl w:ilvl="0">
      <w:lvlJc w:val="left"/>
      <w:lvlText w:val="%1."/>
      <w:numFmt w:val="decimal"/>
      <w:start w:val="9"/>
    </w:lvl>
  </w:abstractNum>
  <w:abstractNum w:abstractNumId="22">
    <w:nsid w:val="8EDBDAB"/>
    <w:multiLevelType w:val="hybridMultilevel"/>
    <w:lvl w:ilvl="0">
      <w:lvlJc w:val="left"/>
      <w:lvlText w:val="%1."/>
      <w:numFmt w:val="decimal"/>
      <w:start w:val="9"/>
    </w:lvl>
  </w:abstractNum>
  <w:abstractNum w:abstractNumId="23">
    <w:nsid w:val="79838CB2"/>
    <w:multiLevelType w:val="hybridMultilevel"/>
    <w:lvl w:ilvl="0">
      <w:lvlJc w:val="left"/>
      <w:lvlText w:val="%1."/>
      <w:numFmt w:val="decimal"/>
      <w:start w:val="10"/>
    </w:lvl>
  </w:abstractNum>
  <w:abstractNum w:abstractNumId="24">
    <w:nsid w:val="4353D0CD"/>
    <w:multiLevelType w:val="hybridMultilevel"/>
    <w:lvl w:ilvl="0">
      <w:lvlJc w:val="left"/>
      <w:lvlText w:val="%1."/>
      <w:numFmt w:val="decimal"/>
      <w:start w:val="12"/>
    </w:lvl>
  </w:abstractNum>
  <w:abstractNum w:abstractNumId="25">
    <w:nsid w:val="B03E0C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2019-12-11T05:24:35Z</dcterms:created>
  <dcterms:modified xsi:type="dcterms:W3CDTF">2019-12-11T05:24:35Z</dcterms:modified>
</cp:coreProperties>
</file>