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Psaropoulos Anastasios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IRODOU ATTIKOU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KIFISIA, ATHENS</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 Ship Lease, Inc.</w:t>
              </w:r>
            </w:hyperlink>
            <w:r>
              <w:rPr/>
              <w:t xml:space="preserve"> [ </w:t>
            </w:r>
            <w:r>
              <w:rPr>
                <w:rFonts w:ascii="Times;serif" w:hAnsi="Times;serif"/>
                <w:color w:val="0000FF"/>
                <w:sz w:val="24"/>
                <w:shd w:fill="FFFFFF" w:val="clear"/>
              </w:rPr>
              <w:t>GSL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117,028</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48,330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45.0246</w:t>
            </w:r>
            <w:r>
              <w:rPr>
                <w:rFonts w:ascii="Times;serif" w:hAnsi="Times;serif"/>
                <w:color w:val="008000"/>
                <w:position w:val="7"/>
                <w:sz w:val="16"/>
                <w:sz w:val="20"/>
                <w:shd w:fill="FFFFFF" w:val="clear"/>
              </w:rPr>
              <w:t>(1)</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68,698</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381,462</w:t>
            </w:r>
            <w:r>
              <w:rPr>
                <w:rFonts w:ascii="Times;serif" w:hAnsi="Times;serif"/>
                <w:color w:val="008000"/>
                <w:position w:val="7"/>
                <w:sz w:val="16"/>
                <w:sz w:val="20"/>
                <w:shd w:fill="FFFFFF" w:val="clear"/>
              </w:rPr>
              <w:t>(3)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the weighted average price of Class A common shares of Global Ship Lease, Inc. (the "Issuer") sold in multiple transactions at prices ranging from $45.02039 to $45.02940 per share. The reporting person will provide to the Issuer, or the U.S. Securities and Exchange Commission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10,596 Class A Common Shares of the Issuer granted to the reporting person pursuant to the Issuer's 2019 Omnibus Incentive Plan, as amended and restated (the "Plan"), that have vested on June 30, 2026 but have not yet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Unvested awards of Class A Common Shares of the Issuer granted to the reporting person pursuant to the Plan, consisting of (i) 105,962 shares which vest quarterly, pro rata, from the quarter ended September 30, 2026 through the quarter ended December 31, 2028, conditioned on the reporting person's continued service, (ii) 137,750 shares, of which approximately 1/3 are earned upon the Issuer's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137,750 shares which vest at December 31, 2028 based on the Issuer's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Anastasios Psaropoulos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689" TargetMode="External"/><Relationship Id="rId5" Type="http://schemas.openxmlformats.org/officeDocument/2006/relationships/hyperlink" Target="http://www.sec.gov/cgi-bin/browse-edgar?action=getcompany&amp;CIK=000143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850</Words>
  <Characters>4536</Characters>
  <CharactersWithSpaces>5306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