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April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GLOBAL SHIP LEASE,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Portland House,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74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w w:val="93"/>
              </w:rPr>
              <w:t>☒</w:t>
            </w:r>
          </w:p>
        </w:tc>
        <w:tc>
          <w:tcPr>
            <w:tcW w:w="16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Form 40-F </w:t>
            </w:r>
            <w:r>
              <w:rPr>
                <w:rFonts w:ascii="MS PGothic" w:cs="MS PGothic" w:eastAsia="MS PGothic" w:hAnsi="MS PGothic"/>
                <w:sz w:val="18"/>
                <w:szCs w:val="18"/>
                <w:color w:val="auto"/>
              </w:rPr>
              <w:t>☐</w:t>
            </w:r>
          </w:p>
        </w:tc>
      </w:tr>
      <w:tr>
        <w:trPr>
          <w:trHeight w:val="432"/>
        </w:trPr>
        <w:tc>
          <w:tcPr>
            <w:tcW w:w="904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S-I Rule 101 (b)(1).</w:t>
            </w:r>
          </w:p>
        </w:tc>
        <w:tc>
          <w:tcPr>
            <w:tcW w:w="400" w:type="dxa"/>
            <w:vAlign w:val="bottom"/>
          </w:tcPr>
          <w:p>
            <w:pPr>
              <w:ind w:left="60"/>
              <w:spacing w:after="0"/>
              <w:rPr>
                <w:sz w:val="20"/>
                <w:szCs w:val="20"/>
                <w:color w:val="auto"/>
              </w:rPr>
            </w:pPr>
            <w:r>
              <w:rPr>
                <w:rFonts w:ascii="Arial" w:cs="Arial" w:eastAsia="Arial" w:hAnsi="Arial"/>
                <w:sz w:val="18"/>
                <w:szCs w:val="18"/>
                <w:color w:val="auto"/>
              </w:rPr>
              <w:t>Yes</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No</w:t>
            </w:r>
          </w:p>
        </w:tc>
        <w:tc>
          <w:tcPr>
            <w:tcW w:w="1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04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 (b)(7).</w:t>
            </w:r>
          </w:p>
        </w:tc>
        <w:tc>
          <w:tcPr>
            <w:tcW w:w="400" w:type="dxa"/>
            <w:vAlign w:val="bottom"/>
          </w:tcPr>
          <w:p>
            <w:pPr>
              <w:ind w:left="120"/>
              <w:spacing w:after="0"/>
              <w:rPr>
                <w:sz w:val="20"/>
                <w:szCs w:val="20"/>
                <w:color w:val="auto"/>
              </w:rPr>
            </w:pPr>
            <w:r>
              <w:rPr>
                <w:rFonts w:ascii="Arial" w:cs="Arial" w:eastAsia="Arial" w:hAnsi="Arial"/>
                <w:sz w:val="18"/>
                <w:szCs w:val="18"/>
                <w:color w:val="auto"/>
                <w:w w:val="83"/>
              </w:rPr>
              <w:t>Yes</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No</w:t>
            </w:r>
          </w:p>
        </w:tc>
        <w:tc>
          <w:tcPr>
            <w:tcW w:w="1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9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48"/>
        </w:trPr>
        <w:tc>
          <w:tcPr>
            <w:tcW w:w="90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Attached hereto as Exhibit I is a press release dated April 29, 2014 of Global Ship Lease, Inc. (the “Company”) reporting the Company’s financial results for the three months ended March 31, 2014. Attached hereto as Exhibit II are the Company’s interim unaudited consolidated financial statements for the three months ended March 31, 2014 and 2013.</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0" w:right="4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30, 2014</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Bryan Degnan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Leon Berman</w:t>
      </w:r>
    </w:p>
    <w:p>
      <w:pPr>
        <w:spacing w:after="0" w:line="9"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212-477-8438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First Quarter of 2014</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LONDON, ENGLAND — April 29, 2014 </w:t>
      </w:r>
      <w:r>
        <w:rPr>
          <w:rFonts w:ascii="Arial" w:cs="Arial" w:eastAsia="Arial" w:hAnsi="Arial"/>
          <w:sz w:val="18"/>
          <w:szCs w:val="18"/>
          <w:color w:val="auto"/>
        </w:rPr>
        <w:t>— Global Ship Lease, Inc. (NYSE:GSL), a containership charter owner, announced today its unaudited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March 31,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Year To Date Highlights</w:t>
      </w:r>
    </w:p>
    <w:p>
      <w:pPr>
        <w:spacing w:after="0" w:line="13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$34.0 million for the first quarter 2014</w:t>
      </w:r>
    </w:p>
    <w:p>
      <w:pPr>
        <w:spacing w:after="0" w:line="130"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income for the first quarter 2014 of $1.8 million, including a $1.9 million non-cash mark-to-market gain on interest rate derivatives and non-cash $3.0 million accelerated write off of deferred financing costs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$20.9 million of Adjusted EBITDA</w:t>
      </w:r>
      <w:r>
        <w:rPr>
          <w:rFonts w:ascii="Arial" w:cs="Arial" w:eastAsia="Arial" w:hAnsi="Arial"/>
          <w:sz w:val="15"/>
          <w:szCs w:val="15"/>
          <w:color w:val="auto"/>
        </w:rPr>
        <w:t>(1)</w:t>
      </w:r>
      <w:r>
        <w:rPr>
          <w:rFonts w:ascii="Arial" w:cs="Arial" w:eastAsia="Arial" w:hAnsi="Arial"/>
          <w:sz w:val="18"/>
          <w:szCs w:val="18"/>
          <w:color w:val="auto"/>
        </w:rPr>
        <w:t xml:space="preserve"> for the first quarter 2014</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Excluding the non-cash mark-to-market and deferred financing costs write off items, normalized net income</w:t>
      </w:r>
      <w:r>
        <w:rPr>
          <w:rFonts w:ascii="Arial" w:cs="Arial" w:eastAsia="Arial" w:hAnsi="Arial"/>
          <w:sz w:val="15"/>
          <w:szCs w:val="15"/>
          <w:color w:val="auto"/>
        </w:rPr>
        <w:t>(1)</w:t>
      </w:r>
      <w:r>
        <w:rPr>
          <w:rFonts w:ascii="Arial" w:cs="Arial" w:eastAsia="Arial" w:hAnsi="Arial"/>
          <w:sz w:val="18"/>
          <w:szCs w:val="18"/>
          <w:color w:val="auto"/>
        </w:rPr>
        <w:t xml:space="preserve"> was $2.9 million for the first quarter 2014</w:t>
      </w:r>
    </w:p>
    <w:p>
      <w:pPr>
        <w:spacing w:after="0" w:line="75"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Placed $420.0 million 10.0% First Priority Secured Notes which mature April 2019 allowing full repayment and termination of the credit facility and associated interest rate derivatives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a new $40 million revolving credit facility expiring October 2018</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extend by three years to new expiry dates in December 2019, charters on four 2,200 TEU geared vessels at an amended rate of $15,300 with effect from February 1, 2014</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Ian Webber, Chief Executive Officer of Global Ship Lease, stated, “During the first quarter of 2014, our strong contract coverage once again enabled us to achieve a fleet utilization in excess of 99%, resulting in Adjusted EBITDA of $20.9 million. Moreover, we reached an agreement during the quarter with CMA CGM to extend the contracts on four vessels by three years, increasing our contracted revenue stream by $54 million to $932 million as of March 31, 2014.”</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Mr. Webber continued, “Most significantly, however, we strengthened our capital structure during the quarter by completing a transformative offering of $420 million of first priority secured notes, positioning the Company for growth and pushing back the maturity of our debt from 2016 to 2019. This transaction eliminated our previous, restrictive credit facility, giving us the ability to pursue accretive fleet growth in a time of cyclically low asset values. In addition, by establishing a $40 million revolving credit facility in conjunction with the notes offering, as well as eliminating the amortization of debt by cash-sweep, we further strengthened our ability to make acquisitions. Fleet growth, alongside our commitment to expand our contracted revenue stream with established counterparties, will allow us to diversify our charter portfolio, increase our cash flow, and create value for our shareholders.”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 –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(thousands of U.S. dollars)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Three</w:t>
            </w:r>
          </w:p>
        </w:tc>
        <w:tc>
          <w:tcPr>
            <w:tcW w:w="5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months</w:t>
            </w:r>
          </w:p>
        </w:tc>
        <w:tc>
          <w:tcPr>
            <w:tcW w:w="5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5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80" w:type="dxa"/>
            <w:vAlign w:val="bottom"/>
            <w:gridSpan w:val="2"/>
          </w:tcPr>
          <w:p>
            <w:pPr>
              <w:jc w:val="center"/>
              <w:ind w:left="2335"/>
              <w:spacing w:after="0" w:line="149" w:lineRule="exact"/>
              <w:rPr>
                <w:sz w:val="20"/>
                <w:szCs w:val="20"/>
                <w:color w:val="auto"/>
              </w:rPr>
            </w:pPr>
            <w:r>
              <w:rPr>
                <w:rFonts w:ascii="Arial" w:cs="Arial" w:eastAsia="Arial" w:hAnsi="Arial"/>
                <w:sz w:val="14"/>
                <w:szCs w:val="14"/>
                <w:b w:val="1"/>
                <w:bCs w:val="1"/>
                <w:color w:val="auto"/>
                <w:w w:val="95"/>
              </w:rPr>
              <w:t>March 31,</w:t>
            </w:r>
          </w:p>
        </w:tc>
        <w:tc>
          <w:tcPr>
            <w:tcW w:w="1200" w:type="dxa"/>
            <w:vAlign w:val="bottom"/>
            <w:gridSpan w:val="3"/>
          </w:tcPr>
          <w:p>
            <w:pPr>
              <w:jc w:val="center"/>
              <w:ind w:left="315"/>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80" w:type="dxa"/>
            <w:vAlign w:val="bottom"/>
            <w:gridSpan w:val="2"/>
          </w:tcPr>
          <w:p>
            <w:pPr>
              <w:jc w:val="center"/>
              <w:ind w:left="2335"/>
              <w:spacing w:after="0"/>
              <w:rPr>
                <w:sz w:val="20"/>
                <w:szCs w:val="20"/>
                <w:color w:val="auto"/>
              </w:rPr>
            </w:pPr>
            <w:r>
              <w:rPr>
                <w:rFonts w:ascii="Arial" w:cs="Arial" w:eastAsia="Arial" w:hAnsi="Arial"/>
                <w:sz w:val="14"/>
                <w:szCs w:val="14"/>
                <w:b w:val="1"/>
                <w:bCs w:val="1"/>
                <w:color w:val="auto"/>
                <w:w w:val="96"/>
              </w:rPr>
              <w:t>2014</w:t>
            </w:r>
          </w:p>
        </w:tc>
        <w:tc>
          <w:tcPr>
            <w:tcW w:w="1100" w:type="dxa"/>
            <w:vAlign w:val="bottom"/>
            <w:gridSpan w:val="2"/>
          </w:tcPr>
          <w:p>
            <w:pPr>
              <w:jc w:val="center"/>
              <w:ind w:left="415"/>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34,039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Adjusted EBITDA (1)</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20,885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 (1)</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2,885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20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17 vessel fleet generated revenue from long-term fixed rate time charters of $34.0 million in the three months ended March 31, 2014, down on revenue of $35.2 million for the comparative period in 2013. The decrease in revenue is mainly due to reduced revenue from two charters which were renewed in May 2013 at $7,000 per day compared to $9,962 per day previously, from a temporary reduced daily rate of $10,000 for Julie Delmas pending repairs to one crane and from the amended rate of $15,300 per day with effect from February 1, 2014, compared to $18,465 per day previously, on four 2,200 TEU geared vessels against a three year extension of the charters, offset by lower offhire at five days during the three months ended March 31, 2014 compared to 26 days, including two planned drydockings, in the three months ended March 31, 2013. There were 1,530 ownership days in the quarter. The five days offhire in the three months ended March 31, 2014 gives a utilization of 99.7%. In the comparable period of 2013, the 26 days offhire, gave a utilization of 98.3%.</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 below shows fleet utilization for the three months ended March 31, 2014 and 2013 and for the years ended December 31, 2013, 2012, 2011 and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gridSpan w:val="4"/>
          </w:tcPr>
          <w:p>
            <w:pPr>
              <w:jc w:val="right"/>
              <w:ind w:right="460"/>
              <w:spacing w:after="0"/>
              <w:rPr>
                <w:sz w:val="20"/>
                <w:szCs w:val="20"/>
                <w:color w:val="auto"/>
              </w:rPr>
            </w:pPr>
            <w:r>
              <w:rPr>
                <w:rFonts w:ascii="Arial" w:cs="Arial" w:eastAsia="Arial" w:hAnsi="Arial"/>
                <w:sz w:val="14"/>
                <w:szCs w:val="14"/>
                <w:color w:val="auto"/>
                <w:w w:val="94"/>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4"/>
          </w:tcPr>
          <w:p>
            <w:pPr>
              <w:jc w:val="right"/>
              <w:ind w:right="720"/>
              <w:spacing w:after="0"/>
              <w:rPr>
                <w:sz w:val="20"/>
                <w:szCs w:val="20"/>
                <w:color w:val="auto"/>
              </w:rPr>
            </w:pPr>
            <w:r>
              <w:rPr>
                <w:rFonts w:ascii="Arial" w:cs="Arial" w:eastAsia="Arial" w:hAnsi="Arial"/>
                <w:sz w:val="14"/>
                <w:szCs w:val="14"/>
                <w:color w:val="auto"/>
              </w:rPr>
              <w:t>Year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280" w:type="dxa"/>
            <w:vAlign w:val="bottom"/>
            <w:gridSpan w:val="3"/>
            <w:vMerge w:val="restart"/>
          </w:tcPr>
          <w:p>
            <w:pPr>
              <w:spacing w:after="0"/>
              <w:rPr>
                <w:sz w:val="20"/>
                <w:szCs w:val="20"/>
                <w:color w:val="auto"/>
              </w:rPr>
            </w:pPr>
            <w:r>
              <w:rPr>
                <w:rFonts w:ascii="Arial" w:cs="Arial" w:eastAsia="Arial" w:hAnsi="Arial"/>
                <w:sz w:val="14"/>
                <w:szCs w:val="14"/>
                <w:color w:val="auto"/>
              </w:rPr>
              <w:t>Days</w:t>
            </w:r>
          </w:p>
        </w:tc>
        <w:tc>
          <w:tcPr>
            <w:tcW w:w="122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w w:val="92"/>
              </w:rPr>
              <w:t>Mar 31,</w:t>
            </w:r>
          </w:p>
        </w:tc>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Mar 31,</w:t>
            </w:r>
          </w:p>
        </w:tc>
        <w:tc>
          <w:tcPr>
            <w:tcW w:w="38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380"/>
              <w:spacing w:after="0" w:line="123" w:lineRule="exact"/>
              <w:rPr>
                <w:sz w:val="20"/>
                <w:szCs w:val="20"/>
                <w:color w:val="auto"/>
              </w:rPr>
            </w:pPr>
            <w:r>
              <w:rPr>
                <w:rFonts w:ascii="Arial" w:cs="Arial" w:eastAsia="Arial" w:hAnsi="Arial"/>
                <w:sz w:val="14"/>
                <w:szCs w:val="14"/>
                <w:color w:val="auto"/>
                <w:w w:val="91"/>
              </w:rPr>
              <w:t>Dec 31,</w:t>
            </w:r>
          </w:p>
        </w:tc>
        <w:tc>
          <w:tcPr>
            <w:tcW w:w="84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91"/>
              </w:rPr>
              <w:t>Dec 31,</w:t>
            </w:r>
          </w:p>
        </w:tc>
        <w:tc>
          <w:tcPr>
            <w:tcW w:w="86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w w:val="91"/>
              </w:rPr>
              <w:t>Dec 31,</w:t>
            </w:r>
          </w:p>
        </w:tc>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1"/>
              </w:rPr>
              <w:t>Dec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280" w:type="dxa"/>
            <w:vAlign w:val="bottom"/>
            <w:gridSpan w:val="3"/>
            <w:vMerge w:val="continue"/>
          </w:tcPr>
          <w:p>
            <w:pPr>
              <w:spacing w:after="0"/>
              <w:rPr>
                <w:sz w:val="13"/>
                <w:szCs w:val="13"/>
                <w:color w:val="auto"/>
              </w:rPr>
            </w:pPr>
          </w:p>
        </w:tc>
        <w:tc>
          <w:tcPr>
            <w:tcW w:w="168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2014</w:t>
            </w:r>
          </w:p>
        </w:tc>
        <w:tc>
          <w:tcPr>
            <w:tcW w:w="400" w:type="dxa"/>
            <w:vAlign w:val="bottom"/>
          </w:tcPr>
          <w:p>
            <w:pPr>
              <w:spacing w:after="0"/>
              <w:rPr>
                <w:sz w:val="13"/>
                <w:szCs w:val="13"/>
                <w:color w:val="auto"/>
              </w:rPr>
            </w:pPr>
          </w:p>
        </w:tc>
        <w:tc>
          <w:tcPr>
            <w:tcW w:w="460" w:type="dxa"/>
            <w:vAlign w:val="bottom"/>
          </w:tcPr>
          <w:p>
            <w:pPr>
              <w:jc w:val="right"/>
              <w:ind w:right="15"/>
              <w:spacing w:after="0" w:line="154"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2013</w:t>
            </w:r>
          </w:p>
        </w:tc>
        <w:tc>
          <w:tcPr>
            <w:tcW w:w="40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1,530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6,205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6,225</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6,205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Planned offhire - scheduled</w:t>
            </w:r>
          </w:p>
        </w:tc>
        <w:tc>
          <w:tcPr>
            <w:tcW w:w="2080" w:type="dxa"/>
            <w:vAlign w:val="bottom"/>
            <w:gridSpan w:val="3"/>
          </w:tcPr>
          <w:p>
            <w:pPr>
              <w:jc w:val="right"/>
              <w:ind w:right="4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drydock</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Unplanned offhire</w:t>
            </w:r>
          </w:p>
        </w:tc>
        <w:tc>
          <w:tcPr>
            <w:tcW w:w="1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days</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6,177</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6,124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6,099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6,202</w:t>
            </w:r>
          </w:p>
        </w:tc>
        <w:tc>
          <w:tcPr>
            <w:tcW w:w="0" w:type="dxa"/>
            <w:vAlign w:val="bottom"/>
          </w:tcPr>
          <w:p>
            <w:pPr>
              <w:spacing w:after="0"/>
              <w:rPr>
                <w:sz w:val="1"/>
                <w:szCs w:val="1"/>
                <w:color w:val="auto"/>
              </w:rPr>
            </w:pPr>
          </w:p>
        </w:tc>
      </w:tr>
      <w:tr>
        <w:trPr>
          <w:trHeight w:val="324"/>
        </w:trPr>
        <w:tc>
          <w:tcPr>
            <w:tcW w:w="5280" w:type="dxa"/>
            <w:vAlign w:val="bottom"/>
            <w:gridSpan w:val="3"/>
          </w:tcPr>
          <w:p>
            <w:pPr>
              <w:spacing w:after="0"/>
              <w:rPr>
                <w:sz w:val="20"/>
                <w:szCs w:val="20"/>
                <w:color w:val="auto"/>
              </w:rPr>
            </w:pPr>
            <w:r>
              <w:rPr>
                <w:rFonts w:ascii="Arial" w:cs="Arial" w:eastAsia="Arial" w:hAnsi="Arial"/>
                <w:sz w:val="18"/>
                <w:szCs w:val="18"/>
                <w:color w:val="auto"/>
              </w:rPr>
              <w:t>Utilization</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99.7%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98.3%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99.5%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98.4%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98.3%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432"/>
        </w:trPr>
        <w:tc>
          <w:tcPr>
            <w:tcW w:w="5280" w:type="dxa"/>
            <w:vAlign w:val="bottom"/>
            <w:gridSpan w:val="3"/>
          </w:tcPr>
          <w:p>
            <w:pPr>
              <w:spacing w:after="0"/>
              <w:rPr>
                <w:sz w:val="20"/>
                <w:szCs w:val="20"/>
                <w:color w:val="auto"/>
              </w:rPr>
            </w:pPr>
            <w:r>
              <w:rPr>
                <w:rFonts w:ascii="Arial" w:cs="Arial" w:eastAsia="Arial" w:hAnsi="Arial"/>
                <w:sz w:val="18"/>
                <w:szCs w:val="18"/>
                <w:color w:val="auto"/>
                <w:w w:val="94"/>
              </w:rPr>
              <w:t>Two regulatory drydockings are scheduled for 2014 and none in 2015.</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80" w:type="dxa"/>
            <w:vAlign w:val="bottom"/>
            <w:gridSpan w:val="3"/>
          </w:tcPr>
          <w:p>
            <w:pPr>
              <w:jc w:val="right"/>
              <w:ind w:right="1400"/>
              <w:spacing w:after="0"/>
              <w:rPr>
                <w:sz w:val="20"/>
                <w:szCs w:val="20"/>
                <w:color w:val="auto"/>
              </w:rPr>
            </w:pPr>
            <w:r>
              <w:rPr>
                <w:rFonts w:ascii="Arial" w:cs="Arial" w:eastAsia="Arial" w:hAnsi="Arial"/>
                <w:sz w:val="18"/>
                <w:szCs w:val="18"/>
                <w:color w:val="auto"/>
              </w:rPr>
              <w:t>Page 2</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Vessel Operating Expenses</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Vessel operating expenses, which include costs of crew, lubricating oil, spares and insurance, were $11.5 million for the three months ended March 31, 2014, unchanged from the three months ended March 31, 2013. The average cost per ownership day was $7,538, down $8 or 0.1% on $7,546 for the three months ended March 31, 2013 with increases in crew costs being offset by lower cost of lubricating oil from lower consumption.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Vessel operating expenses continue to be at less than the capped amounts included in Global Ship Lease’s ship management agreements.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for the three months ended March 31, 2014 was $10.0 million compared to $10.1 million in the three months ended March 31, 2013. There have been no changes to the fleet.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General and administrative costs incurred were $1.7 million in the three months ended March 31, 2014 compared to $1.6 million in the three months ended March 31,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income in the three months ended March 31, 2014 was $107,000 compared to $69,000 for the three months ended March 31, 2013.</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a result of the above, Adjusted EBITDA was $20.9 million for the three months ended March 31, 2014 down from $22.2 million for the three months ended March 31,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Interest expense, including the amortization of deferred financing costs and the amortization of the original issue discount on the $420.0 million aggregate principal amount of 10.0% First Priority Secured Notes due 2019 (the “Notes”) but excluding the effect of interest rate derivatives which do not qualify for hedge accounting, for the three months ended March 31, 2014 was $8.1 million. Interest on the $366.4 million that was outstanding under the credit facility until the facility was repaid on March 19, 2014 was $3.1 million based on US $ LIBOR plus a margin on 3.75%. Interest on the Notes from March 19, 2014 at the fixed rate of 10.0% was $1.4 million. Amortization of deferred financing charges, including accelerated write off of $3.0 million being the balance of such charges associated with the credit facility, was $3.4 million. Interest on the $45.0 million of preferred shares that were outstanding throughout the three months ended March 31, 2014 at US $ LIBOR plus a margin of 2.0% together with and from March 19, 2014, the commitment fee on the Company’s new and undrawn $40.0 million revolving credit facility and the amortization of the original issue discount on the Notes totaled $0.3 million.</w:t>
      </w:r>
    </w:p>
    <w:p>
      <w:pPr>
        <w:spacing w:after="0" w:line="16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Interest expense for the three months ended March 31, 2013 was $4.9 million on an average amount outstanding on the credit facility during that period of $425.7 million and $45.0 million of preferred shares. Amortization of deferred financing costs included therein was $0.3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ended March 31, 2014 and 2013 was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hedged its interest rate exposure on floating rate debt under its credit facility by entering into derivatives that swap the floating rate debt for fixed rate debt to provide long-term stability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6" w:name="page7"/>
    <w:bookmarkEnd w:id="6"/>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predictability to cash flows. As these hedges did not qualify for hedge accounting under US GAAP, the outstanding hedges were marked to market at each period end with any change in the fair value being booked to the income and expenditure account. The Company’s derivative hedging instruments, which were terminated on March 19, 2014, gave a realized loss of $2.8 million in the three months ended March 31, 2014 for settlements of swaps in the period, as US $ LIBOR rates were lower than the average fixed rate embedded in the hedging instruments. Further, there was a $1.9 million unrealized gain for revaluation of the balance sheet position as at March 19, 2014 given prevailing US $ LIBOR and movements in the forward curve for interest rates. This compares to a realized loss of $5.4 million in the three months ended March 31, 2013 and an unrealized gain of $5.5 million.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$277.0 million nominal amount of interest rate derivatives outstanding were terminated on March 19, 2014 for a final payment of $19.3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months ended March 31, 2014 and 2013 was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income for the three months ended March 31, 2014 was $1.8 million including the $1.9 million non-cash mark-to-market gain on interest rate derivatives and the non-cash $3.0 million accelerated write off of deferred financing costs. For the three months ended March 31, 2013 net income was $7.2 million, including $5.5 million non-cash interest rate derivative mark-to-market gain. Normalized net income was $2.9 million for the three months ended March 31, 2014 and $1.8 million for the three months ended March 31,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board of directors is committed to paying a meaningful dividend once this can be sustained and provided that it is in the best interests of shareholders at the time. In the meantime, Global Ship Lease is not paying a dividend on common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17 vessels chartered to CMA CGM.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Earliest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Capacity</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Purchase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Charter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Charter</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510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 xml:space="preserve">Term </w:t>
            </w:r>
            <w:r>
              <w:rPr>
                <w:rFonts w:ascii="Arial" w:cs="Arial" w:eastAsia="Arial" w:hAnsi="Arial"/>
                <w:sz w:val="12"/>
                <w:szCs w:val="12"/>
                <w:b w:val="1"/>
                <w:bCs w:val="1"/>
                <w:color w:val="auto"/>
                <w:w w:val="94"/>
              </w:rPr>
              <w:t>(2)</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Expiry</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10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3"/>
              </w:rPr>
              <w:t xml:space="preserve">in TEUs </w:t>
            </w:r>
            <w:r>
              <w:rPr>
                <w:rFonts w:ascii="Arial" w:cs="Arial" w:eastAsia="Arial" w:hAnsi="Arial"/>
                <w:sz w:val="12"/>
                <w:szCs w:val="12"/>
                <w:b w:val="1"/>
                <w:bCs w:val="1"/>
                <w:color w:val="auto"/>
                <w:w w:val="93"/>
              </w:rPr>
              <w:t>(1)</w:t>
            </w:r>
          </w:p>
        </w:tc>
        <w:tc>
          <w:tcPr>
            <w:tcW w:w="7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Built</w:t>
            </w: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by GSL</w:t>
            </w:r>
          </w:p>
        </w:tc>
        <w:tc>
          <w:tcPr>
            <w:tcW w:w="9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(years)</w:t>
            </w: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Date</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5"/>
                <w:szCs w:val="15"/>
                <w:b w:val="1"/>
                <w:bCs w:val="1"/>
                <w:color w:val="auto"/>
              </w:rPr>
              <w:t>(3)</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1997</w:t>
            </w: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Dec 2007</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April 1, 2014</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5"/>
                <w:szCs w:val="15"/>
                <w:b w:val="1"/>
                <w:bCs w:val="1"/>
                <w:color w:val="auto"/>
              </w:rPr>
              <w:t>(3)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4,113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1, 2014</w:t>
            </w:r>
          </w:p>
        </w:tc>
        <w:tc>
          <w:tcPr>
            <w:tcW w:w="5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Matisse </w:t>
            </w:r>
            <w:r>
              <w:rPr>
                <w:rFonts w:ascii="Arial" w:cs="Arial" w:eastAsia="Arial" w:hAnsi="Arial"/>
                <w:sz w:val="15"/>
                <w:szCs w:val="15"/>
                <w:b w:val="1"/>
                <w:bCs w:val="1"/>
                <w:color w:val="auto"/>
              </w:rPr>
              <w:t>(4)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1999</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21, 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 xml:space="preserve">CMA CGM Utrillo </w:t>
            </w:r>
            <w:r>
              <w:rPr>
                <w:rFonts w:ascii="Arial" w:cs="Arial" w:eastAsia="Arial" w:hAnsi="Arial"/>
                <w:sz w:val="15"/>
                <w:szCs w:val="15"/>
                <w:b w:val="1"/>
                <w:bCs w:val="1"/>
                <w:color w:val="auto"/>
              </w:rPr>
              <w:t>(4)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2,262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11, 2019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20,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11,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21,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14,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La Tour </w:t>
            </w:r>
            <w:r>
              <w:rPr>
                <w:rFonts w:ascii="Arial" w:cs="Arial" w:eastAsia="Arial" w:hAnsi="Arial"/>
                <w:sz w:val="15"/>
                <w:szCs w:val="15"/>
                <w:b w:val="1"/>
                <w:bCs w:val="1"/>
                <w:color w:val="auto"/>
              </w:rPr>
              <w:t>(4)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20, 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 xml:space="preserve">CMA CGM Manet </w:t>
            </w:r>
            <w:r>
              <w:rPr>
                <w:rFonts w:ascii="Arial" w:cs="Arial" w:eastAsia="Arial" w:hAnsi="Arial"/>
                <w:sz w:val="15"/>
                <w:szCs w:val="15"/>
                <w:b w:val="1"/>
                <w:bCs w:val="1"/>
                <w:color w:val="auto"/>
              </w:rPr>
              <w:t>(4)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2,272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 7, 2019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5,089</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Jan 2008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Oct 18, 2020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5,089</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Jan 2008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 11, 2020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11,040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Oct 1, 2025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47,200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4,298</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17,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Dec 2008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16, 2022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4,045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2008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19,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6,621</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Aug 2009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May 28, 2021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7" w:name="page8"/>
    <w:bookmarkEnd w:id="7"/>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Twenty-foot Equivalent Units.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As at March 31, 2014. Plus or minus 90 days at charterers’ option, except Ville d’Orion and Ville d’Aquarius which are plus or minus 30 days.</w:t>
      </w:r>
    </w:p>
    <w:p>
      <w:pPr>
        <w:spacing w:after="0" w:line="20" w:lineRule="exact"/>
        <w:rPr>
          <w:rFonts w:ascii="Arial" w:cs="Arial" w:eastAsia="Arial" w:hAnsi="Arial"/>
          <w:sz w:val="17"/>
          <w:szCs w:val="17"/>
          <w:i w:val="1"/>
          <w:iCs w:val="1"/>
          <w:color w:val="auto"/>
        </w:rPr>
      </w:pPr>
    </w:p>
    <w:p>
      <w:pPr>
        <w:ind w:left="460" w:right="340" w:hanging="452"/>
        <w:spacing w:after="0" w:line="250"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Ville d’Aquarius was re-delivered on April 26, 2014. Notice of re-delivery has been received for Ville d’Orion and re-delivery is currently expected towards the end of May.</w:t>
      </w:r>
    </w:p>
    <w:p>
      <w:pPr>
        <w:ind w:left="460" w:right="20" w:hanging="452"/>
        <w:spacing w:after="0" w:line="261"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the amendments to extend the charters by three years to new expiry dates in December 2019 and at an amended rate of $15,300 per day with effect from February 1, 2014.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March 31, 2014 today, Wednesday, April 30, 2014 at 10:30 a.m. Eastern Time. There are two ways to access the conference call:</w:t>
      </w:r>
    </w:p>
    <w:p>
      <w:pPr>
        <w:spacing w:after="0" w:line="62" w:lineRule="exact"/>
        <w:rPr>
          <w:sz w:val="20"/>
          <w:szCs w:val="20"/>
          <w:color w:val="auto"/>
        </w:rPr>
      </w:pPr>
    </w:p>
    <w:p>
      <w:pPr>
        <w:jc w:val="center"/>
        <w:ind w:right="3160"/>
        <w:spacing w:after="0"/>
        <w:rPr>
          <w:sz w:val="20"/>
          <w:szCs w:val="20"/>
          <w:color w:val="auto"/>
        </w:rPr>
      </w:pPr>
      <w:r>
        <w:rPr>
          <w:rFonts w:ascii="Arial" w:cs="Arial" w:eastAsia="Arial" w:hAnsi="Arial"/>
          <w:sz w:val="18"/>
          <w:szCs w:val="18"/>
          <w:color w:val="auto"/>
        </w:rPr>
        <w:t>(1) Dial-in: Dial-in: (877) 445-2556 or (908) 982-4670; Passcode: 31952129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unable to participate at this time, a replay of the call will be available through Tuesday, May 13, 2014 at (855) 859-2056 or (404) 537-3406.</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Enter the code 31952129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Global Ship Lease, Inc has filed its Annual Report for 2013 with the Securities and Exchange Commission. A copy of the report can be found under the Investor Relations section (Annual Reports) of the Company’s website at </w:t>
      </w:r>
      <w:r>
        <w:rPr>
          <w:rFonts w:ascii="Arial" w:cs="Arial" w:eastAsia="Arial" w:hAnsi="Arial"/>
          <w:sz w:val="17"/>
          <w:szCs w:val="17"/>
          <w:u w:val="single" w:color="auto"/>
          <w:color w:val="auto"/>
        </w:rPr>
        <w:t>http://www.globalshiplease.com</w:t>
      </w:r>
      <w:r>
        <w:rPr>
          <w:rFonts w:ascii="Arial" w:cs="Arial" w:eastAsia="Arial" w:hAnsi="Arial"/>
          <w:sz w:val="17"/>
          <w:szCs w:val="17"/>
          <w:color w:val="auto"/>
        </w:rPr>
        <w:t xml:space="preserve">. Shareholders may request a hard copy of the audited financial statements free of charge by contacting the Company at </w:t>
      </w:r>
      <w:r>
        <w:rPr>
          <w:rFonts w:ascii="Arial" w:cs="Arial" w:eastAsia="Arial" w:hAnsi="Arial"/>
          <w:sz w:val="17"/>
          <w:szCs w:val="17"/>
          <w:u w:val="single" w:color="auto"/>
          <w:color w:val="auto"/>
        </w:rPr>
        <w:t>info@globalshiplease.com</w:t>
      </w:r>
      <w:r>
        <w:rPr>
          <w:rFonts w:ascii="Arial" w:cs="Arial" w:eastAsia="Arial" w:hAnsi="Arial"/>
          <w:sz w:val="17"/>
          <w:szCs w:val="17"/>
          <w:color w:val="auto"/>
        </w:rPr>
        <w:t xml:space="preserve"> or by writing to Global Ship Lease, Inc, care of Global Ship Lease Services Limited, Portland House, Stag Place, London SW1E 5RS or by telephoning +44 (0) 207 869 8806.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Global Ship Lease owns 17 vessels with a total capacity of 66,349 TEU with an average age, weighted by TEU capacity, at March 31, 2014 of 10.1 years. 16 vessels are fixed on charters to CMA CGM. The average remaining term of the charters is 6.4 years or 7.6 years on a weighted basis, excluding Ville d’Aquarius, and Ville d’Orion.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60"/>
          </w:cols>
          <w:pgMar w:left="240" w:top="274"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Non-U.S. 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ADJUSTED EBITDA</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Adjusted EBITDA represents net income before interest income and expense including amortization of deferred finance costs, realized and unrealized gain (loss) on derivatives, income taxes, depreciation and amortization. Adjusted EBITDA is a non-US GAAP quantitative measure used to assist in the assessment of the Company’s ability to generate cash from its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alternate to Net income or any other financial metric required by such accounting principles.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(thousands of U.S. dollars)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Three</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months</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ended</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Mar 31,</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Mar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3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20" w:type="dxa"/>
            <w:vAlign w:val="bottom"/>
          </w:tcPr>
          <w:p>
            <w:pPr>
              <w:spacing w:after="0"/>
              <w:rPr>
                <w:sz w:val="7"/>
                <w:szCs w:val="7"/>
                <w:color w:val="auto"/>
              </w:rPr>
            </w:pPr>
          </w:p>
        </w:tc>
        <w:tc>
          <w:tcPr>
            <w:tcW w:w="6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7"/>
              </w:rPr>
              <w:t>Net income</w:t>
            </w:r>
          </w:p>
        </w:tc>
        <w:tc>
          <w:tcPr>
            <w:tcW w:w="6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Adjust:</w:t>
            </w:r>
          </w:p>
        </w:tc>
        <w:tc>
          <w:tcPr>
            <w:tcW w:w="6260" w:type="dxa"/>
            <w:vAlign w:val="bottom"/>
          </w:tcPr>
          <w:p>
            <w:pPr>
              <w:spacing w:after="0"/>
              <w:rPr>
                <w:sz w:val="20"/>
                <w:szCs w:val="20"/>
                <w:color w:val="auto"/>
              </w:rPr>
            </w:pPr>
            <w:r>
              <w:rPr>
                <w:rFonts w:ascii="Arial" w:cs="Arial" w:eastAsia="Arial" w:hAnsi="Arial"/>
                <w:sz w:val="18"/>
                <w:szCs w:val="18"/>
                <w:color w:val="auto"/>
              </w:rPr>
              <w:t>Depreciation</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10,033</w:t>
            </w:r>
          </w:p>
        </w:tc>
        <w:tc>
          <w:tcPr>
            <w:tcW w:w="3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8,142</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10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20,885</w:t>
            </w:r>
          </w:p>
        </w:tc>
        <w:tc>
          <w:tcPr>
            <w:tcW w:w="3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22,176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Normalized net income represents net income adjusted for the unrealized gain on derivatives and accelerated amortization of deferred financing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or any other financial metric required by such accounting principles.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80"/>
          </w:cols>
          <w:pgMar w:left="240" w:top="27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NORMALIZED NET INCOME -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(thousands of U.S. dollars)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Three</w:t>
            </w:r>
          </w:p>
        </w:tc>
        <w:tc>
          <w:tcPr>
            <w:tcW w:w="64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months</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7"/>
              </w:rPr>
              <w:t>ended</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Mar 31,</w:t>
            </w: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Mar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c>
          <w:tcPr>
            <w:tcW w:w="3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0" w:type="dxa"/>
            <w:vAlign w:val="bottom"/>
          </w:tcPr>
          <w:p>
            <w:pPr>
              <w:spacing w:after="0"/>
              <w:rPr>
                <w:sz w:val="7"/>
                <w:szCs w:val="7"/>
                <w:color w:val="auto"/>
              </w:rPr>
            </w:pPr>
          </w:p>
        </w:tc>
        <w:tc>
          <w:tcPr>
            <w:tcW w:w="6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Adjust:</w:t>
            </w:r>
          </w:p>
        </w:tc>
        <w:tc>
          <w:tcPr>
            <w:tcW w:w="6460" w:type="dxa"/>
            <w:vAlign w:val="bottom"/>
          </w:tcPr>
          <w:p>
            <w:pPr>
              <w:ind w:left="140"/>
              <w:spacing w:after="0"/>
              <w:rPr>
                <w:sz w:val="20"/>
                <w:szCs w:val="20"/>
                <w:color w:val="auto"/>
              </w:rPr>
            </w:pPr>
            <w:r>
              <w:rPr>
                <w:rFonts w:ascii="Arial" w:cs="Arial" w:eastAsia="Arial" w:hAnsi="Arial"/>
                <w:sz w:val="18"/>
                <w:szCs w:val="18"/>
                <w:color w:val="auto"/>
              </w:rPr>
              <w:t>Unrealized gain on derivatives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(1,944)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amortization of deferred financing charges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7140" w:type="dxa"/>
            <w:vAlign w:val="bottom"/>
            <w:gridSpan w:val="3"/>
          </w:tcPr>
          <w:p>
            <w:pPr>
              <w:spacing w:after="0"/>
              <w:rPr>
                <w:sz w:val="20"/>
                <w:szCs w:val="20"/>
                <w:color w:val="auto"/>
              </w:rPr>
            </w:pPr>
            <w:r>
              <w:rPr>
                <w:rFonts w:ascii="Arial" w:cs="Arial" w:eastAsia="Arial" w:hAnsi="Arial"/>
                <w:sz w:val="18"/>
                <w:szCs w:val="18"/>
                <w:color w:val="auto"/>
              </w:rPr>
              <w:t>Normalized net income</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36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13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regarding the strength of future growth of the container shipping industry, including the rates of annual demand and supply growth;</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health and condition of the U.S. and global financial markets;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CMA CGM, Global Ship Lease’s sole charterer and current sole source of operating revenue, and its ability to pay charterhire in accordance with the charters;</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additional financing to fund capital expenditures, vessel acquisitions and other general corporate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borrowings;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first priority secured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130" w:lineRule="exact"/>
        <w:rPr>
          <w:rFonts w:ascii="Arial" w:cs="Arial" w:eastAsia="Arial" w:hAnsi="Arial"/>
          <w:sz w:val="18"/>
          <w:szCs w:val="18"/>
          <w:color w:val="auto"/>
        </w:rPr>
      </w:pPr>
    </w:p>
    <w:p>
      <w:pPr>
        <w:ind w:left="900" w:right="8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availability of key employees and crew, number of offhire days, drydocking and survey requirements, general and administrative costs and insurance costs;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Global Ship Lease’s capital base;</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0" w:right="239" w:bottom="1440" w:gutter="0" w:footer="0" w:header="0"/>
        </w:sectPr>
      </w:pPr>
    </w:p>
    <w:bookmarkStart w:id="10" w:name="page11"/>
    <w:bookmarkEnd w:id="10"/>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Lease’s continued ability to enter into or renew charters including the re-chartering of vessels on the expiry of existing charters, or to secure profitable employment for its vessels in the spot market;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charters;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environmental and taxation;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274"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Time charter revenue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34,039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35,209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11,533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31"/>
        </w:trPr>
        <w:tc>
          <w:tcPr>
            <w:tcW w:w="68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expense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(8,142)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instruments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Unrealized gain on derivative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47,691,178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47,588,578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47,803,074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47,622,651</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per Class A common share</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7,405,956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B common share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nil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55,160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5,833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financing costs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66,109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38,388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807,852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fixed assets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12,159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820,110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819,859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886,219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6,591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10,832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69,181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413,731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Preferred shares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Total long term liabilities</w:t>
            </w: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474,028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389,600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484,860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458,781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214,000,000 shares with a $0.01 par value; 47,541,484 shares issued and outstanding (2013 - 47,513,934)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Class B Common stock - authorized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20,000,000 shares with a $0.01 par value; 7,405,956 shares issued and outstanding (2013 - 7,405,956)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352,726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352,676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46,241</w:t>
            </w: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401,359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399,466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886,219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1,843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10,033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derivative instruments which do not qualify for hedge accounting</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Decrease in other receivables and other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4,577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 (gain)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2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20,747</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20,759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Settlement and termination of derivative instruments which do not qualify for hedge accounting</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(22,146)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331"/>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(366,366)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Proceeds from issuance of secured notes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413,700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incurred</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2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32,030</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30,624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24,539</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55,163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26,097</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2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3,497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324"/>
        </w:trPr>
        <w:tc>
          <w:tcPr>
            <w:tcW w:w="802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5420"/>
              <w:spacing w:after="0"/>
              <w:rPr>
                <w:sz w:val="20"/>
                <w:szCs w:val="20"/>
                <w:color w:val="auto"/>
              </w:rPr>
            </w:pPr>
            <w:r>
              <w:rPr>
                <w:rFonts w:ascii="Arial" w:cs="Arial" w:eastAsia="Arial" w:hAnsi="Arial"/>
                <w:sz w:val="18"/>
                <w:szCs w:val="18"/>
                <w:color w:val="auto"/>
              </w:rPr>
              <w:t>Page 11</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INTERIM UNAUDITED CONSOLIDATED FINANCIAL STATEMENTS</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THREE MONTHS ENDED MARCH 31, 2014</w:t>
      </w:r>
    </w:p>
    <w:p>
      <w:pPr>
        <w:sectPr>
          <w:pgSz w:w="11900" w:h="16838" w:orient="portrait"/>
          <w:cols w:equalWidth="0" w:num="1">
            <w:col w:w="10220"/>
          </w:cols>
          <w:pgMar w:left="14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Note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55,160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receivables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financing costs</w:t>
            </w:r>
          </w:p>
        </w:tc>
        <w:tc>
          <w:tcPr>
            <w:tcW w:w="8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9"/>
              </w:rPr>
              <w:t>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3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66,109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38,388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8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807,852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fixed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40" w:type="dxa"/>
            <w:vAlign w:val="bottom"/>
          </w:tcPr>
          <w:p>
            <w:pPr>
              <w:jc w:val="center"/>
              <w:ind w:left="91"/>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12,159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820,110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819,859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886,219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8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9"/>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Accrued expenses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3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10,832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69,181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8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9"/>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413,731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Preferred shares</w:t>
            </w:r>
          </w:p>
        </w:tc>
        <w:tc>
          <w:tcPr>
            <w:tcW w:w="840" w:type="dxa"/>
            <w:vAlign w:val="bottom"/>
          </w:tcPr>
          <w:p>
            <w:pPr>
              <w:jc w:val="center"/>
              <w:ind w:left="91"/>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4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331"/>
        </w:trPr>
        <w:tc>
          <w:tcPr>
            <w:tcW w:w="8340" w:type="dxa"/>
            <w:vAlign w:val="bottom"/>
            <w:gridSpan w:val="2"/>
          </w:tcPr>
          <w:p>
            <w:pPr>
              <w:spacing w:after="0"/>
              <w:rPr>
                <w:sz w:val="20"/>
                <w:szCs w:val="20"/>
                <w:color w:val="auto"/>
              </w:rPr>
            </w:pPr>
            <w:r>
              <w:rPr>
                <w:rFonts w:ascii="Arial" w:cs="Arial" w:eastAsia="Arial" w:hAnsi="Arial"/>
                <w:sz w:val="18"/>
                <w:szCs w:val="18"/>
                <w:color w:val="auto"/>
              </w:rPr>
              <w:t>Total long term liabilities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474,028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389,600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484,860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458,781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3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40" w:type="dxa"/>
            <w:vAlign w:val="bottom"/>
          </w:tcPr>
          <w:p>
            <w:pPr>
              <w:jc w:val="center"/>
              <w:ind w:left="91"/>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214,000,000 shares with a $0.01 par value; 47,541,484 shares issued and outstanding (2013 - 47,513,934)</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Class B Common stock - authorized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20,000,000 shares with a $0.01 par value; 7,405,956 shares issued and outstanding (2013 - 7,405,956)</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352,726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352,676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46,241</w:t>
            </w:r>
          </w:p>
        </w:tc>
        <w:tc>
          <w:tcPr>
            <w:tcW w:w="0" w:type="dxa"/>
            <w:vAlign w:val="bottom"/>
          </w:tcPr>
          <w:p>
            <w:pPr>
              <w:spacing w:after="0"/>
              <w:rPr>
                <w:sz w:val="1"/>
                <w:szCs w:val="1"/>
                <w:color w:val="auto"/>
              </w:rPr>
            </w:pPr>
          </w:p>
        </w:tc>
      </w:tr>
      <w:tr>
        <w:trPr>
          <w:trHeight w:val="331"/>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401,359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399,466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886,219</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260" w:type="dxa"/>
            <w:vAlign w:val="bottom"/>
            <w:vMerge w:val="restart"/>
          </w:tcPr>
          <w:p>
            <w:pPr>
              <w:ind w:left="1780"/>
              <w:spacing w:after="0"/>
              <w:rPr>
                <w:sz w:val="20"/>
                <w:szCs w:val="20"/>
                <w:color w:val="auto"/>
              </w:rPr>
            </w:pPr>
            <w:r>
              <w:rPr>
                <w:rFonts w:ascii="Arial" w:cs="Arial" w:eastAsia="Arial" w:hAnsi="Arial"/>
                <w:sz w:val="14"/>
                <w:szCs w:val="14"/>
                <w:color w:val="auto"/>
              </w:rPr>
              <w:t>Note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Time charter revenue</w:t>
            </w:r>
          </w:p>
        </w:tc>
        <w:tc>
          <w:tcPr>
            <w:tcW w:w="2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34,039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35,209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60" w:type="dxa"/>
            <w:vAlign w:val="bottom"/>
            <w:shd w:val="clear" w:color="auto" w:fill="CCEEFF"/>
          </w:tcPr>
          <w:p>
            <w:pPr>
              <w:jc w:val="center"/>
              <w:ind w:left="1492"/>
              <w:spacing w:after="0"/>
              <w:rPr>
                <w:sz w:val="20"/>
                <w:szCs w:val="20"/>
                <w:color w:val="auto"/>
              </w:rPr>
            </w:pPr>
            <w:r>
              <w:rPr>
                <w:rFonts w:ascii="Arial" w:cs="Arial" w:eastAsia="Arial" w:hAnsi="Arial"/>
                <w:sz w:val="18"/>
                <w:szCs w:val="18"/>
                <w:color w:val="auto"/>
                <w:w w:val="79"/>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31"/>
        </w:trPr>
        <w:tc>
          <w:tcPr>
            <w:tcW w:w="6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instruments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Unrealized gain on derivative instruments</w:t>
            </w:r>
          </w:p>
        </w:tc>
        <w:tc>
          <w:tcPr>
            <w:tcW w:w="2260" w:type="dxa"/>
            <w:vAlign w:val="bottom"/>
          </w:tcPr>
          <w:p>
            <w:pPr>
              <w:jc w:val="center"/>
              <w:ind w:left="1492"/>
              <w:spacing w:after="0"/>
              <w:rPr>
                <w:sz w:val="20"/>
                <w:szCs w:val="20"/>
                <w:color w:val="auto"/>
              </w:rPr>
            </w:pPr>
            <w:r>
              <w:rPr>
                <w:rFonts w:ascii="Arial" w:cs="Arial" w:eastAsia="Arial" w:hAnsi="Arial"/>
                <w:sz w:val="18"/>
                <w:szCs w:val="18"/>
                <w:color w:val="auto"/>
                <w:w w:val="79"/>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ind w:left="340"/>
              <w:spacing w:after="0" w:line="201" w:lineRule="exact"/>
              <w:rPr>
                <w:sz w:val="20"/>
                <w:szCs w:val="20"/>
                <w:color w:val="auto"/>
              </w:rPr>
            </w:pPr>
            <w:r>
              <w:rPr>
                <w:rFonts w:ascii="Arial" w:cs="Arial" w:eastAsia="Arial" w:hAnsi="Arial"/>
                <w:sz w:val="18"/>
                <w:szCs w:val="18"/>
                <w:color w:val="auto"/>
              </w:rPr>
              <w:t>Basic (including RSUs without service conditions)</w:t>
            </w:r>
          </w:p>
        </w:tc>
        <w:tc>
          <w:tcPr>
            <w:tcW w:w="2260" w:type="dxa"/>
            <w:vAlign w:val="bottom"/>
          </w:tcPr>
          <w:p>
            <w:pPr>
              <w:jc w:val="center"/>
              <w:ind w:left="1512"/>
              <w:spacing w:after="0" w:line="201" w:lineRule="exact"/>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88"/>
              </w:rPr>
              <w:t>47,691,178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8"/>
              </w:rPr>
              <w:t>47,588,578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60" w:type="dxa"/>
            <w:vAlign w:val="bottom"/>
          </w:tcPr>
          <w:p>
            <w:pPr>
              <w:jc w:val="center"/>
              <w:ind w:left="1512"/>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47,803,074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47,622,651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A common share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2260" w:type="dxa"/>
            <w:vAlign w:val="bottom"/>
          </w:tcPr>
          <w:p>
            <w:pPr>
              <w:jc w:val="center"/>
              <w:ind w:left="1512"/>
              <w:spacing w:after="0"/>
              <w:rPr>
                <w:sz w:val="20"/>
                <w:szCs w:val="20"/>
                <w:color w:val="auto"/>
              </w:rPr>
            </w:pPr>
            <w:r>
              <w:rPr>
                <w:rFonts w:ascii="Arial" w:cs="Arial" w:eastAsia="Arial" w:hAnsi="Arial"/>
                <w:sz w:val="18"/>
                <w:szCs w:val="18"/>
                <w:color w:val="auto"/>
                <w:w w:val="89"/>
              </w:rPr>
              <w:t>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60" w:type="dxa"/>
            <w:vAlign w:val="bottom"/>
            <w:shd w:val="clear" w:color="auto" w:fill="CCEEFF"/>
          </w:tcPr>
          <w:p>
            <w:pPr>
              <w:jc w:val="center"/>
              <w:ind w:left="1512"/>
              <w:spacing w:after="0"/>
              <w:rPr>
                <w:sz w:val="20"/>
                <w:szCs w:val="20"/>
                <w:color w:val="auto"/>
              </w:rPr>
            </w:pPr>
            <w:r>
              <w:rPr>
                <w:rFonts w:ascii="Arial" w:cs="Arial" w:eastAsia="Arial" w:hAnsi="Arial"/>
                <w:sz w:val="18"/>
                <w:szCs w:val="18"/>
                <w:color w:val="auto"/>
                <w:w w:val="89"/>
              </w:rPr>
              <w:t>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 per Class B common share</w:t>
            </w: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260" w:type="dxa"/>
            <w:vAlign w:val="bottom"/>
            <w:shd w:val="clear" w:color="auto" w:fill="CCEEFF"/>
          </w:tcPr>
          <w:p>
            <w:pPr>
              <w:jc w:val="center"/>
              <w:ind w:left="1512"/>
              <w:spacing w:after="0"/>
              <w:rPr>
                <w:sz w:val="20"/>
                <w:szCs w:val="20"/>
                <w:color w:val="auto"/>
              </w:rPr>
            </w:pPr>
            <w:r>
              <w:rPr>
                <w:rFonts w:ascii="Arial" w:cs="Arial" w:eastAsia="Arial" w:hAnsi="Arial"/>
                <w:sz w:val="18"/>
                <w:szCs w:val="18"/>
                <w:color w:val="auto"/>
                <w:w w:val="89"/>
              </w:rPr>
              <w:t>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1,843</w:t>
            </w:r>
          </w:p>
        </w:tc>
        <w:tc>
          <w:tcPr>
            <w:tcW w:w="44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Depreciation</w:t>
            </w:r>
          </w:p>
        </w:tc>
        <w:tc>
          <w:tcPr>
            <w:tcW w:w="1420" w:type="dxa"/>
            <w:vAlign w:val="bottom"/>
          </w:tcPr>
          <w:p>
            <w:pPr>
              <w:jc w:val="center"/>
              <w:ind w:left="431"/>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10,033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42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1420" w:type="dxa"/>
            <w:vAlign w:val="bottom"/>
          </w:tcPr>
          <w:p>
            <w:pPr>
              <w:jc w:val="center"/>
              <w:ind w:left="431"/>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w:t>
            </w:r>
          </w:p>
        </w:tc>
        <w:tc>
          <w:tcPr>
            <w:tcW w:w="142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derivative instruments which do not qualify for hedge accounting</w:t>
            </w:r>
          </w:p>
        </w:tc>
        <w:tc>
          <w:tcPr>
            <w:tcW w:w="142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420" w:type="dxa"/>
            <w:vAlign w:val="bottom"/>
          </w:tcPr>
          <w:p>
            <w:pPr>
              <w:jc w:val="center"/>
              <w:ind w:left="431"/>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receivable and other assets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 (gain)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7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20,747</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20,759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Settlement and termination of derivative instruments which do not qualify for hedge accounting</w:t>
            </w:r>
          </w:p>
        </w:tc>
        <w:tc>
          <w:tcPr>
            <w:tcW w:w="1420" w:type="dxa"/>
            <w:vAlign w:val="bottom"/>
          </w:tcPr>
          <w:p>
            <w:pPr>
              <w:jc w:val="center"/>
              <w:ind w:left="431"/>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(22,146)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assets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331"/>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142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(366,366)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issuance of secured notes</w:t>
            </w:r>
          </w:p>
        </w:tc>
        <w:tc>
          <w:tcPr>
            <w:tcW w:w="1420" w:type="dxa"/>
            <w:vAlign w:val="bottom"/>
          </w:tcPr>
          <w:p>
            <w:pPr>
              <w:jc w:val="center"/>
              <w:ind w:left="431"/>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413,700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incurred</w:t>
            </w:r>
          </w:p>
        </w:tc>
        <w:tc>
          <w:tcPr>
            <w:tcW w:w="142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7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32,030</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30,624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24,539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55,163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324"/>
        </w:trPr>
        <w:tc>
          <w:tcPr>
            <w:tcW w:w="772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Retained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Number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Earnings /</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Common Stock at</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20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 in</w:t>
            </w:r>
          </w:p>
        </w:tc>
        <w:tc>
          <w:tcPr>
            <w:tcW w:w="2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$0.01 Par Value</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4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54,887,820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$352,316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12)</w:t>
            </w:r>
          </w:p>
        </w:tc>
        <w:tc>
          <w:tcPr>
            <w:tcW w:w="3260" w:type="dxa"/>
            <w:vAlign w:val="bottom"/>
          </w:tcPr>
          <w:p>
            <w:pPr>
              <w:spacing w:after="0"/>
              <w:rPr>
                <w:sz w:val="24"/>
                <w:szCs w:val="24"/>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A Shares issued (note 10)</w:t>
            </w:r>
          </w:p>
        </w:tc>
        <w:tc>
          <w:tcPr>
            <w:tcW w:w="4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32,070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3260" w:type="dxa"/>
            <w:vAlign w:val="bottom"/>
          </w:tcPr>
          <w:p>
            <w:pPr>
              <w:spacing w:after="0"/>
              <w:rPr>
                <w:sz w:val="18"/>
                <w:szCs w:val="18"/>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32,518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2013</w:t>
            </w:r>
          </w:p>
        </w:tc>
        <w:tc>
          <w:tcPr>
            <w:tcW w:w="4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54,919,890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$352,676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12)</w:t>
            </w:r>
          </w:p>
        </w:tc>
        <w:tc>
          <w:tcPr>
            <w:tcW w:w="3260" w:type="dxa"/>
            <w:vAlign w:val="bottom"/>
          </w:tcPr>
          <w:p>
            <w:pPr>
              <w:spacing w:after="0"/>
              <w:rPr>
                <w:sz w:val="24"/>
                <w:szCs w:val="24"/>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A Shares issued (note 10)</w:t>
            </w:r>
          </w:p>
        </w:tc>
        <w:tc>
          <w:tcPr>
            <w:tcW w:w="4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27,550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3260" w:type="dxa"/>
            <w:vAlign w:val="bottom"/>
          </w:tcPr>
          <w:p>
            <w:pPr>
              <w:spacing w:after="0"/>
              <w:rPr>
                <w:sz w:val="18"/>
                <w:szCs w:val="18"/>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1,843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2014</w:t>
            </w:r>
          </w:p>
        </w:tc>
        <w:tc>
          <w:tcPr>
            <w:tcW w:w="3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54,947,440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352,726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500" w:type="dxa"/>
            <w:vAlign w:val="bottom"/>
            <w:gridSpan w:val="9"/>
          </w:tcPr>
          <w:p>
            <w:pPr>
              <w:jc w:val="center"/>
              <w:ind w:right="260"/>
              <w:spacing w:after="0"/>
              <w:rPr>
                <w:sz w:val="20"/>
                <w:szCs w:val="20"/>
                <w:color w:val="auto"/>
              </w:rPr>
            </w:pPr>
            <w:r>
              <w:rPr>
                <w:rFonts w:ascii="Arial" w:cs="Arial" w:eastAsia="Arial" w:hAnsi="Arial"/>
                <w:sz w:val="18"/>
                <w:szCs w:val="18"/>
                <w:color w:val="auto"/>
                <w:w w:val="90"/>
              </w:rPr>
              <w:t>See accompanying notes to interim unaudited consolidated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gridSpan w:val="3"/>
          </w:tcPr>
          <w:p>
            <w:pPr>
              <w:jc w:val="center"/>
              <w:ind w:left="1470"/>
              <w:spacing w:after="0"/>
              <w:rPr>
                <w:sz w:val="20"/>
                <w:szCs w:val="20"/>
                <w:color w:val="auto"/>
              </w:rPr>
            </w:pPr>
            <w:r>
              <w:rPr>
                <w:rFonts w:ascii="Arial" w:cs="Arial" w:eastAsia="Arial" w:hAnsi="Arial"/>
                <w:sz w:val="18"/>
                <w:szCs w:val="18"/>
                <w:color w:val="auto"/>
                <w:w w:val="84"/>
              </w:rPr>
              <w:t>Page 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Company owns and charters out containerships. All vessels were time chartered to CMA CGM S.A. (“CMA CGM”) as at March 31, 2014 for remaining terms ranging from 0.10 to 11.75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the 17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Capacity</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Purchase Date</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536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Year Built</w:t>
            </w:r>
          </w:p>
        </w:tc>
        <w:tc>
          <w:tcPr>
            <w:tcW w:w="1460" w:type="dxa"/>
            <w:vAlign w:val="bottom"/>
            <w:gridSpan w:val="2"/>
            <w:vMerge w:val="continue"/>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Duration</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10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3"/>
              </w:rPr>
              <w:t xml:space="preserve">in TEUs </w:t>
            </w:r>
            <w:r>
              <w:rPr>
                <w:rFonts w:ascii="Arial" w:cs="Arial" w:eastAsia="Arial" w:hAnsi="Arial"/>
                <w:sz w:val="12"/>
                <w:szCs w:val="12"/>
                <w:b w:val="1"/>
                <w:bCs w:val="1"/>
                <w:color w:val="auto"/>
                <w:w w:val="93"/>
              </w:rPr>
              <w:t>(1)</w:t>
            </w:r>
          </w:p>
        </w:tc>
        <w:tc>
          <w:tcPr>
            <w:tcW w:w="960" w:type="dxa"/>
            <w:vAlign w:val="bottom"/>
            <w:gridSpan w:val="2"/>
            <w:vMerge w:val="continue"/>
          </w:tcPr>
          <w:p>
            <w:pPr>
              <w:spacing w:after="0"/>
              <w:rPr>
                <w:sz w:val="15"/>
                <w:szCs w:val="15"/>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7"/>
              </w:rPr>
              <w:t>by GSL</w:t>
            </w:r>
          </w:p>
        </w:tc>
        <w:tc>
          <w:tcPr>
            <w:tcW w:w="10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12"/>
                <w:szCs w:val="12"/>
                <w:b w:val="1"/>
                <w:bCs w:val="1"/>
                <w:color w:val="auto"/>
                <w:w w:val="93"/>
              </w:rPr>
              <w:t>(2)</w:t>
            </w:r>
          </w:p>
        </w:tc>
        <w:tc>
          <w:tcPr>
            <w:tcW w:w="80" w:type="dxa"/>
            <w:vAlign w:val="bottom"/>
          </w:tcPr>
          <w:p>
            <w:pPr>
              <w:spacing w:after="0"/>
              <w:rPr>
                <w:sz w:val="15"/>
                <w:szCs w:val="15"/>
                <w:color w:val="auto"/>
              </w:rPr>
            </w:pPr>
          </w:p>
        </w:tc>
        <w:tc>
          <w:tcPr>
            <w:tcW w:w="6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5"/>
                <w:szCs w:val="15"/>
                <w:color w:val="auto"/>
              </w:rPr>
              <w:t>(3)</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1997</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December 2007</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0.10</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5"/>
                <w:szCs w:val="15"/>
                <w:color w:val="auto"/>
              </w:rPr>
              <w:t>(3)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4,113</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Matisse </w:t>
            </w:r>
            <w:r>
              <w:rPr>
                <w:rFonts w:ascii="Arial" w:cs="Arial" w:eastAsia="Arial" w:hAnsi="Arial"/>
                <w:sz w:val="15"/>
                <w:szCs w:val="15"/>
                <w:color w:val="auto"/>
              </w:rPr>
              <w:t>(4)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CMA CGM Utrillo </w:t>
            </w:r>
            <w:r>
              <w:rPr>
                <w:rFonts w:ascii="Arial" w:cs="Arial" w:eastAsia="Arial" w:hAnsi="Arial"/>
                <w:sz w:val="15"/>
                <w:szCs w:val="15"/>
                <w:color w:val="auto"/>
              </w:rPr>
              <w:t>(4)</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2,262</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Julie Delmas </w:t>
            </w:r>
            <w:r>
              <w:rPr>
                <w:rFonts w:ascii="Arial" w:cs="Arial" w:eastAsia="Arial" w:hAnsi="Arial"/>
                <w:sz w:val="15"/>
                <w:szCs w:val="15"/>
                <w:color w:val="auto"/>
              </w:rPr>
              <w:t>(5)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La Tour </w:t>
            </w:r>
            <w:r>
              <w:rPr>
                <w:rFonts w:ascii="Arial" w:cs="Arial" w:eastAsia="Arial" w:hAnsi="Arial"/>
                <w:sz w:val="15"/>
                <w:szCs w:val="15"/>
                <w:color w:val="auto"/>
              </w:rPr>
              <w:t>(4)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CMA CGM Manet </w:t>
            </w:r>
            <w:r>
              <w:rPr>
                <w:rFonts w:ascii="Arial" w:cs="Arial" w:eastAsia="Arial" w:hAnsi="Arial"/>
                <w:sz w:val="15"/>
                <w:szCs w:val="15"/>
                <w:color w:val="auto"/>
              </w:rPr>
              <w:t>(4)</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2,272</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January 2008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5,089</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January 2008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11,040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47.200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4,298</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4,045</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6,621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August 2009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As at March 31, 2014. Plus or minus 90 days, other than Ville d’Orion and Ville d’Aquarius which are plus or minus 30 days, at charterer’s option.</w:t>
      </w:r>
    </w:p>
    <w:p>
      <w:pPr>
        <w:spacing w:after="0" w:line="20" w:lineRule="exact"/>
        <w:rPr>
          <w:rFonts w:ascii="Arial" w:cs="Arial" w:eastAsia="Arial" w:hAnsi="Arial"/>
          <w:sz w:val="17"/>
          <w:szCs w:val="17"/>
          <w:i w:val="1"/>
          <w:iCs w:val="1"/>
          <w:color w:val="auto"/>
        </w:rPr>
      </w:pPr>
    </w:p>
    <w:p>
      <w:pPr>
        <w:ind w:left="460" w:right="380" w:hanging="452"/>
        <w:spacing w:after="0" w:line="250"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Ville d’Aquarius was re-delivered on April 26, 2014. Notice of re-delivery has been received for Ville d’Orion and we currently expect her to be re-delivered towards the end of May.</w:t>
      </w:r>
    </w:p>
    <w:p>
      <w:pPr>
        <w:ind w:left="460" w:right="520" w:hanging="452"/>
        <w:spacing w:after="0" w:line="250"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charters on these four vessels were extended during the quarter by three years with new expiry dates in December 2019 at an amended daily charter rate of $15.300 per day with effect from February 1, 2014.</w:t>
      </w:r>
    </w:p>
    <w:p>
      <w:pPr>
        <w:ind w:left="460" w:right="100" w:hanging="452"/>
        <w:spacing w:after="0" w:line="255"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One of the cranes on-board Julie Delmas was found to be damaged in January 2014 and is out of service. The Company agreed with CMA CGM to reduce the daily charter rate pro-rata, from $18,465 to $10,000 per day from February 9, 2014, to reflect the diminished performance of the vessel, for as long as the crane is not operational, which could be as long as several months.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0" w:right="239" w:bottom="1440" w:gutter="0" w:footer="0" w:header="0"/>
        </w:sectPr>
      </w:pPr>
    </w:p>
    <w:bookmarkStart w:id="20" w:name="page21"/>
    <w:bookmarkEnd w:id="2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452" w:right="8940" w:hanging="6"/>
        <w:spacing w:after="0" w:line="425" w:lineRule="auto"/>
        <w:tabs>
          <w:tab w:leader="none" w:pos="887"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Preparation Counterparty risk</w:t>
      </w:r>
    </w:p>
    <w:p>
      <w:pPr>
        <w:spacing w:after="0" w:line="1" w:lineRule="exact"/>
        <w:rPr>
          <w:sz w:val="20"/>
          <w:szCs w:val="20"/>
          <w:color w:val="auto"/>
        </w:rPr>
      </w:pPr>
    </w:p>
    <w:p>
      <w:pPr>
        <w:ind w:left="452" w:right="60"/>
        <w:spacing w:after="0" w:line="286" w:lineRule="auto"/>
        <w:rPr>
          <w:sz w:val="20"/>
          <w:szCs w:val="20"/>
          <w:color w:val="auto"/>
        </w:rPr>
      </w:pPr>
      <w:r>
        <w:rPr>
          <w:rFonts w:ascii="Arial" w:cs="Arial" w:eastAsia="Arial" w:hAnsi="Arial"/>
          <w:sz w:val="17"/>
          <w:szCs w:val="17"/>
          <w:color w:val="auto"/>
        </w:rPr>
        <w:t>All of the Company’s charters are with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have reported losses.</w:t>
      </w:r>
    </w:p>
    <w:p>
      <w:pPr>
        <w:spacing w:after="0" w:line="57" w:lineRule="exact"/>
        <w:rPr>
          <w:sz w:val="20"/>
          <w:szCs w:val="20"/>
          <w:color w:val="auto"/>
        </w:rPr>
      </w:pPr>
    </w:p>
    <w:p>
      <w:pPr>
        <w:ind w:left="452" w:right="180"/>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79" w:lineRule="exact"/>
        <w:rPr>
          <w:sz w:val="20"/>
          <w:szCs w:val="20"/>
          <w:color w:val="auto"/>
        </w:rPr>
      </w:pPr>
    </w:p>
    <w:p>
      <w:pPr>
        <w:ind w:left="452" w:right="20"/>
        <w:spacing w:after="0" w:line="257" w:lineRule="auto"/>
        <w:rPr>
          <w:sz w:val="20"/>
          <w:szCs w:val="20"/>
          <w:color w:val="auto"/>
        </w:rPr>
      </w:pPr>
      <w:r>
        <w:rPr>
          <w:rFonts w:ascii="Arial" w:cs="Arial" w:eastAsia="Arial" w:hAnsi="Arial"/>
          <w:sz w:val="18"/>
          <w:szCs w:val="18"/>
          <w:color w:val="auto"/>
        </w:rPr>
        <w:t>The Company has experienced continued delays in receiving charterhire from CMA CGM, where between one and two instalments have been outstanding. Under the charter contracts charterhire is due to be paid every 15 days in advance on the 1st and 16th of each month. As at March 31, 2014, one period of charterhire, due on March 16, 2014, was outstanding amounting to $5,845. This was received in April 2014. As at close of business on April 29, 2014, the latest practicable date prior to the issuance of these interim consolidated financial statements, one period of charterhire, due on April 16, 2014 and totalling $5,480 was outstanding.</w:t>
      </w:r>
    </w:p>
    <w:p>
      <w:pPr>
        <w:spacing w:after="0" w:line="80"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331"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121" w:lineRule="exact"/>
        <w:rPr>
          <w:rFonts w:ascii="Arial" w:cs="Arial" w:eastAsia="Arial" w:hAnsi="Arial"/>
          <w:sz w:val="18"/>
          <w:szCs w:val="18"/>
          <w:b w:val="1"/>
          <w:bCs w:val="1"/>
          <w:color w:val="auto"/>
        </w:rPr>
      </w:pPr>
    </w:p>
    <w:p>
      <w:pPr>
        <w:ind w:left="45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 These interim unaudited consolidated financial statements should be read in conjunction with the Company’s financial statements as of December 31, 2013 filed with the Securities and Exchange Commission on April 22, 2014 in the Company’s Annual Report on Form 20-F.</w:t>
      </w:r>
    </w:p>
    <w:p>
      <w:pPr>
        <w:spacing w:after="0" w:line="26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11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There have been no applicable accounting standards issued since December 31, 2013.</w:t>
      </w:r>
    </w:p>
    <w:p>
      <w:pPr>
        <w:spacing w:after="0" w:line="117" w:lineRule="exact"/>
        <w:rPr>
          <w:rFonts w:ascii="Arial" w:cs="Arial" w:eastAsia="Arial" w:hAnsi="Arial"/>
          <w:sz w:val="18"/>
          <w:szCs w:val="18"/>
          <w:b w:val="1"/>
          <w:bCs w:val="1"/>
          <w:color w:val="auto"/>
        </w:rPr>
      </w:pPr>
    </w:p>
    <w:p>
      <w:pPr>
        <w:ind w:left="452"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92"/>
          </w:cols>
          <w:pgMar w:left="248" w:top="270" w:right="259" w:bottom="1440" w:gutter="0" w:footer="0" w:header="0"/>
        </w:sectPr>
      </w:pPr>
    </w:p>
    <w:bookmarkStart w:id="21" w:name="page22"/>
    <w:bookmarkEnd w:id="21"/>
    <w:p>
      <w:pPr>
        <w:jc w:val="cente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left="2700"/>
        <w:spacing w:after="0"/>
        <w:rPr>
          <w:sz w:val="20"/>
          <w:szCs w:val="20"/>
          <w:color w:val="auto"/>
        </w:rPr>
      </w:pPr>
      <w:r>
        <w:rPr>
          <w:rFonts w:ascii="Arial" w:cs="Arial" w:eastAsia="Arial" w:hAnsi="Arial"/>
          <w:sz w:val="16"/>
          <w:szCs w:val="16"/>
          <w:b w:val="1"/>
          <w:bCs w:val="1"/>
          <w:color w:val="auto"/>
        </w:rPr>
        <w:t>Notes to the Interim Unaudited Consolidated Financial Statements (continued)</w:t>
      </w:r>
    </w:p>
    <w:p>
      <w:pPr>
        <w:spacing w:after="0" w:line="25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4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480"/>
        <w:spacing w:after="0"/>
        <w:rPr>
          <w:sz w:val="20"/>
          <w:szCs w:val="20"/>
          <w:color w:val="auto"/>
        </w:rPr>
      </w:pPr>
      <w:r>
        <w:rPr>
          <w:rFonts w:ascii="Arial" w:cs="Arial" w:eastAsia="Arial" w:hAnsi="Arial"/>
          <w:sz w:val="13"/>
          <w:szCs w:val="13"/>
          <w:color w:val="auto"/>
        </w:rPr>
        <w:t>December 31,</w:t>
      </w:r>
    </w:p>
    <w:p>
      <w:pPr>
        <w:spacing w:after="0" w:line="11" w:lineRule="exact"/>
        <w:rPr>
          <w:sz w:val="20"/>
          <w:szCs w:val="20"/>
          <w:color w:val="auto"/>
        </w:rPr>
      </w:pPr>
    </w:p>
    <w:p>
      <w:pPr>
        <w:jc w:val="center"/>
        <w:ind w:right="1480"/>
        <w:spacing w:after="0"/>
        <w:rPr>
          <w:sz w:val="20"/>
          <w:szCs w:val="20"/>
          <w:color w:val="auto"/>
        </w:rPr>
      </w:pPr>
      <w:r>
        <w:rPr>
          <w:rFonts w:ascii="Arial" w:cs="Arial" w:eastAsia="Arial" w:hAnsi="Arial"/>
          <w:sz w:val="14"/>
          <w:szCs w:val="14"/>
          <w:color w:val="auto"/>
        </w:rPr>
        <w:t>2013</w:t>
      </w:r>
    </w:p>
    <w:p>
      <w:pPr>
        <w:spacing w:after="0" w:line="102" w:lineRule="exact"/>
        <w:rPr>
          <w:sz w:val="20"/>
          <w:szCs w:val="20"/>
          <w:color w:val="auto"/>
        </w:rPr>
      </w:pPr>
    </w:p>
    <w:p>
      <w:pPr>
        <w:sectPr>
          <w:pgSz w:w="11900" w:h="16838" w:orient="portrait"/>
          <w:cols w:equalWidth="0" w:num="2">
            <w:col w:w="8740" w:space="380"/>
            <w:col w:w="2300"/>
          </w:cols>
          <w:pgMar w:left="240" w:top="270"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$1,014,473</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(206,621)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(196,598)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807,852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51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5180" w:type="dxa"/>
            <w:vAlign w:val="bottom"/>
            <w:gridSpan w:val="2"/>
            <w:vMerge w:val="continue"/>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20" w:type="dxa"/>
            <w:vAlign w:val="bottom"/>
            <w:gridSpan w:val="6"/>
          </w:tcPr>
          <w:p>
            <w:pPr>
              <w:ind w:left="2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8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Opening balance</w:t>
            </w:r>
          </w:p>
        </w:tc>
        <w:tc>
          <w:tcPr>
            <w:tcW w:w="2300" w:type="dxa"/>
            <w:vAlign w:val="bottom"/>
            <w:gridSpan w:val="2"/>
          </w:tcPr>
          <w:p>
            <w:pPr>
              <w:ind w:left="220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Depreciation</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300" w:type="dxa"/>
            <w:vAlign w:val="bottom"/>
            <w:gridSpan w:val="2"/>
            <w:shd w:val="clear" w:color="auto" w:fill="CCEEFF"/>
          </w:tcPr>
          <w:p>
            <w:pPr>
              <w:ind w:left="2200"/>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Financing Costs</w:t>
      </w:r>
    </w:p>
    <w:p>
      <w:pPr>
        <w:spacing w:after="0" w:line="121"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Costs amounting to $4,800 incurred up to December 31, 2013 in connection with the Company’s refinancing were recorded within prepaid expenses as at that date. On March 19, 2014, the Company completed this financing by the issue of 10.0% First Priority Secured Notes due 2019 (“the 2019 Notes”) disclosed in note 7(b) and by agreeing the Revolving Credit Facility disclosed in note 7(c). On completion of the refinancing, these deferred financing costs were reclassified from prepaid expenses to deferred financing costs, together with additional costs incurred during the quarter.</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560" w:type="dxa"/>
            <w:vAlign w:val="bottom"/>
            <w:gridSpan w:val="4"/>
          </w:tcPr>
          <w:p>
            <w:pPr>
              <w:ind w:left="154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4"/>
          </w:tcPr>
          <w:p>
            <w:pPr>
              <w:ind w:left="3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6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Reclassification from prepaid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Expenditure in the period</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10,504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Amortization included within interest expense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(3,350)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15,227</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deferred finance costs will be amortised on an effective interest rate basis over the life of the financings for which they were incurred.</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The remaining unamortized balance of deferred financing costs relating to the credit facility which was fully repaid and terminated on March 19, 2014 and amounting to $2,986 was written off.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0" w:right="239" w:bottom="1440" w:gutter="0" w:footer="0" w:header="0"/>
          <w:type w:val="continuous"/>
        </w:sectPr>
      </w:pPr>
    </w:p>
    <w:bookmarkStart w:id="22" w:name="page23"/>
    <w:bookmarkEnd w:id="2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131" w:lineRule="exact"/>
        <w:rPr>
          <w:sz w:val="20"/>
          <w:szCs w:val="20"/>
          <w:color w:val="auto"/>
        </w:rPr>
      </w:pPr>
    </w:p>
    <w:p>
      <w:pPr>
        <w:ind w:left="892" w:hanging="446"/>
        <w:spacing w:after="0"/>
        <w:tabs>
          <w:tab w:leader="none" w:pos="89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452" w:right="140"/>
        <w:spacing w:after="0" w:line="277" w:lineRule="auto"/>
        <w:rPr>
          <w:sz w:val="20"/>
          <w:szCs w:val="20"/>
          <w:color w:val="auto"/>
        </w:rPr>
      </w:pPr>
      <w:r>
        <w:rPr>
          <w:rFonts w:ascii="Arial" w:cs="Arial" w:eastAsia="Arial" w:hAnsi="Arial"/>
          <w:sz w:val="18"/>
          <w:szCs w:val="18"/>
          <w:color w:val="auto"/>
        </w:rPr>
        <w:t>From December 2007 the Company was financed by a senior secured credit facility with a final maturity date of August 2016. This credit facility was fully repaid on March 19, 2014 using the proceeds of the issue of the 2019 Notes (see note 7(b)).</w:t>
      </w:r>
    </w:p>
    <w:p>
      <w:pPr>
        <w:spacing w:after="0" w:line="62" w:lineRule="exact"/>
        <w:rPr>
          <w:sz w:val="20"/>
          <w:szCs w:val="20"/>
          <w:color w:val="auto"/>
        </w:rPr>
      </w:pPr>
    </w:p>
    <w:p>
      <w:pPr>
        <w:ind w:left="452" w:right="80"/>
        <w:spacing w:after="0" w:line="308" w:lineRule="auto"/>
        <w:rPr>
          <w:sz w:val="20"/>
          <w:szCs w:val="20"/>
          <w:color w:val="auto"/>
        </w:rPr>
      </w:pPr>
      <w:r>
        <w:rPr>
          <w:rFonts w:ascii="Arial" w:cs="Arial" w:eastAsia="Arial" w:hAnsi="Arial"/>
          <w:sz w:val="17"/>
          <w:szCs w:val="17"/>
          <w:color w:val="auto"/>
        </w:rPr>
        <w:t>Amounts borrowed under the credit facility bore interest at USD LIBOR plus a margin of between 2.50% and 3.75% depending on the Leverage Ratio (being the ratio of the balance outstanding on the credit facility to the aggregate charter free market value of the secured vessels).</w:t>
      </w:r>
    </w:p>
    <w:p>
      <w:pPr>
        <w:spacing w:after="0" w:line="38" w:lineRule="exact"/>
        <w:rPr>
          <w:sz w:val="20"/>
          <w:szCs w:val="20"/>
          <w:color w:val="auto"/>
        </w:rPr>
      </w:pPr>
    </w:p>
    <w:p>
      <w:pPr>
        <w:ind w:left="452"/>
        <w:spacing w:after="0" w:line="257" w:lineRule="auto"/>
        <w:rPr>
          <w:sz w:val="20"/>
          <w:szCs w:val="20"/>
          <w:color w:val="auto"/>
        </w:rPr>
      </w:pPr>
      <w:r>
        <w:rPr>
          <w:rFonts w:ascii="Arial" w:cs="Arial" w:eastAsia="Arial" w:hAnsi="Arial"/>
          <w:sz w:val="18"/>
          <w:szCs w:val="18"/>
          <w:color w:val="auto"/>
        </w:rPr>
        <w:t>Due to the downturn after April 2011 in charter free market values of containerships, the Company obtained waivers from its lenders of the requirement to perform the Leverage Ratio test, the most recent of which had extended the waiver to April 30, 2015. Under the terms of the waivers, the Company paid a margin of 3.75% over USD LIBOR and made quarterly repayments of the credit facility in an amount equal to free cash in excess of $20,000 determined as at the previous month end, subject to a minimum of $40,000 repayment a year on a rolling 12 month trailing basis. Additionally the Company was unable to make dividend payments to common shareholders.</w:t>
      </w:r>
    </w:p>
    <w:p>
      <w:pPr>
        <w:spacing w:after="0" w:line="80" w:lineRule="exact"/>
        <w:rPr>
          <w:sz w:val="20"/>
          <w:szCs w:val="20"/>
          <w:color w:val="auto"/>
        </w:rPr>
      </w:pPr>
    </w:p>
    <w:p>
      <w:pPr>
        <w:ind w:left="452" w:right="20"/>
        <w:spacing w:after="0" w:line="276" w:lineRule="auto"/>
        <w:rPr>
          <w:sz w:val="20"/>
          <w:szCs w:val="20"/>
          <w:color w:val="auto"/>
        </w:rPr>
      </w:pPr>
      <w:r>
        <w:rPr>
          <w:rFonts w:ascii="Arial" w:cs="Arial" w:eastAsia="Arial" w:hAnsi="Arial"/>
          <w:sz w:val="17"/>
          <w:szCs w:val="17"/>
          <w:color w:val="auto"/>
        </w:rPr>
        <w:t>The credit facility was secured by, inter alia, first priority mortgages on each of the Company’s 17 vessels, a pledge of shares of the vessel owning subsidiaries as well as assignments of earnings and insurances. The Company, along with all of its subsidiaries, was jointly and severally liable for the total amount of the outstanding credit facility. The financial covenants in the credit facility were: a) a minimum cash balance of the lower of $15,000 or six months net interest expense; b) net debt to total capitalization ratio not to exceed 75%; c) EBITDA to debt service, on a trailing four-quarter basis, of no less than 1.10 to 1; and d) a minimum net worth of $200,000 (with all terms as defined in the credit facility).</w:t>
      </w:r>
    </w:p>
    <w:p>
      <w:pPr>
        <w:spacing w:after="0" w:line="18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60" w:type="dxa"/>
            <w:vAlign w:val="bottom"/>
            <w:gridSpan w:val="3"/>
          </w:tcPr>
          <w:p>
            <w:pPr>
              <w:ind w:left="1420"/>
              <w:spacing w:after="0"/>
              <w:rPr>
                <w:sz w:val="20"/>
                <w:szCs w:val="20"/>
                <w:color w:val="auto"/>
              </w:rPr>
            </w:pPr>
            <w:r>
              <w:rPr>
                <w:rFonts w:ascii="Arial" w:cs="Arial" w:eastAsia="Arial" w:hAnsi="Arial"/>
                <w:sz w:val="14"/>
                <w:szCs w:val="14"/>
                <w:b w:val="1"/>
                <w:bCs w:val="1"/>
                <w:color w:val="auto"/>
                <w:w w:val="95"/>
              </w:rPr>
              <w:t>March 31,</w:t>
            </w:r>
          </w:p>
        </w:tc>
        <w:tc>
          <w:tcPr>
            <w:tcW w:w="1560" w:type="dxa"/>
            <w:vAlign w:val="bottom"/>
            <w:gridSpan w:val="4"/>
          </w:tcPr>
          <w:p>
            <w:pPr>
              <w:ind w:left="6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Secured credit facility, at USD LIBOR plus 3.75%</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current instalments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(50,110)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892" w:hanging="446"/>
        <w:spacing w:after="0"/>
        <w:tabs>
          <w:tab w:leader="none" w:pos="89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10.0% First Priority Secured Notes Due 2019</w:t>
      </w:r>
    </w:p>
    <w:p>
      <w:pPr>
        <w:spacing w:after="0" w:line="121" w:lineRule="exact"/>
        <w:rPr>
          <w:sz w:val="20"/>
          <w:szCs w:val="20"/>
          <w:color w:val="auto"/>
        </w:rPr>
      </w:pPr>
    </w:p>
    <w:p>
      <w:pPr>
        <w:ind w:left="452" w:right="80"/>
        <w:spacing w:after="0" w:line="277" w:lineRule="auto"/>
        <w:rPr>
          <w:sz w:val="20"/>
          <w:szCs w:val="20"/>
          <w:color w:val="auto"/>
        </w:rPr>
      </w:pPr>
      <w:r>
        <w:rPr>
          <w:rFonts w:ascii="Arial" w:cs="Arial" w:eastAsia="Arial" w:hAnsi="Arial"/>
          <w:sz w:val="18"/>
          <w:szCs w:val="18"/>
          <w:color w:val="auto"/>
        </w:rPr>
        <w:t>On March 19, 2014 the Company completed the sale of $420,000 of 10.0% First Priority Secured Notes which mature on April 1, 2019. Proceeds after the deduction of the original issue discount, but before expenses, amounted to $413,700.</w:t>
      </w:r>
    </w:p>
    <w:p>
      <w:pPr>
        <w:spacing w:after="0" w:line="62" w:lineRule="exact"/>
        <w:rPr>
          <w:sz w:val="20"/>
          <w:szCs w:val="20"/>
          <w:color w:val="auto"/>
        </w:rPr>
      </w:pPr>
    </w:p>
    <w:p>
      <w:pPr>
        <w:ind w:left="452" w:right="100"/>
        <w:spacing w:after="0" w:line="302" w:lineRule="auto"/>
        <w:rPr>
          <w:sz w:val="20"/>
          <w:szCs w:val="20"/>
          <w:color w:val="auto"/>
        </w:rPr>
      </w:pPr>
      <w:r>
        <w:rPr>
          <w:rFonts w:ascii="Arial" w:cs="Arial" w:eastAsia="Arial" w:hAnsi="Arial"/>
          <w:sz w:val="16"/>
          <w:szCs w:val="16"/>
          <w:color w:val="auto"/>
        </w:rPr>
        <w:t>Interest on the 2019 Notes is payable semi-annually on April 1 and October 1 of each year, beginning on October 1, 2014. The 2019 Notes are secured by first priority ship mortgages on each of the Company’s 17 vessels (the “Mortgaged Vessels”) and by assignments of earnings and insurances, a pledge over certain bank accounts, as well as share pledges over each subsidiary owning a Mortgaged Vessel. The 2019 Notes are fully and unconditionally guaranteed, jointly and severally, by the Company’s 17 vessel owning subsidiaries and Global Ship Lease Services Limited.</w:t>
      </w:r>
    </w:p>
    <w:p>
      <w:pPr>
        <w:spacing w:after="0" w:line="170"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March 31,</w:t>
            </w:r>
          </w:p>
        </w:tc>
        <w:tc>
          <w:tcPr>
            <w:tcW w:w="1200" w:type="dxa"/>
            <w:vAlign w:val="bottom"/>
            <w:gridSpan w:val="4"/>
          </w:tcPr>
          <w:p>
            <w:pPr>
              <w:ind w:left="2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10% First Priority Secured Notes Due 2019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$420,000</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 original issue discount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(6,300)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original issue discount</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Closing balance</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413,731</w:t>
            </w:r>
          </w:p>
        </w:tc>
        <w:tc>
          <w:tcPr>
            <w:tcW w:w="360" w:type="dxa"/>
            <w:vAlign w:val="bottom"/>
          </w:tcPr>
          <w:p>
            <w:pPr>
              <w:spacing w:after="0"/>
              <w:rPr>
                <w:sz w:val="24"/>
                <w:szCs w:val="24"/>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original issue discount will be amortised on an effective interest rate basis over the life of the 2019 Notes.</w:t>
      </w:r>
    </w:p>
    <w:p>
      <w:pPr>
        <w:spacing w:after="0" w:line="158" w:lineRule="exact"/>
        <w:rPr>
          <w:sz w:val="20"/>
          <w:szCs w:val="20"/>
          <w:color w:val="auto"/>
        </w:rPr>
      </w:pPr>
    </w:p>
    <w:p>
      <w:pPr>
        <w:ind w:left="5472"/>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92"/>
          </w:cols>
          <w:pgMar w:left="248" w:top="270" w:right="25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(continued)</w:t>
      </w:r>
    </w:p>
    <w:p>
      <w:pPr>
        <w:spacing w:after="0" w:line="158" w:lineRule="exact"/>
        <w:rPr>
          <w:sz w:val="20"/>
          <w:szCs w:val="20"/>
          <w:color w:val="auto"/>
        </w:rPr>
      </w:pPr>
    </w:p>
    <w:p>
      <w:pPr>
        <w:ind w:left="892" w:hanging="446"/>
        <w:spacing w:after="0"/>
        <w:tabs>
          <w:tab w:leader="none" w:pos="89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ind w:left="452" w:right="20"/>
        <w:spacing w:after="0" w:line="286" w:lineRule="auto"/>
        <w:rPr>
          <w:sz w:val="20"/>
          <w:szCs w:val="20"/>
          <w:color w:val="auto"/>
        </w:rPr>
      </w:pPr>
      <w:r>
        <w:rPr>
          <w:rFonts w:ascii="Arial" w:cs="Arial" w:eastAsia="Arial" w:hAnsi="Arial"/>
          <w:sz w:val="17"/>
          <w:szCs w:val="17"/>
          <w:color w:val="auto"/>
        </w:rPr>
        <w:t>On March 19, 2014, and in connection with the 2019 Notes, the Company entered into a new $40.0 million senior secured revolving credit facility with Citibank N.A. (the “Revolving Credit Facility”). This facility matures on October 1, 2018. The interest rate under the facility is USD LIBOR plus a margin of 3.25% and is payable at least quarterly. A commitment fee of 1.30% per annum is due quarterly on undrawn amounts.</w:t>
      </w:r>
    </w:p>
    <w:p>
      <w:pPr>
        <w:spacing w:after="0" w:line="57" w:lineRule="exact"/>
        <w:rPr>
          <w:sz w:val="20"/>
          <w:szCs w:val="20"/>
          <w:color w:val="auto"/>
        </w:rPr>
      </w:pPr>
    </w:p>
    <w:p>
      <w:pPr>
        <w:jc w:val="both"/>
        <w:ind w:left="452" w:right="20"/>
        <w:spacing w:after="0" w:line="286" w:lineRule="auto"/>
        <w:rPr>
          <w:sz w:val="20"/>
          <w:szCs w:val="20"/>
          <w:color w:val="auto"/>
        </w:rPr>
      </w:pPr>
      <w:r>
        <w:rPr>
          <w:rFonts w:ascii="Arial" w:cs="Arial" w:eastAsia="Arial" w:hAnsi="Arial"/>
          <w:sz w:val="17"/>
          <w:szCs w:val="17"/>
          <w:color w:val="auto"/>
        </w:rPr>
        <w:t>The collateral provided to the 2019 Notes also secures on a first priority basis the Revolving Credit Facility. There is a Cash Balance financial covenant which is tested each six months, commencing June 30, 2014. Up to and including December 31, 2015, the Company must have minimum cash balance of $15,000 on each test date. After this date, the minimum cash balance on each test date increases to $20,000.</w:t>
      </w:r>
    </w:p>
    <w:p>
      <w:pPr>
        <w:spacing w:after="0" w:line="57" w:lineRule="exact"/>
        <w:rPr>
          <w:sz w:val="20"/>
          <w:szCs w:val="20"/>
          <w:color w:val="auto"/>
        </w:rPr>
      </w:pPr>
    </w:p>
    <w:p>
      <w:pPr>
        <w:ind w:left="452" w:right="440"/>
        <w:spacing w:after="0" w:line="277" w:lineRule="auto"/>
        <w:rPr>
          <w:sz w:val="20"/>
          <w:szCs w:val="20"/>
          <w:color w:val="auto"/>
        </w:rPr>
      </w:pPr>
      <w:r>
        <w:rPr>
          <w:rFonts w:ascii="Arial" w:cs="Arial" w:eastAsia="Arial" w:hAnsi="Arial"/>
          <w:sz w:val="18"/>
          <w:szCs w:val="18"/>
          <w:color w:val="auto"/>
        </w:rPr>
        <w:t>Amounts outstanding under this facility can be prepaid without penalty, other than breakage costs in certain circumstances. At March 31, 2014 no amounts had been drawn down under the Revolving Credit facility.</w:t>
      </w:r>
    </w:p>
    <w:p>
      <w:pPr>
        <w:spacing w:after="0" w:line="315"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52"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CMA CGM is considered as a related party as it was, until the merger referred to in Note 1, the parent company of Global Ship Lease, Inc. and has been and remains a significant shareholder. As at March 31, 2014, CMA CGM owned Class A and Class B common shares representing a 45% voting interest in the Company.</w:t>
      </w:r>
    </w:p>
    <w:p>
      <w:pPr>
        <w:spacing w:after="0" w:line="7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group companies are summarized as follows:</w:t>
      </w:r>
    </w:p>
    <w:p>
      <w:pPr>
        <w:spacing w:after="0" w:line="23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5"/>
              </w:rPr>
              <w:t>March 31,</w:t>
            </w:r>
          </w:p>
        </w:tc>
        <w:tc>
          <w:tcPr>
            <w:tcW w:w="1540" w:type="dxa"/>
            <w:vAlign w:val="bottom"/>
            <w:gridSpan w:val="4"/>
          </w:tcPr>
          <w:p>
            <w:pPr>
              <w:ind w:left="6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CMA CGM group companies presented within current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2,672</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00" w:type="dxa"/>
            <w:vAlign w:val="bottom"/>
            <w:gridSpan w:val="2"/>
          </w:tcPr>
          <w:p>
            <w:pPr>
              <w:spacing w:after="0"/>
              <w:rPr>
                <w:sz w:val="20"/>
                <w:szCs w:val="20"/>
                <w:color w:val="auto"/>
              </w:rPr>
            </w:pPr>
            <w:r>
              <w:rPr>
                <w:rFonts w:ascii="Arial" w:cs="Arial" w:eastAsia="Arial" w:hAnsi="Arial"/>
                <w:sz w:val="18"/>
                <w:szCs w:val="18"/>
                <w:color w:val="auto"/>
              </w:rPr>
              <w:t>Amounts due from CMA CGM group companies presented within current assets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5,833</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right="420"/>
        <w:spacing w:after="0" w:line="342" w:lineRule="auto"/>
        <w:rPr>
          <w:sz w:val="20"/>
          <w:szCs w:val="20"/>
          <w:color w:val="auto"/>
        </w:rPr>
      </w:pPr>
      <w:r>
        <w:rPr>
          <w:rFonts w:ascii="Arial" w:cs="Arial" w:eastAsia="Arial" w:hAnsi="Arial"/>
          <w:sz w:val="16"/>
          <w:szCs w:val="16"/>
          <w:color w:val="auto"/>
        </w:rPr>
        <w:t>All of the Company’s charters are with CMA CGM and one of its subsidiaries provides the Company with ship management services. The current account balances at March 31, 2014 and December 31, 2013 relate to amounts payable to or recoverable from CMA CGM group companies.</w:t>
      </w:r>
    </w:p>
    <w:p>
      <w:pPr>
        <w:spacing w:after="0" w:line="16"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CMA CGM holds all of the Series A preferred shares of the Company (see note 10). During the three months to March 31, 2014, the Company incurred costs in respect of dividends on these preferred shares of $252 (2013: $259).</w:t>
      </w:r>
    </w:p>
    <w:p>
      <w:pPr>
        <w:spacing w:after="0" w:line="27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121" w:lineRule="exact"/>
        <w:rPr>
          <w:sz w:val="20"/>
          <w:szCs w:val="20"/>
          <w:color w:val="auto"/>
        </w:rPr>
      </w:pPr>
    </w:p>
    <w:p>
      <w:pPr>
        <w:ind w:left="452" w:right="160"/>
        <w:spacing w:after="0" w:line="259" w:lineRule="auto"/>
        <w:rPr>
          <w:sz w:val="20"/>
          <w:szCs w:val="20"/>
          <w:color w:val="auto"/>
        </w:rPr>
      </w:pPr>
      <w:r>
        <w:rPr>
          <w:rFonts w:ascii="Arial" w:cs="Arial" w:eastAsia="Arial" w:hAnsi="Arial"/>
          <w:sz w:val="18"/>
          <w:szCs w:val="18"/>
          <w:color w:val="auto"/>
        </w:rPr>
        <w:t>All of the Company’s time charters are with CMA CGM. Under each of the time charters, hire is payable in advance and the daily rate is fixed for the duration of the charter. The charters are for remaining periods as at March 31, 2014 of between 0.10 and 11.75 years (see note 2(a)). All the $931,860 maximum contracted future charter hire receivable for the fleet set out in note 9 relates to the 17 ships that were chartered to CMA CGM as at March 31, 2014.</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92"/>
          </w:cols>
          <w:pgMar w:left="248" w:top="270" w:right="259" w:bottom="1440" w:gutter="0" w:footer="0" w:header="0"/>
        </w:sectPr>
      </w:pPr>
    </w:p>
    <w:bookmarkStart w:id="24" w:name="page25"/>
    <w:bookmarkEnd w:id="24"/>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right="7880" w:hanging="452"/>
        <w:spacing w:after="0" w:line="451" w:lineRule="auto"/>
        <w:tabs>
          <w:tab w:leader="none" w:pos="44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(continued) Ship Management Agreements</w:t>
      </w:r>
    </w:p>
    <w:p>
      <w:pPr>
        <w:spacing w:after="0" w:line="1" w:lineRule="exact"/>
        <w:rPr>
          <w:rFonts w:ascii="Arial" w:cs="Arial" w:eastAsia="Arial" w:hAnsi="Arial"/>
          <w:sz w:val="16"/>
          <w:szCs w:val="16"/>
          <w:b w:val="1"/>
          <w:bCs w:val="1"/>
          <w:color w:val="auto"/>
        </w:rPr>
      </w:pPr>
    </w:p>
    <w:p>
      <w:pPr>
        <w:ind w:left="452"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The Company outsources day to day technical management of its 17 vessels to a ship manager, CMA Ships Limited, a wholly owned subsidiary of CMA CGM. The Company pays CMA Ships Limited an annual management fee of $123 per vessel (2013: $114) and reimburses costs incurred by CMA Ships on its behalf, mainly being for the provision of crew, lubricating oils and routine maintenance. Such reimbursement is subject to a cap of between $5.9 and $9.0 (2013: between $5.4 and $8.8) per day per vessel depending on the vessel. The impact of the cap is determined annually on a vessel by vessel basis for so long as the initial charters remain in place. Ship management fees expensed for the three months ended March 31, 2014 amounted to $523 (2013: $485).</w:t>
      </w:r>
    </w:p>
    <w:p>
      <w:pPr>
        <w:spacing w:after="0" w:line="85"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color w:val="auto"/>
        </w:rPr>
        <w:t>Except for transactions with CMA CGM group companies, the Company did not enter into any related party transactions.</w:t>
      </w:r>
    </w:p>
    <w:p>
      <w:pPr>
        <w:spacing w:after="0" w:line="369" w:lineRule="exact"/>
        <w:rPr>
          <w:rFonts w:ascii="Arial" w:cs="Arial" w:eastAsia="Arial" w:hAnsi="Arial"/>
          <w:sz w:val="16"/>
          <w:szCs w:val="16"/>
          <w:b w:val="1"/>
          <w:bCs w:val="1"/>
          <w:color w:val="auto"/>
        </w:rPr>
      </w:pPr>
    </w:p>
    <w:p>
      <w:pPr>
        <w:ind w:left="452" w:right="8360" w:hanging="452"/>
        <w:spacing w:after="0" w:line="425" w:lineRule="auto"/>
        <w:tabs>
          <w:tab w:leader="none" w:pos="44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Charter Hire Receivable</w:t>
      </w:r>
    </w:p>
    <w:p>
      <w:pPr>
        <w:ind w:left="452" w:right="10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The Company has entered into time charters for its vessels. The charter hire is fixed for the duration of the charter. The maximum contracted annual future charter hire receivable (not allowing for any offhire and assuming expiry at the mid-point between the earliest and latest possible end dates) for the fleet of 17 vessels as at March 31, 2014, including the effect of the four charter amendments (see note 2(a)) is as follows:</w:t>
      </w:r>
    </w:p>
    <w:p>
      <w:pPr>
        <w:spacing w:after="0" w:line="172"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Fleet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00"/>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Year ending March 31,</w:t>
            </w:r>
          </w:p>
        </w:tc>
        <w:tc>
          <w:tcPr>
            <w:tcW w:w="3480" w:type="dxa"/>
            <w:vAlign w:val="bottom"/>
            <w:gridSpan w:val="2"/>
          </w:tcPr>
          <w:p>
            <w:pPr>
              <w:jc w:val="center"/>
              <w:ind w:left="269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2016</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2018</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123,501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309,215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931,860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March 31, 2014 the Company had two classes of common shares outstanding.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86" w:lineRule="exact"/>
        <w:rPr>
          <w:rFonts w:ascii="Arial" w:cs="Arial" w:eastAsia="Arial" w:hAnsi="Arial"/>
          <w:sz w:val="18"/>
          <w:szCs w:val="18"/>
          <w:b w:val="1"/>
          <w:bCs w:val="1"/>
          <w:color w:val="auto"/>
        </w:rPr>
      </w:pPr>
    </w:p>
    <w:p>
      <w:pPr>
        <w:ind w:left="1452" w:hanging="547"/>
        <w:spacing w:after="0"/>
        <w:tabs>
          <w:tab w:leader="none" w:pos="14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130" w:lineRule="exact"/>
        <w:rPr>
          <w:rFonts w:ascii="Arial" w:cs="Arial" w:eastAsia="Arial" w:hAnsi="Arial"/>
          <w:sz w:val="18"/>
          <w:szCs w:val="18"/>
          <w:color w:val="auto"/>
        </w:rPr>
      </w:pPr>
    </w:p>
    <w:p>
      <w:pPr>
        <w:ind w:left="1452" w:right="380" w:hanging="547"/>
        <w:spacing w:after="0" w:line="277" w:lineRule="auto"/>
        <w:tabs>
          <w:tab w:leader="none" w:pos="14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secondly, to all Class A common shares until they have received payment for all preceding quarters at the rate of $0.23 per share per quarter;</w:t>
      </w:r>
    </w:p>
    <w:p>
      <w:pPr>
        <w:spacing w:after="0" w:line="75" w:lineRule="exact"/>
        <w:rPr>
          <w:rFonts w:ascii="Arial" w:cs="Arial" w:eastAsia="Arial" w:hAnsi="Arial"/>
          <w:sz w:val="18"/>
          <w:szCs w:val="18"/>
          <w:color w:val="auto"/>
        </w:rPr>
      </w:pPr>
    </w:p>
    <w:p>
      <w:pPr>
        <w:ind w:left="1452" w:hanging="547"/>
        <w:spacing w:after="0"/>
        <w:tabs>
          <w:tab w:leader="none" w:pos="14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130" w:lineRule="exact"/>
        <w:rPr>
          <w:rFonts w:ascii="Arial" w:cs="Arial" w:eastAsia="Arial" w:hAnsi="Arial"/>
          <w:sz w:val="18"/>
          <w:szCs w:val="18"/>
          <w:color w:val="auto"/>
        </w:rPr>
      </w:pPr>
    </w:p>
    <w:p>
      <w:pPr>
        <w:ind w:left="1452" w:hanging="547"/>
        <w:spacing w:after="0"/>
        <w:tabs>
          <w:tab w:leader="none" w:pos="14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117" w:lineRule="exact"/>
        <w:rPr>
          <w:sz w:val="20"/>
          <w:szCs w:val="20"/>
          <w:color w:val="auto"/>
        </w:rPr>
      </w:pPr>
    </w:p>
    <w:p>
      <w:pPr>
        <w:ind w:left="452" w:right="80"/>
        <w:spacing w:after="0" w:line="255" w:lineRule="auto"/>
        <w:rPr>
          <w:sz w:val="20"/>
          <w:szCs w:val="20"/>
          <w:color w:val="auto"/>
        </w:rPr>
      </w:pPr>
      <w:r>
        <w:rPr>
          <w:rFonts w:ascii="Arial" w:cs="Arial" w:eastAsia="Arial" w:hAnsi="Arial"/>
          <w:sz w:val="18"/>
          <w:szCs w:val="18"/>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12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52"/>
          </w:cols>
          <w:pgMar w:left="248" w:top="270" w:right="299" w:bottom="1440" w:gutter="0" w:footer="0" w:header="0"/>
        </w:sectPr>
      </w:pPr>
    </w:p>
    <w:bookmarkStart w:id="25" w:name="page26"/>
    <w:bookmarkEnd w:id="2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(continued)</w:t>
      </w:r>
    </w:p>
    <w:p>
      <w:pPr>
        <w:spacing w:after="0" w:line="161" w:lineRule="exact"/>
        <w:rPr>
          <w:rFonts w:ascii="Arial" w:cs="Arial" w:eastAsia="Arial" w:hAnsi="Arial"/>
          <w:sz w:val="18"/>
          <w:szCs w:val="18"/>
          <w:b w:val="1"/>
          <w:bCs w:val="1"/>
          <w:color w:val="auto"/>
        </w:rPr>
      </w:pPr>
    </w:p>
    <w:p>
      <w:pPr>
        <w:ind w:left="452"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have been granted periodically to the Directors and management, under the Company’s 2008 Equity Incentive Plan, as part of their compensation arrangements (see note 12).</w:t>
      </w:r>
    </w:p>
    <w:p>
      <w:pPr>
        <w:spacing w:after="0" w:line="62" w:lineRule="exact"/>
        <w:rPr>
          <w:rFonts w:ascii="Arial" w:cs="Arial" w:eastAsia="Arial" w:hAnsi="Arial"/>
          <w:sz w:val="18"/>
          <w:szCs w:val="18"/>
          <w:b w:val="1"/>
          <w:bCs w:val="1"/>
          <w:color w:val="auto"/>
        </w:rPr>
      </w:pPr>
    </w:p>
    <w:p>
      <w:pPr>
        <w:ind w:left="452" w:right="1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preferred shares rank senior to the common shares and are mandatorily redeemable in 12 quarterly instalments commencing August 31, 2016. They are classified as a long-term liability. The dividend that preferred shareholders are entitled to is presented as part of interest expense.</w:t>
      </w:r>
    </w:p>
    <w:p>
      <w:pPr>
        <w:spacing w:after="0" w:line="268" w:lineRule="exact"/>
        <w:rPr>
          <w:rFonts w:ascii="Arial" w:cs="Arial" w:eastAsia="Arial" w:hAnsi="Arial"/>
          <w:sz w:val="18"/>
          <w:szCs w:val="18"/>
          <w:b w:val="1"/>
          <w:bCs w:val="1"/>
          <w:color w:val="auto"/>
        </w:rPr>
      </w:pPr>
    </w:p>
    <w:p>
      <w:pPr>
        <w:ind w:left="452" w:hanging="452"/>
        <w:spacing w:after="0"/>
        <w:tabs>
          <w:tab w:leader="none" w:pos="4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121" w:lineRule="exact"/>
        <w:rPr>
          <w:rFonts w:ascii="Arial" w:cs="Arial" w:eastAsia="Arial" w:hAnsi="Arial"/>
          <w:sz w:val="18"/>
          <w:szCs w:val="18"/>
          <w:b w:val="1"/>
          <w:bCs w:val="1"/>
          <w:color w:val="auto"/>
        </w:rPr>
      </w:pPr>
    </w:p>
    <w:p>
      <w:pPr>
        <w:ind w:left="452"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issue of the 2019 Notes (see note 7(b)) the Company had been exposed to the impact of changes to interest rates on the floating rate debt drawn under the credit facility (see note 7(a)) which also required the Company to hedge at least 50% of any drawings. Accordingly, the Company entered into interest rate swap agreements to manage the exposure.</w:t>
      </w:r>
    </w:p>
    <w:p>
      <w:pPr>
        <w:spacing w:after="0" w:line="73" w:lineRule="exact"/>
        <w:rPr>
          <w:rFonts w:ascii="Arial" w:cs="Arial" w:eastAsia="Arial" w:hAnsi="Arial"/>
          <w:sz w:val="18"/>
          <w:szCs w:val="18"/>
          <w:b w:val="1"/>
          <w:bCs w:val="1"/>
          <w:color w:val="auto"/>
        </w:rPr>
      </w:pPr>
    </w:p>
    <w:p>
      <w:pPr>
        <w:jc w:val="both"/>
        <w:ind w:left="452"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March 19, 2014 the secured credit facility was fully repaid and was replaced with the 2019 Notes, which have a fixed interest rate. The $277,000 nominal amount of outstanding interest rate swaps which no longer hedged the Company’s interest rate risk were terminated accordingly. The cost of the termination included an element of unsettled payments due under the swap agreements up to March 19, 2014 amounting to $307. This amount is included in the consolidated statements of income as a realised loss on derivative instruments.</w:t>
      </w:r>
    </w:p>
    <w:p>
      <w:pPr>
        <w:spacing w:after="0" w:line="63" w:lineRule="exact"/>
        <w:rPr>
          <w:rFonts w:ascii="Arial" w:cs="Arial" w:eastAsia="Arial" w:hAnsi="Arial"/>
          <w:sz w:val="18"/>
          <w:szCs w:val="18"/>
          <w:b w:val="1"/>
          <w:bCs w:val="1"/>
          <w:color w:val="auto"/>
        </w:rPr>
      </w:pPr>
    </w:p>
    <w:p>
      <w:pPr>
        <w:ind w:left="452"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periods when the interest rate swaps were outstanding, they were “marked to market” at each reporting date end and recorded at their fair values. This generated unrealized gains and losses. The unrealized gain on interest rate derivatives for the three months ended March 31, 2014 was $1,944 (three months ended March 31, 2013: $5,453).</w:t>
      </w:r>
    </w:p>
    <w:p>
      <w:pPr>
        <w:spacing w:after="0" w:line="73" w:lineRule="exact"/>
        <w:rPr>
          <w:rFonts w:ascii="Arial" w:cs="Arial" w:eastAsia="Arial" w:hAnsi="Arial"/>
          <w:sz w:val="18"/>
          <w:szCs w:val="18"/>
          <w:b w:val="1"/>
          <w:bCs w:val="1"/>
          <w:color w:val="auto"/>
        </w:rPr>
      </w:pPr>
    </w:p>
    <w:p>
      <w:pPr>
        <w:ind w:left="4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None of the Company’s interest rate agreements qualified for hedge accounting and therefore the net changes in the fair value of the interest rate derivative assets and liabilities at each reporting period have been reflected in the current period operations as unrealized gains and losses on derivatives. Cash flows related to interest rate derivatives (initial payments for the derivatives, periodic cash settlements and termination payments) are included within cash flows from investing activities in the consolidated statements of cash flows.</w:t>
      </w:r>
    </w:p>
    <w:p>
      <w:pPr>
        <w:spacing w:after="0" w:line="63" w:lineRule="exact"/>
        <w:rPr>
          <w:rFonts w:ascii="Arial" w:cs="Arial" w:eastAsia="Arial" w:hAnsi="Arial"/>
          <w:sz w:val="18"/>
          <w:szCs w:val="18"/>
          <w:b w:val="1"/>
          <w:bCs w:val="1"/>
          <w:color w:val="auto"/>
        </w:rPr>
      </w:pPr>
    </w:p>
    <w:p>
      <w:pPr>
        <w:ind w:left="452"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derivative instruments had been categorized as level 2 in the fair value hierarchy. Due to the termination of these instruments in the period, the fair value at the reporting date was $nil (December 31, 2013: $21,289). Within the consolidated balance sheets, there are no offsets of recognized assets or liabilities related to these derivatives.</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32"/>
          </w:cols>
          <w:pgMar w:left="248" w:top="270" w:right="31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44" w:lineRule="exact"/>
        <w:rPr>
          <w:sz w:val="20"/>
          <w:szCs w:val="20"/>
          <w:color w:val="auto"/>
        </w:rPr>
      </w:pPr>
    </w:p>
    <w:tbl>
      <w:tblPr>
        <w:tblLayout w:type="fixed"/>
        <w:tblInd w:w="7000" w:type="dxa"/>
        <w:tblCellMar>
          <w:top w:w="0" w:type="dxa"/>
          <w:left w:w="0" w:type="dxa"/>
          <w:bottom w:w="0" w:type="dxa"/>
          <w:right w:w="0" w:type="dxa"/>
        </w:tblCellMar>
      </w:tblPr>
      <w:tr>
        <w:trPr>
          <w:trHeight w:val="171"/>
        </w:trPr>
        <w:tc>
          <w:tcPr>
            <w:tcW w:w="10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Restricted Stock Units</w:t>
            </w:r>
          </w:p>
        </w:tc>
        <w:tc>
          <w:tcPr>
            <w:tcW w:w="740" w:type="dxa"/>
            <w:vAlign w:val="bottom"/>
            <w:tcBorders>
              <w:bottom w:val="single" w:sz="8" w:color="auto"/>
            </w:tcBorders>
          </w:tcPr>
          <w:p>
            <w:pPr>
              <w:spacing w:after="0"/>
              <w:rPr>
                <w:sz w:val="14"/>
                <w:szCs w:val="14"/>
                <w:color w:val="auto"/>
              </w:rPr>
            </w:pPr>
          </w:p>
        </w:tc>
      </w:tr>
      <w:tr>
        <w:trPr>
          <w:trHeight w:val="123"/>
        </w:trPr>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740" w:type="dxa"/>
            <w:vAlign w:val="bottom"/>
          </w:tcPr>
          <w:p>
            <w:pPr>
              <w:spacing w:after="0"/>
              <w:rPr>
                <w:sz w:val="10"/>
                <w:szCs w:val="10"/>
                <w:color w:val="auto"/>
              </w:rPr>
            </w:pP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7"/>
              </w:rPr>
              <w:t>Actual</w:t>
            </w: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1"/>
              </w:rPr>
              <w:t>Fair</w:t>
            </w:r>
          </w:p>
        </w:tc>
      </w:tr>
      <w:tr>
        <w:trPr>
          <w:trHeight w:val="149"/>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4"/>
              </w:rPr>
              <w:t>Value on</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0"/>
              </w:rPr>
              <w:t>Value on</w:t>
            </w:r>
          </w:p>
        </w:tc>
      </w:tr>
      <w:tr>
        <w:trPr>
          <w:trHeight w:val="149"/>
        </w:trPr>
        <w:tc>
          <w:tcPr>
            <w:tcW w:w="20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Number of Units</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Grant</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89"/>
              </w:rPr>
              <w:t>Vesting</w:t>
            </w: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Management</w:t>
            </w:r>
          </w:p>
        </w:tc>
        <w:tc>
          <w:tcPr>
            <w:tcW w:w="1060" w:type="dxa"/>
            <w:vAlign w:val="bottom"/>
          </w:tcPr>
          <w:p>
            <w:pPr>
              <w:ind w:left="260"/>
              <w:spacing w:after="0"/>
              <w:rPr>
                <w:sz w:val="20"/>
                <w:szCs w:val="20"/>
                <w:color w:val="auto"/>
              </w:rPr>
            </w:pPr>
            <w:r>
              <w:rPr>
                <w:rFonts w:ascii="Arial" w:cs="Arial" w:eastAsia="Arial" w:hAnsi="Arial"/>
                <w:sz w:val="14"/>
                <w:szCs w:val="14"/>
                <w:color w:val="auto"/>
              </w:rPr>
              <w:t>Directors</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740" w:type="dxa"/>
            <w:vAlign w:val="bottom"/>
          </w:tcPr>
          <w:p>
            <w:pPr>
              <w:jc w:val="center"/>
              <w:ind w:left="168"/>
              <w:spacing w:after="0"/>
              <w:rPr>
                <w:sz w:val="20"/>
                <w:szCs w:val="20"/>
                <w:color w:val="auto"/>
              </w:rPr>
            </w:pPr>
            <w:r>
              <w:rPr>
                <w:rFonts w:ascii="Arial" w:cs="Arial" w:eastAsia="Arial" w:hAnsi="Arial"/>
                <w:sz w:val="14"/>
                <w:szCs w:val="14"/>
                <w:color w:val="auto"/>
                <w:w w:val="87"/>
              </w:rPr>
              <w:t>Date</w:t>
            </w:r>
          </w:p>
        </w:tc>
      </w:tr>
    </w:tbl>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225,000</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32,070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Vested in January 2013</w:t>
            </w:r>
          </w:p>
        </w:tc>
        <w:tc>
          <w:tcPr>
            <w:tcW w:w="12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(32,070)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7, 2013</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75,000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Unvested as at December 31, 2013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300,000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27,550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2014</w:t>
            </w:r>
          </w:p>
        </w:tc>
        <w:tc>
          <w:tcPr>
            <w:tcW w:w="12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(27,550)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Unvested as at March 31, 2014</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statements of income over the vesting period. During the three months ended March 31, 2014, the Company recognized a total of $50 (2013: $83) share based compensation costs. As at March 31, 2014, there was a total of $201 unrecognized compensation cost relating to the above share based awards (December 31, 2013: $252). The remaining cost is expected to be recognized over a period of 18 months.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restricted stock units granted to Directors on March 13, 2012 and March 7, 2013 vested in January 2013 and January 2014 respectively.</w:t>
      </w:r>
    </w:p>
    <w:p>
      <w:pPr>
        <w:spacing w:after="0" w:line="12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 The restricted stock units granted to management on March 7, 2013 are expected to vest when the individual leaves employment, provided that this is after September 30, 2015 and is not as a result of resignation or termination for cause.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80"/>
          </w:cols>
          <w:pgMar w:left="240" w:top="270" w:right="279" w:bottom="1440" w:gutter="0" w:footer="0" w:header="0"/>
        </w:sectPr>
      </w:pPr>
    </w:p>
    <w:bookmarkStart w:id="27" w:name="page28"/>
    <w:bookmarkEnd w:id="2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ind w:left="452" w:hanging="452"/>
        <w:spacing w:after="0"/>
        <w:tabs>
          <w:tab w:leader="none" w:pos="4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452" w:right="9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62" w:lineRule="exact"/>
        <w:rPr>
          <w:rFonts w:ascii="Arial" w:cs="Arial" w:eastAsia="Arial" w:hAnsi="Arial"/>
          <w:sz w:val="18"/>
          <w:szCs w:val="18"/>
          <w:b w:val="1"/>
          <w:bCs w:val="1"/>
          <w:color w:val="auto"/>
        </w:rPr>
      </w:pPr>
    </w:p>
    <w:p>
      <w:pPr>
        <w:ind w:left="45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ended March 31, 2014, no dividend was declared (2013: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70" w:lineRule="exact"/>
        <w:rPr>
          <w:rFonts w:ascii="Arial" w:cs="Arial" w:eastAsia="Arial" w:hAnsi="Arial"/>
          <w:sz w:val="18"/>
          <w:szCs w:val="18"/>
          <w:b w:val="1"/>
          <w:bCs w:val="1"/>
          <w:color w:val="auto"/>
        </w:rPr>
      </w:pPr>
    </w:p>
    <w:p>
      <w:pPr>
        <w:jc w:val="both"/>
        <w:ind w:left="452"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73"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March 31, 2014, there were 300,000 restricted stock units granted and unvested as part of management’s stock based compensation. As of March 31, 2014 only Class A and B common shares are participating securities.</w:t>
      </w:r>
    </w:p>
    <w:p>
      <w:pPr>
        <w:spacing w:after="0" w:line="62" w:lineRule="exact"/>
        <w:rPr>
          <w:rFonts w:ascii="Arial" w:cs="Arial" w:eastAsia="Arial" w:hAnsi="Arial"/>
          <w:sz w:val="18"/>
          <w:szCs w:val="18"/>
          <w:b w:val="1"/>
          <w:bCs w:val="1"/>
          <w:color w:val="auto"/>
        </w:rPr>
      </w:pPr>
    </w:p>
    <w:p>
      <w:pPr>
        <w:ind w:left="452"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2014 and March 31, 2013 the diluted weighted average number of shares includes the incremental effect of outstanding stock based incentive awards.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92"/>
          </w:cols>
          <w:pgMar w:left="248" w:top="270"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Earnings per Share (continued)</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0"/>
        </w:trPr>
        <w:tc>
          <w:tcPr>
            <w:tcW w:w="562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47,541,178</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47,513,578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 average number of RSU’s without service conditions (note 12)</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111,896</w:t>
            </w:r>
          </w:p>
        </w:tc>
        <w:tc>
          <w:tcPr>
            <w:tcW w:w="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and common share equivalents (F)</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47,803,074</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47,622,651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 B common shares</w:t>
            </w: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shareholders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spacing w:after="0"/>
              <w:rPr>
                <w:sz w:val="20"/>
                <w:szCs w:val="20"/>
                <w:color w:val="auto"/>
              </w:rPr>
            </w:pPr>
            <w:r>
              <w:rPr>
                <w:rFonts w:ascii="Arial" w:cs="Arial" w:eastAsia="Arial" w:hAnsi="Arial"/>
                <w:sz w:val="18"/>
                <w:szCs w:val="18"/>
                <w:color w:val="auto"/>
              </w:rPr>
              <w:t>Available to:</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 allocate pro-rata between Class A and B</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A (A)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available for Class B (C)</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Class A (A/B)</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(C/D)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shareholders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spacing w:after="0"/>
              <w:rPr>
                <w:sz w:val="20"/>
                <w:szCs w:val="20"/>
                <w:color w:val="auto"/>
              </w:rPr>
            </w:pPr>
            <w:r>
              <w:rPr>
                <w:rFonts w:ascii="Arial" w:cs="Arial" w:eastAsia="Arial" w:hAnsi="Arial"/>
                <w:sz w:val="18"/>
                <w:szCs w:val="18"/>
                <w:color w:val="auto"/>
              </w:rPr>
              <w:t>Available to:</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 allocate pro rata between Class A and B</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A (E)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available for Class B (G)</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Class A (E/F)</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(G/H)</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Ville d’Aquarius was redelivered on April 26, 2014 on completion of its charter. Notice of redelivery for Ville d’Orion has been received; the Company anticipates redelivery of this vessel towards the end of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lowerLetter"/>
      <w:start w:val="2"/>
    </w:lvl>
  </w:abstractNum>
  <w:abstractNum w:abstractNumId="10">
    <w:nsid w:val="519B500D"/>
    <w:multiLevelType w:val="hybridMultilevel"/>
    <w:lvl w:ilvl="0">
      <w:lvlJc w:val="left"/>
      <w:lvlText w:val="%1."/>
      <w:numFmt w:val="decimal"/>
      <w:start w:val="3"/>
    </w:lvl>
  </w:abstractNum>
  <w:abstractNum w:abstractNumId="11">
    <w:nsid w:val="431BD7B7"/>
    <w:multiLevelType w:val="hybridMultilevel"/>
    <w:lvl w:ilvl="0">
      <w:lvlJc w:val="left"/>
      <w:lvlText w:val="%1."/>
      <w:numFmt w:val="decimal"/>
      <w:start w:val="4"/>
    </w:lvl>
  </w:abstractNum>
  <w:abstractNum w:abstractNumId="12">
    <w:nsid w:val="3F2DBA31"/>
    <w:multiLevelType w:val="hybridMultilevel"/>
    <w:lvl w:ilvl="0">
      <w:lvlJc w:val="left"/>
      <w:lvlText w:val="%1."/>
      <w:numFmt w:val="decimal"/>
      <w:start w:val="6"/>
    </w:lvl>
  </w:abstractNum>
  <w:abstractNum w:abstractNumId="13">
    <w:nsid w:val="7C83E458"/>
    <w:multiLevelType w:val="hybridMultilevel"/>
    <w:lvl w:ilvl="0">
      <w:lvlJc w:val="left"/>
      <w:lvlText w:val="%1."/>
      <w:numFmt w:val="decimal"/>
      <w:start w:val="7"/>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decimal"/>
      <w:start w:val="7"/>
    </w:lvl>
  </w:abstractNum>
  <w:abstractNum w:abstractNumId="17">
    <w:nsid w:val="628C895D"/>
    <w:multiLevelType w:val="hybridMultilevel"/>
    <w:lvl w:ilvl="0">
      <w:lvlJc w:val="left"/>
      <w:lvlText w:val="%1)"/>
      <w:numFmt w:val="lowerLetter"/>
      <w:start w:val="3"/>
    </w:lvl>
  </w:abstractNum>
  <w:abstractNum w:abstractNumId="18">
    <w:nsid w:val="333AB105"/>
    <w:multiLevelType w:val="hybridMultilevel"/>
    <w:lvl w:ilvl="0">
      <w:lvlJc w:val="left"/>
      <w:lvlText w:val="%1."/>
      <w:numFmt w:val="decimal"/>
      <w:start w:val="8"/>
    </w:lvl>
  </w:abstractNum>
  <w:abstractNum w:abstractNumId="19">
    <w:nsid w:val="721DA317"/>
    <w:multiLevelType w:val="hybridMultilevel"/>
    <w:lvl w:ilvl="0">
      <w:lvlJc w:val="left"/>
      <w:lvlText w:val="%1."/>
      <w:numFmt w:val="decimal"/>
      <w:start w:val="8"/>
    </w:lvl>
  </w:abstractNum>
  <w:abstractNum w:abstractNumId="20">
    <w:nsid w:val="2443A858"/>
    <w:multiLevelType w:val="hybridMultilevel"/>
    <w:lvl w:ilvl="0">
      <w:lvlJc w:val="left"/>
      <w:lvlText w:val="%1."/>
      <w:numFmt w:val="decimal"/>
      <w:start w:val="10"/>
    </w:lvl>
    <w:lvl w:ilvl="1">
      <w:lvlJc w:val="left"/>
      <w:lvlText w:val="•"/>
      <w:numFmt w:val="bullet"/>
      <w:start w:val="1"/>
    </w:lvl>
  </w:abstractNum>
  <w:abstractNum w:abstractNumId="21">
    <w:nsid w:val="2D1D5AE9"/>
    <w:multiLevelType w:val="hybridMultilevel"/>
    <w:lvl w:ilvl="0">
      <w:lvlJc w:val="left"/>
      <w:lvlText w:val="%1."/>
      <w:numFmt w:val="decimal"/>
      <w:start w:val="10"/>
    </w:lvl>
  </w:abstractNum>
  <w:abstractNum w:abstractNumId="22">
    <w:nsid w:val="6763845E"/>
    <w:multiLevelType w:val="hybridMultilevel"/>
    <w:lvl w:ilvl="0">
      <w:lvlJc w:val="left"/>
      <w:lvlText w:val="%1."/>
      <w:numFmt w:val="decimal"/>
      <w:start w:val="13"/>
    </w:lvl>
  </w:abstractNum>
  <w:abstractNum w:abstractNumId="23">
    <w:nsid w:val="75A2A8D4"/>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2019-12-07T18:50:03Z</dcterms:created>
  <dcterms:modified xsi:type="dcterms:W3CDTF">2019-12-07T18:50:03Z</dcterms:modified>
</cp:coreProperties>
</file>